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C3AA" w14:textId="77777777" w:rsidR="00A8795F" w:rsidRPr="00F1778E" w:rsidRDefault="00A8795F" w:rsidP="00A879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D15CF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5CF9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F1778E">
        <w:rPr>
          <w:rFonts w:ascii="Times New Roman" w:hAnsi="Times New Roman" w:cs="Times New Roman"/>
          <w:sz w:val="24"/>
          <w:szCs w:val="24"/>
        </w:rPr>
        <w:t xml:space="preserve"> semi-quantitative scale </w:t>
      </w:r>
      <w:r>
        <w:rPr>
          <w:rFonts w:ascii="Times New Roman" w:hAnsi="Times New Roman" w:cs="Times New Roman"/>
          <w:sz w:val="24"/>
          <w:szCs w:val="24"/>
        </w:rPr>
        <w:t>based h</w:t>
      </w:r>
      <w:r w:rsidRPr="00F1778E">
        <w:rPr>
          <w:rFonts w:ascii="Times New Roman" w:hAnsi="Times New Roman" w:cs="Times New Roman"/>
          <w:sz w:val="24"/>
          <w:szCs w:val="24"/>
        </w:rPr>
        <w:t>istopathological scoring system</w:t>
      </w:r>
      <w:r w:rsidRPr="0015753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483"/>
      </w:tblGrid>
      <w:tr w:rsidR="00A8795F" w:rsidRPr="00D15CF9" w14:paraId="46CDE035" w14:textId="77777777" w:rsidTr="00267C8C">
        <w:trPr>
          <w:trHeight w:val="612"/>
        </w:trPr>
        <w:tc>
          <w:tcPr>
            <w:tcW w:w="2093" w:type="dxa"/>
          </w:tcPr>
          <w:p w14:paraId="075A2E92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Histopathological Score</w:t>
            </w:r>
          </w:p>
        </w:tc>
        <w:tc>
          <w:tcPr>
            <w:tcW w:w="7483" w:type="dxa"/>
          </w:tcPr>
          <w:p w14:paraId="29B95A67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A8795F" w:rsidRPr="00D15CF9" w14:paraId="2D479AB1" w14:textId="77777777" w:rsidTr="00267C8C">
        <w:tc>
          <w:tcPr>
            <w:tcW w:w="2093" w:type="dxa"/>
          </w:tcPr>
          <w:p w14:paraId="631F3355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83" w:type="dxa"/>
          </w:tcPr>
          <w:p w14:paraId="3F013B2A" w14:textId="77777777" w:rsidR="00A8795F" w:rsidRPr="00F17C94" w:rsidRDefault="00A8795F" w:rsidP="00267C8C">
            <w:pPr>
              <w:pStyle w:val="NormalWeb"/>
              <w:spacing w:before="0" w:beforeAutospacing="0" w:after="0" w:afterAutospacing="0"/>
              <w:rPr>
                <w:color w:val="0E101A"/>
              </w:rPr>
            </w:pPr>
            <w:r>
              <w:rPr>
                <w:color w:val="0E101A"/>
              </w:rPr>
              <w:t>Negligible to no inflammation, intact crypt and with no ulceration foci.</w:t>
            </w:r>
          </w:p>
        </w:tc>
      </w:tr>
      <w:tr w:rsidR="00A8795F" w:rsidRPr="00D15CF9" w14:paraId="031D39F0" w14:textId="77777777" w:rsidTr="00267C8C">
        <w:tc>
          <w:tcPr>
            <w:tcW w:w="2093" w:type="dxa"/>
          </w:tcPr>
          <w:p w14:paraId="2F064960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3" w:type="dxa"/>
          </w:tcPr>
          <w:p w14:paraId="1F39AFE2" w14:textId="77777777" w:rsidR="00A8795F" w:rsidRPr="00F17C94" w:rsidRDefault="00A8795F" w:rsidP="00267C8C">
            <w:pPr>
              <w:pStyle w:val="NormalWeb"/>
              <w:spacing w:before="0" w:beforeAutospacing="0" w:after="0" w:afterAutospacing="0"/>
              <w:rPr>
                <w:color w:val="0E101A"/>
              </w:rPr>
            </w:pPr>
            <w:r>
              <w:rPr>
                <w:color w:val="0E101A"/>
              </w:rPr>
              <w:t>Mild mucosal inflammation, degeneration of crypt and 1-2 ulceration foci.</w:t>
            </w:r>
          </w:p>
        </w:tc>
      </w:tr>
      <w:tr w:rsidR="00A8795F" w:rsidRPr="00D15CF9" w14:paraId="6C43F348" w14:textId="77777777" w:rsidTr="00267C8C">
        <w:tc>
          <w:tcPr>
            <w:tcW w:w="2093" w:type="dxa"/>
          </w:tcPr>
          <w:p w14:paraId="13444E95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3" w:type="dxa"/>
          </w:tcPr>
          <w:p w14:paraId="3E876BEB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C94">
              <w:rPr>
                <w:rFonts w:ascii="Times New Roman" w:hAnsi="Times New Roman" w:cs="Times New Roman"/>
                <w:sz w:val="24"/>
                <w:szCs w:val="24"/>
              </w:rPr>
              <w:t>Moderate inflammation that extends to the submucosal membrane, higher degenerated crypt and 3-4 ulceration foci.</w:t>
            </w:r>
          </w:p>
        </w:tc>
      </w:tr>
      <w:tr w:rsidR="00A8795F" w:rsidRPr="00D15CF9" w14:paraId="12E8D4D8" w14:textId="77777777" w:rsidTr="00267C8C">
        <w:tc>
          <w:tcPr>
            <w:tcW w:w="2093" w:type="dxa"/>
          </w:tcPr>
          <w:p w14:paraId="05D8F3FE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3" w:type="dxa"/>
          </w:tcPr>
          <w:p w14:paraId="6F14FADD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C94">
              <w:rPr>
                <w:rFonts w:ascii="Times New Roman" w:hAnsi="Times New Roman" w:cs="Times New Roman"/>
                <w:sz w:val="24"/>
                <w:szCs w:val="24"/>
              </w:rPr>
              <w:t>Severe inflammation that extends up to the tunica muscularis, severely damaged to the crypt, immense ulceration foci.</w:t>
            </w:r>
          </w:p>
        </w:tc>
      </w:tr>
      <w:tr w:rsidR="00A8795F" w:rsidRPr="00D15CF9" w14:paraId="5F2FCF00" w14:textId="77777777" w:rsidTr="00267C8C">
        <w:tc>
          <w:tcPr>
            <w:tcW w:w="2093" w:type="dxa"/>
          </w:tcPr>
          <w:p w14:paraId="093A0CF5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3" w:type="dxa"/>
          </w:tcPr>
          <w:p w14:paraId="130FC61C" w14:textId="77777777" w:rsidR="00A8795F" w:rsidRPr="00F17C94" w:rsidRDefault="00A8795F" w:rsidP="00267C8C">
            <w:pPr>
              <w:pStyle w:val="NormalWeb"/>
              <w:spacing w:before="0" w:beforeAutospacing="0" w:after="0" w:afterAutospacing="0"/>
              <w:rPr>
                <w:color w:val="0E101A"/>
              </w:rPr>
            </w:pPr>
            <w:r>
              <w:rPr>
                <w:color w:val="0E101A"/>
              </w:rPr>
              <w:t>Very severe inflammation and erosion lead to changes in the epithelial layer.</w:t>
            </w:r>
          </w:p>
        </w:tc>
      </w:tr>
      <w:tr w:rsidR="00A8795F" w:rsidRPr="00D15CF9" w14:paraId="7CCCA144" w14:textId="77777777" w:rsidTr="00267C8C">
        <w:tc>
          <w:tcPr>
            <w:tcW w:w="2093" w:type="dxa"/>
          </w:tcPr>
          <w:p w14:paraId="482520FF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3" w:type="dxa"/>
          </w:tcPr>
          <w:p w14:paraId="536FA2FD" w14:textId="77777777" w:rsidR="00A8795F" w:rsidRPr="00D15CF9" w:rsidRDefault="00A8795F" w:rsidP="0026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F9">
              <w:rPr>
                <w:rFonts w:ascii="Times New Roman" w:hAnsi="Times New Roman" w:cs="Times New Roman"/>
                <w:sz w:val="24"/>
                <w:szCs w:val="24"/>
              </w:rPr>
              <w:t>Concurrent erosion.</w:t>
            </w:r>
          </w:p>
        </w:tc>
      </w:tr>
    </w:tbl>
    <w:p w14:paraId="5153BA58" w14:textId="77777777" w:rsidR="00A8795F" w:rsidRPr="008E49CF" w:rsidRDefault="00A8795F" w:rsidP="00A8795F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4486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Pr="008E49CF">
        <w:rPr>
          <w:rFonts w:ascii="Times New Roman" w:hAnsi="Times New Roman" w:cs="Times New Roman"/>
          <w:bCs/>
          <w:sz w:val="20"/>
          <w:szCs w:val="20"/>
        </w:rPr>
        <w:t xml:space="preserve">Histopathological scoring system </w:t>
      </w:r>
      <w:r>
        <w:rPr>
          <w:rFonts w:ascii="Times New Roman" w:hAnsi="Times New Roman" w:cs="Times New Roman"/>
          <w:bCs/>
          <w:sz w:val="20"/>
          <w:szCs w:val="20"/>
        </w:rPr>
        <w:t>was based on the following study published by</w:t>
      </w:r>
      <w:r w:rsidRPr="008E49CF">
        <w:rPr>
          <w:rFonts w:ascii="Times New Roman" w:hAnsi="Times New Roman" w:cs="Times New Roman"/>
          <w:bCs/>
          <w:sz w:val="20"/>
          <w:szCs w:val="20"/>
        </w:rPr>
        <w:t xml:space="preserve"> Kim et al., 2017.</w:t>
      </w:r>
    </w:p>
    <w:p w14:paraId="077B0287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5F"/>
    <w:rsid w:val="003F1652"/>
    <w:rsid w:val="00A8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6E215"/>
  <w15:chartTrackingRefBased/>
  <w15:docId w15:val="{0F5322A8-9B78-4278-B88D-D431842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5F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95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8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Springer Nature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2024-01-05T21:03:00Z</dcterms:created>
  <dcterms:modified xsi:type="dcterms:W3CDTF">2024-01-05T21:04:00Z</dcterms:modified>
</cp:coreProperties>
</file>