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D91B5" w14:textId="77777777" w:rsidR="00EE30C9" w:rsidRPr="00987DED" w:rsidRDefault="00EE30C9" w:rsidP="00EE30C9">
      <w:pPr>
        <w:spacing w:line="480" w:lineRule="auto"/>
        <w:rPr>
          <w:b/>
          <w:bCs/>
          <w:color w:val="000000" w:themeColor="text1"/>
        </w:rPr>
      </w:pPr>
      <w:r w:rsidRPr="004D177F">
        <w:rPr>
          <w:b/>
          <w:bCs/>
          <w:color w:val="000000" w:themeColor="text1"/>
        </w:rPr>
        <w:t xml:space="preserve">Supplemental Information: </w:t>
      </w:r>
      <w:r>
        <w:rPr>
          <w:b/>
          <w:bCs/>
          <w:color w:val="000000" w:themeColor="text1"/>
        </w:rPr>
        <w:t xml:space="preserve">  </w:t>
      </w:r>
    </w:p>
    <w:p w14:paraId="752BC4A3" w14:textId="77777777" w:rsidR="00EE30C9" w:rsidRPr="004D177F" w:rsidRDefault="00EE30C9" w:rsidP="00EE30C9">
      <w:pPr>
        <w:spacing w:line="480" w:lineRule="auto"/>
        <w:rPr>
          <w:b/>
          <w:bCs/>
          <w:color w:val="000000" w:themeColor="text1"/>
        </w:rPr>
      </w:pPr>
      <w:r w:rsidRPr="004D177F">
        <w:rPr>
          <w:b/>
          <w:bCs/>
          <w:color w:val="000000" w:themeColor="text1"/>
        </w:rPr>
        <w:t>Study Population</w:t>
      </w:r>
    </w:p>
    <w:p w14:paraId="2B239308" w14:textId="77777777" w:rsidR="00EE30C9" w:rsidRDefault="00EE30C9" w:rsidP="00EE30C9">
      <w:pPr>
        <w:spacing w:line="480" w:lineRule="auto"/>
        <w:rPr>
          <w:color w:val="000000" w:themeColor="text1"/>
        </w:rPr>
      </w:pPr>
      <w:r>
        <w:rPr>
          <w:color w:val="000000" w:themeColor="text1"/>
        </w:rPr>
        <w:t>Psoriasis cases and matched controls were selected from t</w:t>
      </w:r>
      <w:r w:rsidRPr="004D177F">
        <w:rPr>
          <w:color w:val="000000" w:themeColor="text1"/>
        </w:rPr>
        <w:t>he Skin Disease Biorepository at Rhode Island Hospital (RIH)</w:t>
      </w:r>
      <w:r>
        <w:rPr>
          <w:color w:val="000000" w:themeColor="text1"/>
        </w:rPr>
        <w:t>, Providence, Rhode Island,</w:t>
      </w:r>
      <w:r w:rsidRPr="004D177F">
        <w:rPr>
          <w:color w:val="000000" w:themeColor="text1"/>
        </w:rPr>
        <w:t xml:space="preserve"> with a </w:t>
      </w:r>
      <w:r>
        <w:rPr>
          <w:color w:val="000000" w:themeColor="text1"/>
        </w:rPr>
        <w:t>pool</w:t>
      </w:r>
      <w:r w:rsidRPr="004D177F">
        <w:rPr>
          <w:color w:val="000000" w:themeColor="text1"/>
        </w:rPr>
        <w:t xml:space="preserve"> of </w:t>
      </w:r>
      <w:r>
        <w:rPr>
          <w:color w:val="000000" w:themeColor="text1"/>
        </w:rPr>
        <w:t xml:space="preserve">about </w:t>
      </w:r>
      <w:r w:rsidRPr="004D177F">
        <w:rPr>
          <w:color w:val="000000" w:themeColor="text1"/>
        </w:rPr>
        <w:t>150 participants ≥ 18 years of age with diverse dermatologic diseases</w:t>
      </w:r>
      <w:r>
        <w:rPr>
          <w:color w:val="000000" w:themeColor="text1"/>
        </w:rPr>
        <w:t>.</w:t>
      </w:r>
      <w:r w:rsidRPr="004D177F">
        <w:rPr>
          <w:color w:val="000000" w:themeColor="text1"/>
        </w:rPr>
        <w:t xml:space="preserve"> Each patient’s visit included signing consent</w:t>
      </w:r>
      <w:r>
        <w:rPr>
          <w:color w:val="000000" w:themeColor="text1"/>
        </w:rPr>
        <w:t xml:space="preserve"> and</w:t>
      </w:r>
      <w:r w:rsidRPr="004D177F">
        <w:rPr>
          <w:color w:val="000000" w:themeColor="text1"/>
        </w:rPr>
        <w:t xml:space="preserve"> obtaining a peripheral blood sample. </w:t>
      </w:r>
      <w:r>
        <w:rPr>
          <w:color w:val="000000" w:themeColor="text1"/>
        </w:rPr>
        <w:t>Demographic i</w:t>
      </w:r>
      <w:r w:rsidRPr="004D177F">
        <w:rPr>
          <w:color w:val="000000" w:themeColor="text1"/>
        </w:rPr>
        <w:t xml:space="preserve">nformation was extracted from patient medical records on </w:t>
      </w:r>
      <w:r>
        <w:rPr>
          <w:color w:val="000000" w:themeColor="text1"/>
        </w:rPr>
        <w:t xml:space="preserve">age, sex, </w:t>
      </w:r>
      <w:r w:rsidRPr="004D177F">
        <w:rPr>
          <w:color w:val="000000" w:themeColor="text1"/>
        </w:rPr>
        <w:t xml:space="preserve">body mass index (BMI), and medications. </w:t>
      </w:r>
      <w:r w:rsidRPr="004D177F">
        <w:rPr>
          <w:rFonts w:eastAsia="Arial"/>
          <w:color w:val="000000" w:themeColor="text1"/>
        </w:rPr>
        <w:t xml:space="preserve">We conducted a matched case-control study to evaluate epigenetic age among 20 cases with </w:t>
      </w:r>
      <w:proofErr w:type="spellStart"/>
      <w:r>
        <w:rPr>
          <w:rFonts w:eastAsia="Arial"/>
          <w:color w:val="000000" w:themeColor="text1"/>
        </w:rPr>
        <w:t>PsO</w:t>
      </w:r>
      <w:proofErr w:type="spellEnd"/>
      <w:r>
        <w:rPr>
          <w:rFonts w:eastAsia="Arial"/>
          <w:color w:val="000000" w:themeColor="text1"/>
        </w:rPr>
        <w:t xml:space="preserve"> (including 10 with concomitant PsA)</w:t>
      </w:r>
      <w:r w:rsidRPr="004D177F">
        <w:rPr>
          <w:rFonts w:eastAsia="Arial"/>
          <w:color w:val="000000" w:themeColor="text1"/>
        </w:rPr>
        <w:t xml:space="preserve"> as compared to 20 age</w:t>
      </w:r>
      <w:r>
        <w:rPr>
          <w:rFonts w:eastAsia="Arial"/>
          <w:color w:val="000000" w:themeColor="text1"/>
        </w:rPr>
        <w:t>, sex,</w:t>
      </w:r>
      <w:r w:rsidRPr="004D177F">
        <w:rPr>
          <w:rFonts w:eastAsia="Arial"/>
          <w:color w:val="000000" w:themeColor="text1"/>
        </w:rPr>
        <w:t xml:space="preserve"> and race-matched controls without </w:t>
      </w:r>
      <w:proofErr w:type="spellStart"/>
      <w:r w:rsidRPr="004D177F">
        <w:rPr>
          <w:rFonts w:eastAsia="Arial"/>
          <w:color w:val="000000" w:themeColor="text1"/>
        </w:rPr>
        <w:t>PsO</w:t>
      </w:r>
      <w:proofErr w:type="spellEnd"/>
      <w:r w:rsidRPr="004D177F">
        <w:rPr>
          <w:color w:val="000000" w:themeColor="text1"/>
        </w:rPr>
        <w:t xml:space="preserve">. </w:t>
      </w:r>
      <w:r>
        <w:rPr>
          <w:color w:val="000000" w:themeColor="text1"/>
        </w:rPr>
        <w:t xml:space="preserve">Six of the controls had alopecia areata, an autoimmune hair loss disorder.  Other controls had various dermatologic conditions including acne, dermatitis, arthropod bites, unspecified rashes, or visited RIH for an annual full body skin examination/check. </w:t>
      </w:r>
      <w:r w:rsidRPr="004D177F">
        <w:rPr>
          <w:color w:val="000000" w:themeColor="text1"/>
        </w:rPr>
        <w:t>All procedures were approved by the Lifespan Institutional Review Board for Protection of Human Subjects.</w:t>
      </w:r>
    </w:p>
    <w:p w14:paraId="0ECC7074" w14:textId="77777777" w:rsidR="00EE30C9" w:rsidRPr="004D177F" w:rsidRDefault="00EE30C9" w:rsidP="00EE30C9">
      <w:pPr>
        <w:spacing w:line="480" w:lineRule="auto"/>
        <w:rPr>
          <w:color w:val="000000" w:themeColor="text1"/>
        </w:rPr>
      </w:pPr>
    </w:p>
    <w:p w14:paraId="5402BDBF" w14:textId="77777777" w:rsidR="00EE30C9" w:rsidRPr="004D177F" w:rsidRDefault="00EE30C9" w:rsidP="00EE30C9">
      <w:pPr>
        <w:spacing w:line="480" w:lineRule="auto"/>
        <w:rPr>
          <w:rFonts w:eastAsia="Arial"/>
          <w:b/>
          <w:color w:val="000000" w:themeColor="text1"/>
        </w:rPr>
      </w:pPr>
      <w:r w:rsidRPr="004D177F">
        <w:rPr>
          <w:rFonts w:eastAsia="Arial"/>
          <w:b/>
          <w:color w:val="000000" w:themeColor="text1"/>
        </w:rPr>
        <w:t>DNA extraction and epigenetic assay</w:t>
      </w:r>
    </w:p>
    <w:p w14:paraId="08363DA7" w14:textId="124AFA4A" w:rsidR="00EE30C9" w:rsidRDefault="00EE30C9" w:rsidP="00EE30C9">
      <w:pPr>
        <w:spacing w:line="480" w:lineRule="auto"/>
        <w:rPr>
          <w:color w:val="000000" w:themeColor="text1"/>
        </w:rPr>
      </w:pPr>
      <w:r w:rsidRPr="004D177F">
        <w:rPr>
          <w:rFonts w:eastAsia="Arial"/>
          <w:color w:val="000000" w:themeColor="text1"/>
        </w:rPr>
        <w:t>7</w:t>
      </w:r>
      <w:r w:rsidR="00FB2AB5">
        <w:rPr>
          <w:rFonts w:eastAsia="Arial"/>
          <w:color w:val="000000" w:themeColor="text1"/>
        </w:rPr>
        <w:t xml:space="preserve"> </w:t>
      </w:r>
      <w:r w:rsidRPr="004D177F">
        <w:rPr>
          <w:rFonts w:eastAsia="Arial"/>
          <w:color w:val="000000" w:themeColor="text1"/>
        </w:rPr>
        <w:t>ml whole blood samples were collected using EDTA tubes, aliquoted and stored in the Biorepository</w:t>
      </w:r>
      <w:r w:rsidRPr="004D177F">
        <w:rPr>
          <w:color w:val="000000" w:themeColor="text1"/>
        </w:rPr>
        <w:t xml:space="preserve"> at -80</w:t>
      </w:r>
      <w:r w:rsidRPr="004D177F">
        <w:rPr>
          <w:color w:val="000000" w:themeColor="text1"/>
          <w:vertAlign w:val="superscript"/>
        </w:rPr>
        <w:t>o</w:t>
      </w:r>
      <w:r w:rsidRPr="004D177F">
        <w:rPr>
          <w:color w:val="000000" w:themeColor="text1"/>
        </w:rPr>
        <w:t>C.</w:t>
      </w:r>
      <w:r>
        <w:rPr>
          <w:color w:val="000000" w:themeColor="text1"/>
          <w:vertAlign w:val="superscript"/>
        </w:rPr>
        <w:t>1</w:t>
      </w:r>
      <w:r w:rsidRPr="004D177F">
        <w:rPr>
          <w:color w:val="000000" w:themeColor="text1"/>
          <w:vertAlign w:val="superscript"/>
        </w:rPr>
        <w:t xml:space="preserve">  </w:t>
      </w:r>
      <w:r w:rsidRPr="004D177F">
        <w:rPr>
          <w:rFonts w:eastAsia="Arial"/>
          <w:color w:val="000000" w:themeColor="text1"/>
        </w:rPr>
        <w:t xml:space="preserve">Standardized methods of DNA isolation were performed using </w:t>
      </w:r>
      <w:proofErr w:type="spellStart"/>
      <w:r w:rsidRPr="004D177F">
        <w:rPr>
          <w:rFonts w:eastAsia="Arial"/>
          <w:color w:val="000000" w:themeColor="text1"/>
        </w:rPr>
        <w:t>DNAEasy</w:t>
      </w:r>
      <w:proofErr w:type="spellEnd"/>
      <w:r w:rsidRPr="004D177F">
        <w:rPr>
          <w:rFonts w:eastAsia="Arial"/>
          <w:color w:val="000000" w:themeColor="text1"/>
        </w:rPr>
        <w:t xml:space="preserve"> Blood and Tissue Kit, Qiagen and methylation levels were determined </w:t>
      </w:r>
      <w:r w:rsidRPr="004D177F">
        <w:rPr>
          <w:color w:val="000000" w:themeColor="text1"/>
        </w:rPr>
        <w:t xml:space="preserve">utilizing the </w:t>
      </w:r>
      <w:r w:rsidRPr="00CF77F9">
        <w:rPr>
          <w:rFonts w:eastAsiaTheme="minorHAnsi"/>
          <w:color w:val="000000" w:themeColor="text1"/>
        </w:rPr>
        <w:t xml:space="preserve">Illumina Methylation EPIC </w:t>
      </w:r>
      <w:proofErr w:type="spellStart"/>
      <w:r w:rsidRPr="00CF77F9">
        <w:rPr>
          <w:rFonts w:eastAsiaTheme="minorHAnsi"/>
          <w:color w:val="000000" w:themeColor="text1"/>
        </w:rPr>
        <w:t>BeadChip</w:t>
      </w:r>
      <w:proofErr w:type="spellEnd"/>
      <w:r>
        <w:rPr>
          <w:rFonts w:eastAsiaTheme="minorHAnsi"/>
          <w:color w:val="000000" w:themeColor="text1"/>
        </w:rPr>
        <w:t xml:space="preserve"> </w:t>
      </w:r>
      <w:r w:rsidRPr="004D177F">
        <w:rPr>
          <w:color w:val="000000" w:themeColor="text1"/>
        </w:rPr>
        <w:t xml:space="preserve">platform (Illumina, San Diego) DNA methylation microarray with </w:t>
      </w:r>
      <w:r>
        <w:rPr>
          <w:color w:val="000000" w:themeColor="text1"/>
        </w:rPr>
        <w:t>8</w:t>
      </w:r>
      <w:r w:rsidRPr="004D177F">
        <w:rPr>
          <w:color w:val="000000" w:themeColor="text1"/>
        </w:rPr>
        <w:t xml:space="preserve">50,000 CpG sites. </w:t>
      </w:r>
    </w:p>
    <w:p w14:paraId="23E7ED69" w14:textId="08CB11C9" w:rsidR="00EE30C9" w:rsidRDefault="00EE30C9" w:rsidP="00EE30C9">
      <w:pPr>
        <w:spacing w:line="480" w:lineRule="auto"/>
        <w:rPr>
          <w:color w:val="000000" w:themeColor="text1"/>
        </w:rPr>
      </w:pPr>
    </w:p>
    <w:p w14:paraId="71761466" w14:textId="77777777" w:rsidR="00EE30C9" w:rsidRDefault="00EE30C9" w:rsidP="00EE30C9">
      <w:pPr>
        <w:spacing w:line="480" w:lineRule="auto"/>
        <w:rPr>
          <w:color w:val="000000" w:themeColor="text1"/>
        </w:rPr>
      </w:pPr>
    </w:p>
    <w:p w14:paraId="138BA266" w14:textId="77777777" w:rsidR="00EE30C9" w:rsidRPr="00C951E4" w:rsidRDefault="00EE30C9" w:rsidP="00EE30C9">
      <w:pPr>
        <w:spacing w:line="480" w:lineRule="auto"/>
        <w:rPr>
          <w:color w:val="000000" w:themeColor="text1"/>
        </w:rPr>
      </w:pPr>
    </w:p>
    <w:p w14:paraId="6EE1E0F1" w14:textId="77777777" w:rsidR="00EE30C9" w:rsidRPr="004D177F" w:rsidRDefault="00EE30C9" w:rsidP="00EE30C9">
      <w:pPr>
        <w:autoSpaceDE w:val="0"/>
        <w:autoSpaceDN w:val="0"/>
        <w:adjustRightInd w:val="0"/>
        <w:spacing w:line="480" w:lineRule="auto"/>
        <w:rPr>
          <w:b/>
          <w:bCs/>
          <w:color w:val="000000" w:themeColor="text1"/>
        </w:rPr>
      </w:pPr>
      <w:r w:rsidRPr="004D177F">
        <w:rPr>
          <w:b/>
          <w:bCs/>
          <w:color w:val="000000" w:themeColor="text1"/>
        </w:rPr>
        <w:lastRenderedPageBreak/>
        <w:t>Epigenetic Age Calculators</w:t>
      </w:r>
    </w:p>
    <w:p w14:paraId="6A7F7F19" w14:textId="627C8A61" w:rsidR="00EE30C9" w:rsidRDefault="00EE30C9" w:rsidP="00EE30C9">
      <w:pPr>
        <w:autoSpaceDE w:val="0"/>
        <w:autoSpaceDN w:val="0"/>
        <w:adjustRightInd w:val="0"/>
        <w:spacing w:line="480" w:lineRule="auto"/>
        <w:rPr>
          <w:color w:val="000000" w:themeColor="text1"/>
        </w:rPr>
      </w:pPr>
      <w:r w:rsidRPr="00432618">
        <w:rPr>
          <w:color w:val="000000" w:themeColor="text1"/>
        </w:rPr>
        <w:t xml:space="preserve">Over the past decades, significant efforts have been dedicated to identifying </w:t>
      </w:r>
      <w:r>
        <w:rPr>
          <w:color w:val="000000" w:themeColor="text1"/>
        </w:rPr>
        <w:t xml:space="preserve">aging-associated </w:t>
      </w:r>
      <w:r w:rsidRPr="00432618">
        <w:rPr>
          <w:color w:val="000000" w:themeColor="text1"/>
        </w:rPr>
        <w:t>biomarkers,</w:t>
      </w:r>
      <w:r>
        <w:rPr>
          <w:color w:val="000000" w:themeColor="text1"/>
        </w:rPr>
        <w:t xml:space="preserve"> resulting in emergence </w:t>
      </w:r>
      <w:r w:rsidRPr="00432618">
        <w:rPr>
          <w:color w:val="000000" w:themeColor="text1"/>
        </w:rPr>
        <w:t xml:space="preserve">of </w:t>
      </w:r>
      <w:r>
        <w:rPr>
          <w:color w:val="000000" w:themeColor="text1"/>
        </w:rPr>
        <w:t xml:space="preserve">several </w:t>
      </w:r>
      <w:r w:rsidRPr="00432618">
        <w:rPr>
          <w:color w:val="000000" w:themeColor="text1"/>
        </w:rPr>
        <w:t xml:space="preserve">novel markers for biological aging. </w:t>
      </w:r>
      <w:r w:rsidRPr="00B80B15">
        <w:rPr>
          <w:color w:val="000000" w:themeColor="text1"/>
        </w:rPr>
        <w:t>The most promising among these markers is the epigenetic clock, which captures alterations in DNA methylation (</w:t>
      </w:r>
      <w:proofErr w:type="spellStart"/>
      <w:r w:rsidRPr="00B80B15">
        <w:rPr>
          <w:color w:val="000000" w:themeColor="text1"/>
        </w:rPr>
        <w:t>DNAm</w:t>
      </w:r>
      <w:proofErr w:type="spellEnd"/>
      <w:r w:rsidRPr="00B80B15">
        <w:rPr>
          <w:color w:val="000000" w:themeColor="text1"/>
        </w:rPr>
        <w:t>) patterns occurring at CpG dinucleotides with age.</w:t>
      </w:r>
      <w:r>
        <w:rPr>
          <w:color w:val="000000" w:themeColor="text1"/>
          <w:vertAlign w:val="superscript"/>
        </w:rPr>
        <w:t>2</w:t>
      </w:r>
      <w:r w:rsidRPr="00D47EE3">
        <w:rPr>
          <w:color w:val="000000" w:themeColor="text1"/>
        </w:rPr>
        <w:t xml:space="preserve">  </w:t>
      </w:r>
    </w:p>
    <w:p w14:paraId="383BE488" w14:textId="77777777" w:rsidR="00EE30C9" w:rsidRPr="00D47EE3" w:rsidRDefault="00EE30C9" w:rsidP="00EE30C9">
      <w:pPr>
        <w:autoSpaceDE w:val="0"/>
        <w:autoSpaceDN w:val="0"/>
        <w:adjustRightInd w:val="0"/>
        <w:spacing w:line="480" w:lineRule="auto"/>
        <w:rPr>
          <w:color w:val="000000" w:themeColor="text1"/>
        </w:rPr>
      </w:pPr>
    </w:p>
    <w:p w14:paraId="6CBB184F" w14:textId="64A80057" w:rsidR="00EE30C9" w:rsidRDefault="00EE30C9" w:rsidP="00EE30C9">
      <w:pPr>
        <w:autoSpaceDE w:val="0"/>
        <w:autoSpaceDN w:val="0"/>
        <w:adjustRightInd w:val="0"/>
        <w:spacing w:line="480" w:lineRule="auto"/>
        <w:rPr>
          <w:rFonts w:eastAsiaTheme="minorHAnsi"/>
          <w:color w:val="000000" w:themeColor="text1"/>
        </w:rPr>
      </w:pPr>
      <w:r w:rsidRPr="004D177F">
        <w:rPr>
          <w:rFonts w:eastAsiaTheme="minorHAnsi"/>
          <w:color w:val="000000" w:themeColor="text1"/>
        </w:rPr>
        <w:t xml:space="preserve">Hannum </w:t>
      </w:r>
      <w:r>
        <w:rPr>
          <w:rFonts w:eastAsiaTheme="minorHAnsi"/>
          <w:color w:val="000000" w:themeColor="text1"/>
        </w:rPr>
        <w:t>epigenetic clock</w:t>
      </w:r>
      <w:r w:rsidRPr="004D177F">
        <w:rPr>
          <w:rFonts w:eastAsiaTheme="minorHAnsi"/>
          <w:color w:val="000000" w:themeColor="text1"/>
        </w:rPr>
        <w:t xml:space="preserve"> was developed as a </w:t>
      </w:r>
      <w:r>
        <w:rPr>
          <w:rFonts w:eastAsiaTheme="minorHAnsi"/>
          <w:color w:val="000000" w:themeColor="text1"/>
        </w:rPr>
        <w:t>single-tissue DNA methylation-based age estimator</w:t>
      </w:r>
      <w:r w:rsidRPr="004D177F">
        <w:rPr>
          <w:rFonts w:eastAsiaTheme="minorHAnsi"/>
          <w:color w:val="000000" w:themeColor="text1"/>
        </w:rPr>
        <w:t xml:space="preserve">. </w:t>
      </w:r>
      <w:r>
        <w:rPr>
          <w:rFonts w:eastAsiaTheme="minorHAnsi"/>
          <w:color w:val="000000" w:themeColor="text1"/>
          <w:vertAlign w:val="superscript"/>
        </w:rPr>
        <w:t>3</w:t>
      </w:r>
      <w:r w:rsidRPr="003A3A1D">
        <w:rPr>
          <w:rFonts w:eastAsiaTheme="minorHAnsi"/>
          <w:color w:val="000000" w:themeColor="text1"/>
        </w:rPr>
        <w:t xml:space="preserve">As Hannum’s clock was exclusively trained using blood samples and tailored specifically for adults, it </w:t>
      </w:r>
      <w:r>
        <w:rPr>
          <w:rFonts w:eastAsiaTheme="minorHAnsi"/>
          <w:color w:val="000000" w:themeColor="text1"/>
        </w:rPr>
        <w:t xml:space="preserve">may </w:t>
      </w:r>
      <w:r w:rsidRPr="003A3A1D">
        <w:rPr>
          <w:rFonts w:eastAsiaTheme="minorHAnsi"/>
          <w:color w:val="000000" w:themeColor="text1"/>
        </w:rPr>
        <w:t>lead to inaccurate estimations in children and non-blood tissues.</w:t>
      </w:r>
      <w:r>
        <w:rPr>
          <w:rFonts w:eastAsiaTheme="minorHAnsi"/>
          <w:color w:val="000000" w:themeColor="text1"/>
          <w:vertAlign w:val="superscript"/>
        </w:rPr>
        <w:t>4</w:t>
      </w:r>
      <w:r>
        <w:rPr>
          <w:rFonts w:eastAsiaTheme="minorHAnsi"/>
          <w:color w:val="000000" w:themeColor="text1"/>
        </w:rPr>
        <w:t xml:space="preserve"> Horvath’s clock was developed as the first multi-tissue age estimator, enabling </w:t>
      </w:r>
      <w:r w:rsidRPr="004D177F">
        <w:rPr>
          <w:rFonts w:eastAsiaTheme="minorHAnsi"/>
          <w:color w:val="000000" w:themeColor="text1"/>
        </w:rPr>
        <w:t xml:space="preserve">the estimation of </w:t>
      </w:r>
      <w:proofErr w:type="spellStart"/>
      <w:r w:rsidRPr="004D177F">
        <w:rPr>
          <w:rFonts w:eastAsiaTheme="minorHAnsi"/>
          <w:color w:val="000000" w:themeColor="text1"/>
        </w:rPr>
        <w:t>DNA</w:t>
      </w:r>
      <w:r>
        <w:rPr>
          <w:rFonts w:eastAsiaTheme="minorHAnsi"/>
          <w:color w:val="000000" w:themeColor="text1"/>
        </w:rPr>
        <w:t>m</w:t>
      </w:r>
      <w:proofErr w:type="spellEnd"/>
      <w:r w:rsidRPr="004D177F">
        <w:rPr>
          <w:rFonts w:eastAsiaTheme="minorHAnsi"/>
          <w:color w:val="000000" w:themeColor="text1"/>
        </w:rPr>
        <w:t xml:space="preserve"> age </w:t>
      </w:r>
      <w:r>
        <w:rPr>
          <w:rFonts w:eastAsiaTheme="minorHAnsi"/>
          <w:color w:val="000000" w:themeColor="text1"/>
        </w:rPr>
        <w:t>using multiple sources of cells,</w:t>
      </w:r>
      <w:r w:rsidRPr="004D177F">
        <w:rPr>
          <w:rFonts w:eastAsiaTheme="minorHAnsi"/>
          <w:color w:val="000000" w:themeColor="text1"/>
        </w:rPr>
        <w:t xml:space="preserve"> tissues and </w:t>
      </w:r>
      <w:r>
        <w:rPr>
          <w:rFonts w:eastAsiaTheme="minorHAnsi"/>
          <w:color w:val="000000" w:themeColor="text1"/>
        </w:rPr>
        <w:t>organs from children and adults.</w:t>
      </w:r>
      <w:r w:rsidRPr="00EE30C9">
        <w:rPr>
          <w:rFonts w:eastAsiaTheme="minorHAnsi"/>
          <w:color w:val="000000" w:themeColor="text1"/>
          <w:vertAlign w:val="superscript"/>
        </w:rPr>
        <w:t>5</w:t>
      </w:r>
      <w:r w:rsidRPr="00EE30C9" w:rsidDel="00CF0290">
        <w:rPr>
          <w:rFonts w:eastAsiaTheme="minorHAnsi"/>
          <w:color w:val="000000" w:themeColor="text1"/>
          <w:vertAlign w:val="superscript"/>
        </w:rPr>
        <w:t xml:space="preserve"> </w:t>
      </w:r>
      <w:r>
        <w:rPr>
          <w:rFonts w:eastAsiaTheme="minorHAnsi"/>
          <w:color w:val="000000" w:themeColor="text1"/>
        </w:rPr>
        <w:t xml:space="preserve"> However, the first generation of epigenetic clocks, including Hannum and Horvath, primarily aimed to predict chronological age and displayed weak associations with clinical measures of physiological dysregulation such as blood pressure and blood lipids and glucose levels. Subsequently, </w:t>
      </w:r>
      <w:proofErr w:type="spellStart"/>
      <w:r>
        <w:rPr>
          <w:rFonts w:eastAsiaTheme="minorHAnsi"/>
          <w:color w:val="000000" w:themeColor="text1"/>
        </w:rPr>
        <w:t>PhenoAge</w:t>
      </w:r>
      <w:proofErr w:type="spellEnd"/>
      <w:r>
        <w:rPr>
          <w:rFonts w:eastAsiaTheme="minorHAnsi"/>
          <w:color w:val="000000" w:themeColor="text1"/>
        </w:rPr>
        <w:t xml:space="preserve"> was developed by substituting the prediction of chronological age with a measure of phenotypic aging and mortality risk by incorporating a combination of biomarkers.  </w:t>
      </w:r>
      <w:proofErr w:type="spellStart"/>
      <w:r>
        <w:rPr>
          <w:rFonts w:eastAsiaTheme="minorHAnsi"/>
          <w:color w:val="000000" w:themeColor="text1"/>
        </w:rPr>
        <w:t>PhenoAge</w:t>
      </w:r>
      <w:proofErr w:type="spellEnd"/>
      <w:r>
        <w:rPr>
          <w:rFonts w:eastAsiaTheme="minorHAnsi"/>
          <w:color w:val="000000" w:themeColor="text1"/>
        </w:rPr>
        <w:t xml:space="preserve"> can differentiate morbidity and mortality risk among individuals of the same age</w:t>
      </w:r>
      <w:r w:rsidRPr="004D177F">
        <w:rPr>
          <w:rFonts w:eastAsiaTheme="minorHAnsi"/>
          <w:color w:val="000000" w:themeColor="text1"/>
        </w:rPr>
        <w:t>.</w:t>
      </w:r>
      <w:r>
        <w:rPr>
          <w:rFonts w:eastAsiaTheme="minorHAnsi"/>
          <w:color w:val="000000" w:themeColor="text1"/>
          <w:vertAlign w:val="superscript"/>
        </w:rPr>
        <w:t>6</w:t>
      </w:r>
      <w:r>
        <w:rPr>
          <w:rFonts w:eastAsiaTheme="minorHAnsi"/>
          <w:color w:val="000000" w:themeColor="text1"/>
        </w:rPr>
        <w:t xml:space="preserve"> </w:t>
      </w:r>
      <w:proofErr w:type="spellStart"/>
      <w:r w:rsidRPr="000550E7">
        <w:rPr>
          <w:rFonts w:eastAsiaTheme="minorHAnsi"/>
          <w:color w:val="000000" w:themeColor="text1"/>
        </w:rPr>
        <w:t>PhenoAge</w:t>
      </w:r>
      <w:proofErr w:type="spellEnd"/>
      <w:r w:rsidRPr="000550E7">
        <w:rPr>
          <w:rFonts w:eastAsiaTheme="minorHAnsi"/>
          <w:color w:val="000000" w:themeColor="text1"/>
        </w:rPr>
        <w:t xml:space="preserve"> demonstrates superior performance compared to the </w:t>
      </w:r>
      <w:r>
        <w:rPr>
          <w:rFonts w:eastAsiaTheme="minorHAnsi"/>
          <w:color w:val="000000" w:themeColor="text1"/>
        </w:rPr>
        <w:t>other</w:t>
      </w:r>
      <w:r w:rsidRPr="000550E7">
        <w:rPr>
          <w:rFonts w:eastAsiaTheme="minorHAnsi"/>
          <w:color w:val="000000" w:themeColor="text1"/>
        </w:rPr>
        <w:t xml:space="preserve"> </w:t>
      </w:r>
      <w:proofErr w:type="spellStart"/>
      <w:r w:rsidRPr="000550E7">
        <w:rPr>
          <w:rFonts w:eastAsiaTheme="minorHAnsi"/>
          <w:color w:val="000000" w:themeColor="text1"/>
        </w:rPr>
        <w:t>DNAm</w:t>
      </w:r>
      <w:proofErr w:type="spellEnd"/>
      <w:r w:rsidRPr="000550E7">
        <w:rPr>
          <w:rFonts w:eastAsiaTheme="minorHAnsi"/>
          <w:color w:val="000000" w:themeColor="text1"/>
        </w:rPr>
        <w:t xml:space="preserve"> age estimators in predicting </w:t>
      </w:r>
      <w:r>
        <w:rPr>
          <w:rFonts w:eastAsiaTheme="minorHAnsi"/>
          <w:color w:val="000000" w:themeColor="text1"/>
        </w:rPr>
        <w:t>survival</w:t>
      </w:r>
      <w:r w:rsidRPr="000550E7">
        <w:rPr>
          <w:rFonts w:eastAsiaTheme="minorHAnsi"/>
          <w:color w:val="000000" w:themeColor="text1"/>
        </w:rPr>
        <w:t xml:space="preserve">, </w:t>
      </w:r>
      <w:proofErr w:type="spellStart"/>
      <w:r w:rsidRPr="000550E7">
        <w:rPr>
          <w:rFonts w:eastAsiaTheme="minorHAnsi"/>
          <w:color w:val="000000" w:themeColor="text1"/>
        </w:rPr>
        <w:t>healthspan</w:t>
      </w:r>
      <w:proofErr w:type="spellEnd"/>
      <w:r w:rsidRPr="000550E7">
        <w:rPr>
          <w:rFonts w:eastAsiaTheme="minorHAnsi"/>
          <w:color w:val="000000" w:themeColor="text1"/>
        </w:rPr>
        <w:t xml:space="preserve">, </w:t>
      </w:r>
      <w:r>
        <w:rPr>
          <w:rFonts w:eastAsiaTheme="minorHAnsi"/>
          <w:color w:val="000000" w:themeColor="text1"/>
        </w:rPr>
        <w:t xml:space="preserve">physical function </w:t>
      </w:r>
      <w:r w:rsidRPr="000550E7">
        <w:rPr>
          <w:rFonts w:eastAsiaTheme="minorHAnsi"/>
          <w:color w:val="000000" w:themeColor="text1"/>
        </w:rPr>
        <w:t>or cardiovascular disease. Additionally, it exhibits a robust correlation with diverse indicators of multi-morbidity.</w:t>
      </w:r>
      <w:r>
        <w:rPr>
          <w:rFonts w:eastAsiaTheme="minorHAnsi"/>
          <w:color w:val="000000" w:themeColor="text1"/>
        </w:rPr>
        <w:t xml:space="preserve"> On the other hand, </w:t>
      </w:r>
      <w:proofErr w:type="spellStart"/>
      <w:r>
        <w:rPr>
          <w:rFonts w:eastAsiaTheme="minorHAnsi"/>
          <w:color w:val="000000" w:themeColor="text1"/>
        </w:rPr>
        <w:t>GrimAge</w:t>
      </w:r>
      <w:proofErr w:type="spellEnd"/>
      <w:r>
        <w:rPr>
          <w:rFonts w:eastAsiaTheme="minorHAnsi"/>
          <w:color w:val="000000" w:themeColor="text1"/>
        </w:rPr>
        <w:t xml:space="preserve"> particularly excels in predicting longevity and the onset of age-related pathological conditions and diseases compared to other epigenetic clocks.</w:t>
      </w:r>
      <w:r>
        <w:rPr>
          <w:rFonts w:eastAsiaTheme="minorHAnsi"/>
          <w:color w:val="000000" w:themeColor="text1"/>
          <w:vertAlign w:val="superscript"/>
        </w:rPr>
        <w:t>7</w:t>
      </w:r>
      <w:r>
        <w:rPr>
          <w:rFonts w:eastAsiaTheme="minorHAnsi"/>
          <w:color w:val="000000" w:themeColor="text1"/>
        </w:rPr>
        <w:t xml:space="preserve"> </w:t>
      </w:r>
      <w:proofErr w:type="spellStart"/>
      <w:r w:rsidRPr="004D177F">
        <w:rPr>
          <w:rFonts w:eastAsiaTheme="minorHAnsi"/>
          <w:color w:val="000000" w:themeColor="text1"/>
        </w:rPr>
        <w:t>GrimAge</w:t>
      </w:r>
      <w:proofErr w:type="spellEnd"/>
      <w:r w:rsidRPr="004D177F">
        <w:rPr>
          <w:rFonts w:eastAsiaTheme="minorHAnsi"/>
          <w:color w:val="000000" w:themeColor="text1"/>
        </w:rPr>
        <w:t xml:space="preserve"> was calculated using DNA methylation biomarkers of physiological risk factors and stress factors </w:t>
      </w:r>
      <w:r w:rsidR="005D5FBB" w:rsidRPr="004D177F">
        <w:rPr>
          <w:rFonts w:eastAsiaTheme="minorHAnsi"/>
          <w:color w:val="000000" w:themeColor="text1"/>
        </w:rPr>
        <w:t xml:space="preserve">including </w:t>
      </w:r>
      <w:r w:rsidR="005D5FBB">
        <w:rPr>
          <w:rFonts w:eastAsiaTheme="minorHAnsi"/>
          <w:color w:val="000000" w:themeColor="text1"/>
        </w:rPr>
        <w:t>several</w:t>
      </w:r>
      <w:r>
        <w:rPr>
          <w:rFonts w:eastAsiaTheme="minorHAnsi"/>
          <w:color w:val="000000" w:themeColor="text1"/>
        </w:rPr>
        <w:t xml:space="preserve"> </w:t>
      </w:r>
      <w:proofErr w:type="spellStart"/>
      <w:r>
        <w:rPr>
          <w:rFonts w:eastAsiaTheme="minorHAnsi"/>
          <w:color w:val="000000" w:themeColor="text1"/>
        </w:rPr>
        <w:lastRenderedPageBreak/>
        <w:t>DNAm</w:t>
      </w:r>
      <w:proofErr w:type="spellEnd"/>
      <w:r>
        <w:rPr>
          <w:rFonts w:eastAsiaTheme="minorHAnsi"/>
          <w:color w:val="000000" w:themeColor="text1"/>
        </w:rPr>
        <w:t xml:space="preserve"> estimators of plasma proteins</w:t>
      </w:r>
      <w:r w:rsidRPr="004D177F">
        <w:rPr>
          <w:rFonts w:eastAsiaTheme="minorHAnsi"/>
          <w:color w:val="000000" w:themeColor="text1"/>
        </w:rPr>
        <w:t xml:space="preserve"> and smoking pack-years</w:t>
      </w:r>
      <w:r>
        <w:rPr>
          <w:rFonts w:eastAsiaTheme="minorHAnsi"/>
          <w:color w:val="000000" w:themeColor="text1"/>
        </w:rPr>
        <w:t xml:space="preserve">. </w:t>
      </w:r>
      <w:r w:rsidR="005D5FBB">
        <w:rPr>
          <w:rFonts w:eastAsiaTheme="minorHAnsi"/>
          <w:color w:val="000000" w:themeColor="text1"/>
        </w:rPr>
        <w:t>Additionally, the</w:t>
      </w:r>
      <w:r>
        <w:rPr>
          <w:rFonts w:eastAsiaTheme="minorHAnsi"/>
          <w:color w:val="000000" w:themeColor="text1"/>
        </w:rPr>
        <w:t xml:space="preserve"> development of the </w:t>
      </w:r>
      <w:r w:rsidRPr="004D177F">
        <w:rPr>
          <w:rFonts w:eastAsiaTheme="minorHAnsi"/>
          <w:color w:val="000000" w:themeColor="text1"/>
        </w:rPr>
        <w:t xml:space="preserve"> </w:t>
      </w:r>
      <w:proofErr w:type="spellStart"/>
      <w:r w:rsidRPr="004D177F">
        <w:rPr>
          <w:rFonts w:eastAsiaTheme="minorHAnsi"/>
          <w:color w:val="000000" w:themeColor="text1"/>
        </w:rPr>
        <w:t>SkinBlood</w:t>
      </w:r>
      <w:r>
        <w:rPr>
          <w:rFonts w:eastAsiaTheme="minorHAnsi"/>
          <w:color w:val="000000" w:themeColor="text1"/>
        </w:rPr>
        <w:t>Age</w:t>
      </w:r>
      <w:proofErr w:type="spellEnd"/>
      <w:r w:rsidRPr="004D177F">
        <w:rPr>
          <w:rFonts w:eastAsiaTheme="minorHAnsi"/>
          <w:color w:val="000000" w:themeColor="text1"/>
        </w:rPr>
        <w:t xml:space="preserve"> </w:t>
      </w:r>
      <w:r>
        <w:rPr>
          <w:rFonts w:eastAsiaTheme="minorHAnsi"/>
          <w:color w:val="000000" w:themeColor="text1"/>
        </w:rPr>
        <w:t>provided a more accurate model using cultured cells, particularly fibroblasts, a widely used model system in cellular ageing.</w:t>
      </w:r>
      <w:r>
        <w:rPr>
          <w:rFonts w:eastAsiaTheme="minorHAnsi"/>
          <w:color w:val="000000" w:themeColor="text1"/>
          <w:vertAlign w:val="superscript"/>
        </w:rPr>
        <w:t>8</w:t>
      </w:r>
      <w:r w:rsidRPr="004D177F">
        <w:rPr>
          <w:rFonts w:eastAsiaTheme="minorHAnsi"/>
          <w:color w:val="000000" w:themeColor="text1"/>
        </w:rPr>
        <w:t xml:space="preserve"> The </w:t>
      </w:r>
      <w:proofErr w:type="spellStart"/>
      <w:r w:rsidRPr="004D177F">
        <w:rPr>
          <w:rFonts w:eastAsiaTheme="minorHAnsi"/>
          <w:color w:val="000000" w:themeColor="text1"/>
        </w:rPr>
        <w:t>SkinBlood</w:t>
      </w:r>
      <w:r>
        <w:rPr>
          <w:rFonts w:eastAsiaTheme="minorHAnsi"/>
          <w:color w:val="000000" w:themeColor="text1"/>
        </w:rPr>
        <w:t>Age</w:t>
      </w:r>
      <w:proofErr w:type="spellEnd"/>
      <w:r w:rsidRPr="004D177F">
        <w:rPr>
          <w:rFonts w:eastAsiaTheme="minorHAnsi"/>
          <w:color w:val="000000" w:themeColor="text1"/>
        </w:rPr>
        <w:t xml:space="preserve"> is more accurate in all metrics of accuracy in fibroblasts, microvascular endothelial cells, buccal epithelial cells, keratinocytes, and dermis/epidermis samples.</w:t>
      </w:r>
      <w:r>
        <w:rPr>
          <w:rFonts w:eastAsiaTheme="minorHAnsi"/>
          <w:color w:val="000000" w:themeColor="text1"/>
          <w:vertAlign w:val="superscript"/>
        </w:rPr>
        <w:t>9</w:t>
      </w:r>
      <w:r>
        <w:rPr>
          <w:rFonts w:eastAsiaTheme="minorHAnsi"/>
          <w:color w:val="000000" w:themeColor="text1"/>
        </w:rPr>
        <w:t xml:space="preserve"> </w:t>
      </w:r>
    </w:p>
    <w:p w14:paraId="60A085E9" w14:textId="77777777" w:rsidR="00EE30C9" w:rsidRDefault="00EE30C9" w:rsidP="00EE30C9">
      <w:pPr>
        <w:autoSpaceDE w:val="0"/>
        <w:autoSpaceDN w:val="0"/>
        <w:adjustRightInd w:val="0"/>
        <w:spacing w:line="480" w:lineRule="auto"/>
        <w:rPr>
          <w:rFonts w:eastAsiaTheme="minorHAnsi"/>
          <w:color w:val="000000" w:themeColor="text1"/>
        </w:rPr>
      </w:pPr>
    </w:p>
    <w:p w14:paraId="093E1530" w14:textId="6E8B3041" w:rsidR="00EE30C9" w:rsidRDefault="00EE30C9" w:rsidP="00EE30C9">
      <w:pPr>
        <w:spacing w:line="480" w:lineRule="auto"/>
        <w:rPr>
          <w:color w:val="000000" w:themeColor="text1"/>
        </w:rPr>
      </w:pPr>
      <w:r>
        <w:rPr>
          <w:color w:val="000000" w:themeColor="text1"/>
        </w:rPr>
        <w:t xml:space="preserve">    In our study,  t</w:t>
      </w:r>
      <w:r w:rsidRPr="004D177F">
        <w:rPr>
          <w:color w:val="000000" w:themeColor="text1"/>
        </w:rPr>
        <w:t xml:space="preserve">o determine Horvath, Hannum, </w:t>
      </w:r>
      <w:proofErr w:type="spellStart"/>
      <w:r>
        <w:rPr>
          <w:color w:val="000000" w:themeColor="text1"/>
        </w:rPr>
        <w:t>Pheno</w:t>
      </w:r>
      <w:proofErr w:type="spellEnd"/>
      <w:r>
        <w:rPr>
          <w:color w:val="000000" w:themeColor="text1"/>
        </w:rPr>
        <w:t>,</w:t>
      </w:r>
      <w:r w:rsidRPr="004D177F">
        <w:rPr>
          <w:color w:val="000000" w:themeColor="text1"/>
        </w:rPr>
        <w:t xml:space="preserve"> Skin Blood, and Grim DNA methylation ages, the </w:t>
      </w:r>
      <w:r w:rsidRPr="004D177F">
        <w:rPr>
          <w:rFonts w:eastAsia="Arial"/>
          <w:color w:val="000000" w:themeColor="text1"/>
        </w:rPr>
        <w:t xml:space="preserve">raw intensity of the Illumina Methylation EPIC </w:t>
      </w:r>
      <w:proofErr w:type="spellStart"/>
      <w:r w:rsidRPr="004D177F">
        <w:rPr>
          <w:rFonts w:eastAsia="Arial"/>
          <w:color w:val="000000" w:themeColor="text1"/>
        </w:rPr>
        <w:t>BeadChip</w:t>
      </w:r>
      <w:proofErr w:type="spellEnd"/>
      <w:r w:rsidRPr="004D177F">
        <w:rPr>
          <w:rFonts w:eastAsia="Arial"/>
          <w:color w:val="000000" w:themeColor="text1"/>
        </w:rPr>
        <w:t xml:space="preserve"> was scanned, extracted, summarized, and </w:t>
      </w:r>
      <w:r w:rsidRPr="004D177F">
        <w:rPr>
          <w:color w:val="000000" w:themeColor="text1"/>
        </w:rPr>
        <w:t xml:space="preserve">loaded into the R/Bioconductor package v3.4.3 via </w:t>
      </w:r>
      <w:proofErr w:type="spellStart"/>
      <w:r w:rsidRPr="004D177F">
        <w:rPr>
          <w:color w:val="000000" w:themeColor="text1"/>
        </w:rPr>
        <w:t>minfi</w:t>
      </w:r>
      <w:proofErr w:type="spellEnd"/>
      <w:r w:rsidRPr="004D177F">
        <w:rPr>
          <w:color w:val="000000" w:themeColor="text1"/>
        </w:rPr>
        <w:t xml:space="preserve"> v1.20.2</w:t>
      </w:r>
      <w:r w:rsidRPr="004D177F">
        <w:rPr>
          <w:rFonts w:eastAsia="Arial"/>
          <w:color w:val="000000" w:themeColor="text1"/>
        </w:rPr>
        <w:t xml:space="preserve"> for normalization and QC, corrected for technical bias due to the two types of chemistry using the Subset-Quantile Within Array Normalization method.</w:t>
      </w:r>
      <w:r w:rsidR="002708DE" w:rsidRPr="002708DE">
        <w:rPr>
          <w:rFonts w:eastAsia="Arial"/>
          <w:color w:val="000000" w:themeColor="text1"/>
          <w:vertAlign w:val="superscript"/>
        </w:rPr>
        <w:t>1,5,6,7</w:t>
      </w:r>
      <w:r w:rsidRPr="004D177F">
        <w:rPr>
          <w:rFonts w:eastAsia="Arial"/>
          <w:color w:val="000000" w:themeColor="text1"/>
        </w:rPr>
        <w:t xml:space="preserve"> Quality of raw data files were determined using the methylation module in </w:t>
      </w:r>
      <w:proofErr w:type="spellStart"/>
      <w:r w:rsidRPr="004D177F">
        <w:rPr>
          <w:rFonts w:eastAsia="Arial"/>
          <w:color w:val="000000" w:themeColor="text1"/>
        </w:rPr>
        <w:t>GenomeStudio</w:t>
      </w:r>
      <w:proofErr w:type="spellEnd"/>
      <w:r w:rsidRPr="004D177F">
        <w:rPr>
          <w:rFonts w:eastAsia="Arial"/>
          <w:color w:val="000000" w:themeColor="text1"/>
        </w:rPr>
        <w:t xml:space="preserve"> (version 2011.1).</w:t>
      </w:r>
      <w:r w:rsidR="002708DE">
        <w:rPr>
          <w:rFonts w:eastAsia="Arial"/>
          <w:color w:val="000000" w:themeColor="text1"/>
          <w:vertAlign w:val="superscript"/>
        </w:rPr>
        <w:t>1</w:t>
      </w:r>
      <w:r w:rsidRPr="004D177F">
        <w:rPr>
          <w:rFonts w:eastAsia="Arial"/>
          <w:color w:val="000000" w:themeColor="text1"/>
        </w:rPr>
        <w:t xml:space="preserve"> </w:t>
      </w:r>
      <w:r w:rsidRPr="004D177F">
        <w:rPr>
          <w:color w:val="000000" w:themeColor="text1"/>
        </w:rPr>
        <w:t>Beta values were obtained and flow-sorted with FlowSorted.Blood.450k v1.12.0 after quantile normalization and were corrected for cell type using flow-sorted and estimated cell count data</w:t>
      </w:r>
      <w:r>
        <w:rPr>
          <w:color w:val="000000" w:themeColor="text1"/>
        </w:rPr>
        <w:t>.</w:t>
      </w:r>
      <w:r w:rsidDel="009C385C">
        <w:rPr>
          <w:color w:val="000000" w:themeColor="text1"/>
        </w:rPr>
        <w:t xml:space="preserve"> </w:t>
      </w:r>
      <w:r w:rsidRPr="00441C23">
        <w:rPr>
          <w:color w:val="000000" w:themeColor="text1"/>
          <w:vertAlign w:val="superscript"/>
        </w:rPr>
        <w:t xml:space="preserve"> </w:t>
      </w:r>
      <w:r w:rsidRPr="004D177F">
        <w:rPr>
          <w:color w:val="000000" w:themeColor="text1"/>
        </w:rPr>
        <w:t>The corrected beta values were used to estimate epigenetic age with the age transformation function.</w:t>
      </w:r>
      <w:r w:rsidDel="009C385C">
        <w:rPr>
          <w:color w:val="000000" w:themeColor="text1"/>
        </w:rPr>
        <w:t xml:space="preserve"> </w:t>
      </w:r>
      <w:r>
        <w:rPr>
          <w:color w:val="000000" w:themeColor="text1"/>
        </w:rPr>
        <w:t xml:space="preserve"> </w:t>
      </w:r>
      <w:r w:rsidRPr="004D177F">
        <w:rPr>
          <w:color w:val="000000" w:themeColor="text1"/>
        </w:rPr>
        <w:t>Non-corrected, quantile-normalized beta values were uploaded to the online age calculator for comparison.</w:t>
      </w:r>
      <w:r w:rsidRPr="00596E2F" w:rsidDel="004C7EF5">
        <w:rPr>
          <w:rFonts w:eastAsiaTheme="minorHAnsi"/>
          <w:color w:val="000000" w:themeColor="text1"/>
        </w:rPr>
        <w:t xml:space="preserve"> </w:t>
      </w:r>
      <w:r w:rsidDel="009C385C">
        <w:rPr>
          <w:color w:val="000000" w:themeColor="text1"/>
        </w:rPr>
        <w:t xml:space="preserve"> </w:t>
      </w:r>
      <w:r>
        <w:rPr>
          <w:color w:val="000000" w:themeColor="text1"/>
          <w:vertAlign w:val="superscript"/>
        </w:rPr>
        <w:t xml:space="preserve">  </w:t>
      </w:r>
    </w:p>
    <w:p w14:paraId="2DBF883D" w14:textId="77777777" w:rsidR="00EE30C9" w:rsidRDefault="00EE30C9" w:rsidP="00EE30C9">
      <w:pPr>
        <w:autoSpaceDE w:val="0"/>
        <w:autoSpaceDN w:val="0"/>
        <w:adjustRightInd w:val="0"/>
        <w:spacing w:line="480" w:lineRule="auto"/>
        <w:rPr>
          <w:color w:val="000000" w:themeColor="text1"/>
        </w:rPr>
      </w:pPr>
    </w:p>
    <w:p w14:paraId="27DA4FAC" w14:textId="77777777" w:rsidR="00EE30C9" w:rsidRPr="00D47EE3" w:rsidRDefault="00EE30C9" w:rsidP="00EE30C9">
      <w:pPr>
        <w:spacing w:line="480" w:lineRule="auto"/>
        <w:rPr>
          <w:b/>
          <w:bCs/>
          <w:color w:val="000000" w:themeColor="text1"/>
        </w:rPr>
      </w:pPr>
      <w:r w:rsidRPr="00D47EE3">
        <w:rPr>
          <w:b/>
          <w:bCs/>
          <w:color w:val="000000" w:themeColor="text1"/>
        </w:rPr>
        <w:t>Data Analysis</w:t>
      </w:r>
    </w:p>
    <w:p w14:paraId="7D2F4635" w14:textId="77777777" w:rsidR="00EE30C9" w:rsidRPr="0095267D" w:rsidRDefault="00EE30C9" w:rsidP="00EE30C9">
      <w:pPr>
        <w:spacing w:line="480" w:lineRule="auto"/>
        <w:jc w:val="both"/>
        <w:rPr>
          <w:rFonts w:eastAsia="SimSun"/>
          <w:bCs/>
          <w:lang w:eastAsia="zh-CN"/>
        </w:rPr>
      </w:pPr>
      <w:r>
        <w:rPr>
          <w:rFonts w:eastAsiaTheme="minorHAnsi"/>
          <w:color w:val="000000" w:themeColor="text1"/>
        </w:rPr>
        <w:t xml:space="preserve">Data were imported into SAS version 9.4 (SAS Institute Inc., Cary, NC) for statistical analyses. </w:t>
      </w:r>
      <w:r w:rsidRPr="000D2265">
        <w:rPr>
          <w:rFonts w:eastAsiaTheme="minorHAnsi"/>
          <w:color w:val="000000" w:themeColor="text1"/>
        </w:rPr>
        <w:t xml:space="preserve">The distribution of the outcomes and model residuals were used to determine the appropriate link function and distribution </w:t>
      </w:r>
      <w:r>
        <w:rPr>
          <w:rFonts w:eastAsiaTheme="minorHAnsi"/>
          <w:color w:val="000000" w:themeColor="text1"/>
        </w:rPr>
        <w:t xml:space="preserve">of </w:t>
      </w:r>
      <w:r w:rsidRPr="000D2265">
        <w:rPr>
          <w:rFonts w:eastAsiaTheme="minorHAnsi"/>
          <w:color w:val="000000" w:themeColor="text1"/>
        </w:rPr>
        <w:t xml:space="preserve">each model. Classical sandwich estimation was used to protect against model misspecification. </w:t>
      </w:r>
      <w:r>
        <w:rPr>
          <w:rFonts w:eastAsiaTheme="minorHAnsi"/>
          <w:color w:val="000000" w:themeColor="text1"/>
        </w:rPr>
        <w:t>P</w:t>
      </w:r>
      <w:r w:rsidRPr="000D2265">
        <w:rPr>
          <w:rFonts w:eastAsiaTheme="minorHAnsi"/>
          <w:color w:val="000000" w:themeColor="text1"/>
        </w:rPr>
        <w:t xml:space="preserve">airwise comparisons between groups were conducted within the model </w:t>
      </w:r>
      <w:r w:rsidRPr="000D2265">
        <w:rPr>
          <w:rFonts w:eastAsiaTheme="minorHAnsi"/>
          <w:color w:val="000000" w:themeColor="text1"/>
        </w:rPr>
        <w:lastRenderedPageBreak/>
        <w:t xml:space="preserve">via </w:t>
      </w:r>
      <w:r w:rsidRPr="000165D7">
        <w:rPr>
          <w:rFonts w:eastAsiaTheme="minorHAnsi"/>
          <w:color w:val="000000" w:themeColor="text1"/>
        </w:rPr>
        <w:t>orthogonal contrasts.</w:t>
      </w:r>
      <w:r w:rsidRPr="0095267D">
        <w:rPr>
          <w:rFonts w:eastAsia="SimSun"/>
          <w:bCs/>
        </w:rPr>
        <w:t xml:space="preserve"> All statistical tests were two-tailed, and the significance level was set at P&lt;0</w:t>
      </w:r>
      <w:r w:rsidRPr="0095267D">
        <w:rPr>
          <w:rFonts w:eastAsia="SimSun"/>
          <w:b/>
          <w:bCs/>
        </w:rPr>
        <w:t>.</w:t>
      </w:r>
      <w:r w:rsidRPr="0095267D">
        <w:rPr>
          <w:rFonts w:eastAsia="SimSun"/>
          <w:bCs/>
        </w:rPr>
        <w:t>05.</w:t>
      </w:r>
      <w:r>
        <w:rPr>
          <w:rFonts w:eastAsia="SimSun"/>
          <w:bCs/>
        </w:rPr>
        <w:t xml:space="preserve"> Our investigation aimed to initiate exploration rather than confirm definitive associations, serving as an initial inquiry into the potential links between epigenetic age and </w:t>
      </w:r>
      <w:proofErr w:type="spellStart"/>
      <w:r>
        <w:rPr>
          <w:rFonts w:eastAsia="SimSun"/>
          <w:bCs/>
        </w:rPr>
        <w:t>PsO</w:t>
      </w:r>
      <w:proofErr w:type="spellEnd"/>
      <w:r>
        <w:rPr>
          <w:rFonts w:eastAsia="SimSun"/>
          <w:bCs/>
        </w:rPr>
        <w:t xml:space="preserve">. </w:t>
      </w:r>
      <w:r w:rsidRPr="006419B6">
        <w:rPr>
          <w:rFonts w:eastAsia="SimSun"/>
          <w:bCs/>
        </w:rPr>
        <w:t>This study should be considered as a preliminary step toward understanding the potential relationship between these variables, emphasizing the need for further research with larger sample sizes and more extensive demographic representation to validate and elaborate on these initial findings.</w:t>
      </w:r>
    </w:p>
    <w:p w14:paraId="19A55F75" w14:textId="77777777" w:rsidR="00EE30C9" w:rsidRDefault="00EE30C9" w:rsidP="00EE30C9">
      <w:pPr>
        <w:spacing w:line="480" w:lineRule="auto"/>
        <w:rPr>
          <w:b/>
          <w:bCs/>
          <w:color w:val="000000" w:themeColor="text1"/>
        </w:rPr>
      </w:pPr>
    </w:p>
    <w:p w14:paraId="784BDD3F" w14:textId="77777777" w:rsidR="00EE30C9" w:rsidRDefault="00EE30C9" w:rsidP="00EE30C9">
      <w:pPr>
        <w:spacing w:after="160" w:line="259" w:lineRule="auto"/>
        <w:rPr>
          <w:b/>
          <w:bCs/>
          <w:color w:val="000000" w:themeColor="text1"/>
        </w:rPr>
      </w:pPr>
      <w:r>
        <w:rPr>
          <w:b/>
          <w:bCs/>
          <w:color w:val="000000" w:themeColor="text1"/>
        </w:rPr>
        <w:br w:type="page"/>
      </w:r>
    </w:p>
    <w:p w14:paraId="1173C09C" w14:textId="77777777" w:rsidR="00EE30C9" w:rsidRDefault="00EE30C9" w:rsidP="00EE30C9">
      <w:pPr>
        <w:spacing w:line="480" w:lineRule="auto"/>
        <w:rPr>
          <w:b/>
          <w:bCs/>
          <w:color w:val="000000" w:themeColor="text1"/>
        </w:rPr>
      </w:pPr>
    </w:p>
    <w:p w14:paraId="20B0EAEE" w14:textId="77777777" w:rsidR="00EE30C9" w:rsidRDefault="00EE30C9" w:rsidP="00EE30C9">
      <w:pPr>
        <w:rPr>
          <w:color w:val="000000" w:themeColor="text1"/>
        </w:rPr>
      </w:pPr>
      <w:r w:rsidRPr="004D177F">
        <w:rPr>
          <w:b/>
          <w:bCs/>
          <w:color w:val="000000" w:themeColor="text1"/>
        </w:rPr>
        <w:t>Supplementary Table 1.</w:t>
      </w:r>
      <w:r w:rsidRPr="004D177F">
        <w:rPr>
          <w:color w:val="000000" w:themeColor="text1"/>
        </w:rPr>
        <w:t xml:space="preserve"> Treatment information of psoriasis cases and corresponding epigenetic ages. </w:t>
      </w:r>
    </w:p>
    <w:p w14:paraId="3E316029" w14:textId="77777777" w:rsidR="00EE30C9" w:rsidRPr="004D177F" w:rsidRDefault="00EE30C9" w:rsidP="00EE30C9">
      <w:pPr>
        <w:rPr>
          <w:color w:val="000000" w:themeColor="text1"/>
        </w:rPr>
      </w:pPr>
    </w:p>
    <w:tbl>
      <w:tblPr>
        <w:tblStyle w:val="TableGrid"/>
        <w:tblW w:w="8725" w:type="dxa"/>
        <w:tblLayout w:type="fixed"/>
        <w:tblLook w:val="04A0" w:firstRow="1" w:lastRow="0" w:firstColumn="1" w:lastColumn="0" w:noHBand="0" w:noVBand="1"/>
      </w:tblPr>
      <w:tblGrid>
        <w:gridCol w:w="2065"/>
        <w:gridCol w:w="1011"/>
        <w:gridCol w:w="1136"/>
        <w:gridCol w:w="1202"/>
        <w:gridCol w:w="1123"/>
        <w:gridCol w:w="1123"/>
        <w:gridCol w:w="1065"/>
      </w:tblGrid>
      <w:tr w:rsidR="00EE30C9" w:rsidRPr="004D177F" w14:paraId="6E29EC29" w14:textId="77777777" w:rsidTr="009C3DBA">
        <w:tc>
          <w:tcPr>
            <w:tcW w:w="2065" w:type="dxa"/>
          </w:tcPr>
          <w:p w14:paraId="0742EB7A" w14:textId="77777777" w:rsidR="00EE30C9" w:rsidRPr="004D177F" w:rsidRDefault="00EE30C9" w:rsidP="009C3DBA">
            <w:pPr>
              <w:rPr>
                <w:color w:val="000000" w:themeColor="text1"/>
              </w:rPr>
            </w:pPr>
            <w:r w:rsidRPr="004D177F">
              <w:rPr>
                <w:b/>
                <w:bCs/>
                <w:color w:val="000000" w:themeColor="text1"/>
              </w:rPr>
              <w:t>Among psoriasis patients by medications</w:t>
            </w:r>
          </w:p>
        </w:tc>
        <w:tc>
          <w:tcPr>
            <w:tcW w:w="1011" w:type="dxa"/>
          </w:tcPr>
          <w:p w14:paraId="2D504DFC" w14:textId="77777777" w:rsidR="00EE30C9" w:rsidRPr="004D177F" w:rsidRDefault="00EE30C9" w:rsidP="009C3DBA">
            <w:pPr>
              <w:rPr>
                <w:color w:val="000000" w:themeColor="text1"/>
              </w:rPr>
            </w:pPr>
            <w:r w:rsidRPr="004D177F">
              <w:rPr>
                <w:color w:val="000000" w:themeColor="text1"/>
              </w:rPr>
              <w:t>Calendar Age</w:t>
            </w:r>
          </w:p>
        </w:tc>
        <w:tc>
          <w:tcPr>
            <w:tcW w:w="1136" w:type="dxa"/>
          </w:tcPr>
          <w:p w14:paraId="7CCC8BE4" w14:textId="77777777" w:rsidR="00EE30C9" w:rsidRPr="004D177F" w:rsidRDefault="00EE30C9" w:rsidP="009C3DBA">
            <w:pPr>
              <w:rPr>
                <w:color w:val="000000" w:themeColor="text1"/>
              </w:rPr>
            </w:pPr>
            <w:r w:rsidRPr="004D177F">
              <w:rPr>
                <w:color w:val="000000" w:themeColor="text1"/>
              </w:rPr>
              <w:t>Horvath Age</w:t>
            </w:r>
          </w:p>
        </w:tc>
        <w:tc>
          <w:tcPr>
            <w:tcW w:w="1202" w:type="dxa"/>
          </w:tcPr>
          <w:p w14:paraId="4E1FB7BE" w14:textId="77777777" w:rsidR="00EE30C9" w:rsidRPr="004D177F" w:rsidRDefault="00EE30C9" w:rsidP="009C3DBA">
            <w:pPr>
              <w:rPr>
                <w:color w:val="000000" w:themeColor="text1"/>
              </w:rPr>
            </w:pPr>
            <w:r w:rsidRPr="004D177F">
              <w:rPr>
                <w:color w:val="000000" w:themeColor="text1"/>
              </w:rPr>
              <w:t>Hannum Age</w:t>
            </w:r>
          </w:p>
        </w:tc>
        <w:tc>
          <w:tcPr>
            <w:tcW w:w="1123" w:type="dxa"/>
          </w:tcPr>
          <w:p w14:paraId="31D8CF10" w14:textId="77777777" w:rsidR="00EE30C9" w:rsidRPr="004D177F" w:rsidRDefault="00EE30C9" w:rsidP="009C3DBA">
            <w:pPr>
              <w:rPr>
                <w:color w:val="000000" w:themeColor="text1"/>
              </w:rPr>
            </w:pPr>
            <w:proofErr w:type="spellStart"/>
            <w:r w:rsidRPr="004D177F">
              <w:rPr>
                <w:color w:val="000000" w:themeColor="text1"/>
              </w:rPr>
              <w:t>Pheno</w:t>
            </w:r>
            <w:proofErr w:type="spellEnd"/>
            <w:r w:rsidRPr="004D177F">
              <w:rPr>
                <w:color w:val="000000" w:themeColor="text1"/>
              </w:rPr>
              <w:t xml:space="preserve"> Age</w:t>
            </w:r>
          </w:p>
        </w:tc>
        <w:tc>
          <w:tcPr>
            <w:tcW w:w="1123" w:type="dxa"/>
          </w:tcPr>
          <w:p w14:paraId="658C66E3" w14:textId="77777777" w:rsidR="00EE30C9" w:rsidRPr="004D177F" w:rsidRDefault="00EE30C9" w:rsidP="009C3DBA">
            <w:pPr>
              <w:rPr>
                <w:color w:val="000000" w:themeColor="text1"/>
              </w:rPr>
            </w:pPr>
            <w:proofErr w:type="spellStart"/>
            <w:r w:rsidRPr="004D177F">
              <w:rPr>
                <w:color w:val="000000" w:themeColor="text1"/>
              </w:rPr>
              <w:t>SkinBlood</w:t>
            </w:r>
            <w:proofErr w:type="spellEnd"/>
            <w:r w:rsidRPr="004D177F">
              <w:rPr>
                <w:color w:val="000000" w:themeColor="text1"/>
              </w:rPr>
              <w:t xml:space="preserve"> </w:t>
            </w:r>
            <w:r>
              <w:rPr>
                <w:color w:val="000000" w:themeColor="text1"/>
              </w:rPr>
              <w:t>Age</w:t>
            </w:r>
          </w:p>
        </w:tc>
        <w:tc>
          <w:tcPr>
            <w:tcW w:w="1065" w:type="dxa"/>
          </w:tcPr>
          <w:p w14:paraId="5653F6A5" w14:textId="77777777" w:rsidR="00EE30C9" w:rsidRPr="004D177F" w:rsidRDefault="00EE30C9" w:rsidP="009C3DBA">
            <w:pPr>
              <w:rPr>
                <w:color w:val="000000" w:themeColor="text1"/>
              </w:rPr>
            </w:pPr>
            <w:r w:rsidRPr="004D177F">
              <w:rPr>
                <w:color w:val="000000" w:themeColor="text1"/>
              </w:rPr>
              <w:t>Grim Age</w:t>
            </w:r>
          </w:p>
        </w:tc>
      </w:tr>
      <w:tr w:rsidR="00EE30C9" w:rsidRPr="004D177F" w14:paraId="3C1E50CD" w14:textId="77777777" w:rsidTr="009C3DBA">
        <w:tc>
          <w:tcPr>
            <w:tcW w:w="2065" w:type="dxa"/>
          </w:tcPr>
          <w:p w14:paraId="5955C107" w14:textId="77777777" w:rsidR="00EE30C9" w:rsidRPr="004D177F" w:rsidRDefault="00EE30C9" w:rsidP="009C3DBA">
            <w:pPr>
              <w:rPr>
                <w:color w:val="000000" w:themeColor="text1"/>
              </w:rPr>
            </w:pPr>
            <w:r w:rsidRPr="004D177F">
              <w:rPr>
                <w:color w:val="000000" w:themeColor="text1"/>
              </w:rPr>
              <w:t>Naïve (Yes) (6)</w:t>
            </w:r>
          </w:p>
        </w:tc>
        <w:tc>
          <w:tcPr>
            <w:tcW w:w="1011" w:type="dxa"/>
          </w:tcPr>
          <w:p w14:paraId="49DB052E" w14:textId="77777777" w:rsidR="00EE30C9" w:rsidRPr="004D177F" w:rsidRDefault="00EE30C9" w:rsidP="009C3DBA">
            <w:pPr>
              <w:rPr>
                <w:color w:val="000000" w:themeColor="text1"/>
              </w:rPr>
            </w:pPr>
            <w:r w:rsidRPr="004D177F">
              <w:rPr>
                <w:color w:val="000000" w:themeColor="text1"/>
              </w:rPr>
              <w:t>61.5</w:t>
            </w:r>
          </w:p>
        </w:tc>
        <w:tc>
          <w:tcPr>
            <w:tcW w:w="1136" w:type="dxa"/>
          </w:tcPr>
          <w:p w14:paraId="7262952B" w14:textId="77777777" w:rsidR="00EE30C9" w:rsidRPr="004D177F" w:rsidRDefault="00EE30C9" w:rsidP="009C3DBA">
            <w:pPr>
              <w:rPr>
                <w:color w:val="000000" w:themeColor="text1"/>
              </w:rPr>
            </w:pPr>
            <w:r w:rsidRPr="004D177F">
              <w:rPr>
                <w:color w:val="000000" w:themeColor="text1"/>
              </w:rPr>
              <w:t>59.3</w:t>
            </w:r>
          </w:p>
        </w:tc>
        <w:tc>
          <w:tcPr>
            <w:tcW w:w="1202" w:type="dxa"/>
          </w:tcPr>
          <w:p w14:paraId="4B017C32" w14:textId="77777777" w:rsidR="00EE30C9" w:rsidRPr="004D177F" w:rsidRDefault="00EE30C9" w:rsidP="009C3DBA">
            <w:pPr>
              <w:rPr>
                <w:color w:val="000000" w:themeColor="text1"/>
              </w:rPr>
            </w:pPr>
            <w:r w:rsidRPr="004D177F">
              <w:rPr>
                <w:color w:val="000000" w:themeColor="text1"/>
              </w:rPr>
              <w:t>59.8</w:t>
            </w:r>
          </w:p>
        </w:tc>
        <w:tc>
          <w:tcPr>
            <w:tcW w:w="1123" w:type="dxa"/>
          </w:tcPr>
          <w:p w14:paraId="13066175" w14:textId="77777777" w:rsidR="00EE30C9" w:rsidRPr="004D177F" w:rsidRDefault="00EE30C9" w:rsidP="009C3DBA">
            <w:pPr>
              <w:rPr>
                <w:color w:val="000000" w:themeColor="text1"/>
              </w:rPr>
            </w:pPr>
            <w:r w:rsidRPr="004D177F">
              <w:rPr>
                <w:color w:val="000000" w:themeColor="text1"/>
              </w:rPr>
              <w:t>55.7</w:t>
            </w:r>
          </w:p>
        </w:tc>
        <w:tc>
          <w:tcPr>
            <w:tcW w:w="1123" w:type="dxa"/>
          </w:tcPr>
          <w:p w14:paraId="76D5906E" w14:textId="77777777" w:rsidR="00EE30C9" w:rsidRPr="004D177F" w:rsidRDefault="00EE30C9" w:rsidP="009C3DBA">
            <w:pPr>
              <w:rPr>
                <w:color w:val="000000" w:themeColor="text1"/>
              </w:rPr>
            </w:pPr>
            <w:r w:rsidRPr="004D177F">
              <w:rPr>
                <w:color w:val="000000" w:themeColor="text1"/>
              </w:rPr>
              <w:t>61.3</w:t>
            </w:r>
          </w:p>
        </w:tc>
        <w:tc>
          <w:tcPr>
            <w:tcW w:w="1065" w:type="dxa"/>
          </w:tcPr>
          <w:p w14:paraId="7A12BE60" w14:textId="77777777" w:rsidR="00EE30C9" w:rsidRPr="004D177F" w:rsidRDefault="00EE30C9" w:rsidP="009C3DBA">
            <w:pPr>
              <w:rPr>
                <w:color w:val="000000" w:themeColor="text1"/>
              </w:rPr>
            </w:pPr>
            <w:r w:rsidRPr="004D177F">
              <w:rPr>
                <w:color w:val="000000" w:themeColor="text1"/>
              </w:rPr>
              <w:t>64.9</w:t>
            </w:r>
          </w:p>
        </w:tc>
      </w:tr>
      <w:tr w:rsidR="00EE30C9" w:rsidRPr="004D177F" w14:paraId="6011163E" w14:textId="77777777" w:rsidTr="009C3DBA">
        <w:tc>
          <w:tcPr>
            <w:tcW w:w="2065" w:type="dxa"/>
          </w:tcPr>
          <w:p w14:paraId="720E9FE9" w14:textId="77777777" w:rsidR="00EE30C9" w:rsidRPr="004D177F" w:rsidRDefault="00EE30C9" w:rsidP="009C3DBA">
            <w:pPr>
              <w:rPr>
                <w:color w:val="000000" w:themeColor="text1"/>
              </w:rPr>
            </w:pPr>
            <w:r w:rsidRPr="004D177F">
              <w:rPr>
                <w:color w:val="000000" w:themeColor="text1"/>
              </w:rPr>
              <w:t>Biologic, MTX (5)</w:t>
            </w:r>
          </w:p>
        </w:tc>
        <w:tc>
          <w:tcPr>
            <w:tcW w:w="1011" w:type="dxa"/>
          </w:tcPr>
          <w:p w14:paraId="3619ACE0" w14:textId="77777777" w:rsidR="00EE30C9" w:rsidRPr="004D177F" w:rsidRDefault="00EE30C9" w:rsidP="009C3DBA">
            <w:pPr>
              <w:rPr>
                <w:color w:val="000000" w:themeColor="text1"/>
              </w:rPr>
            </w:pPr>
            <w:r w:rsidRPr="004D177F">
              <w:rPr>
                <w:color w:val="000000" w:themeColor="text1"/>
              </w:rPr>
              <w:t>44.0</w:t>
            </w:r>
          </w:p>
        </w:tc>
        <w:tc>
          <w:tcPr>
            <w:tcW w:w="1136" w:type="dxa"/>
          </w:tcPr>
          <w:p w14:paraId="1209D157" w14:textId="77777777" w:rsidR="00EE30C9" w:rsidRPr="004D177F" w:rsidRDefault="00EE30C9" w:rsidP="009C3DBA">
            <w:pPr>
              <w:rPr>
                <w:color w:val="000000" w:themeColor="text1"/>
              </w:rPr>
            </w:pPr>
            <w:r w:rsidRPr="004D177F">
              <w:rPr>
                <w:color w:val="000000" w:themeColor="text1"/>
              </w:rPr>
              <w:t>63.1</w:t>
            </w:r>
          </w:p>
        </w:tc>
        <w:tc>
          <w:tcPr>
            <w:tcW w:w="1202" w:type="dxa"/>
          </w:tcPr>
          <w:p w14:paraId="1DB0A06B" w14:textId="77777777" w:rsidR="00EE30C9" w:rsidRPr="004D177F" w:rsidRDefault="00EE30C9" w:rsidP="009C3DBA">
            <w:pPr>
              <w:rPr>
                <w:color w:val="000000" w:themeColor="text1"/>
              </w:rPr>
            </w:pPr>
            <w:r w:rsidRPr="004D177F">
              <w:rPr>
                <w:color w:val="000000" w:themeColor="text1"/>
              </w:rPr>
              <w:t>63.8</w:t>
            </w:r>
          </w:p>
        </w:tc>
        <w:tc>
          <w:tcPr>
            <w:tcW w:w="1123" w:type="dxa"/>
          </w:tcPr>
          <w:p w14:paraId="1C06E9FC" w14:textId="77777777" w:rsidR="00EE30C9" w:rsidRPr="004D177F" w:rsidRDefault="00EE30C9" w:rsidP="009C3DBA">
            <w:pPr>
              <w:rPr>
                <w:color w:val="000000" w:themeColor="text1"/>
              </w:rPr>
            </w:pPr>
            <w:r w:rsidRPr="004D177F">
              <w:rPr>
                <w:color w:val="000000" w:themeColor="text1"/>
              </w:rPr>
              <w:t>52.5</w:t>
            </w:r>
          </w:p>
        </w:tc>
        <w:tc>
          <w:tcPr>
            <w:tcW w:w="1123" w:type="dxa"/>
          </w:tcPr>
          <w:p w14:paraId="504B3C77" w14:textId="77777777" w:rsidR="00EE30C9" w:rsidRPr="004D177F" w:rsidRDefault="00EE30C9" w:rsidP="009C3DBA">
            <w:pPr>
              <w:rPr>
                <w:color w:val="000000" w:themeColor="text1"/>
              </w:rPr>
            </w:pPr>
            <w:r w:rsidRPr="004D177F">
              <w:rPr>
                <w:color w:val="000000" w:themeColor="text1"/>
              </w:rPr>
              <w:t>59.1</w:t>
            </w:r>
          </w:p>
        </w:tc>
        <w:tc>
          <w:tcPr>
            <w:tcW w:w="1065" w:type="dxa"/>
          </w:tcPr>
          <w:p w14:paraId="715B8BDA" w14:textId="77777777" w:rsidR="00EE30C9" w:rsidRPr="004D177F" w:rsidRDefault="00EE30C9" w:rsidP="009C3DBA">
            <w:pPr>
              <w:rPr>
                <w:color w:val="000000" w:themeColor="text1"/>
              </w:rPr>
            </w:pPr>
            <w:r w:rsidRPr="004D177F">
              <w:rPr>
                <w:color w:val="000000" w:themeColor="text1"/>
              </w:rPr>
              <w:t>65.9</w:t>
            </w:r>
          </w:p>
        </w:tc>
      </w:tr>
      <w:tr w:rsidR="00EE30C9" w:rsidRPr="004D177F" w14:paraId="689460CD" w14:textId="77777777" w:rsidTr="009C3DBA">
        <w:tc>
          <w:tcPr>
            <w:tcW w:w="2065" w:type="dxa"/>
          </w:tcPr>
          <w:p w14:paraId="0A8F1FAB" w14:textId="77777777" w:rsidR="00EE30C9" w:rsidRPr="004D177F" w:rsidRDefault="00EE30C9" w:rsidP="009C3DBA">
            <w:pPr>
              <w:rPr>
                <w:color w:val="000000" w:themeColor="text1"/>
              </w:rPr>
            </w:pPr>
            <w:r w:rsidRPr="004D177F">
              <w:rPr>
                <w:color w:val="000000" w:themeColor="text1"/>
              </w:rPr>
              <w:t>Biologic (5)</w:t>
            </w:r>
          </w:p>
        </w:tc>
        <w:tc>
          <w:tcPr>
            <w:tcW w:w="1011" w:type="dxa"/>
          </w:tcPr>
          <w:p w14:paraId="2FBEA01D" w14:textId="77777777" w:rsidR="00EE30C9" w:rsidRPr="004D177F" w:rsidRDefault="00EE30C9" w:rsidP="009C3DBA">
            <w:pPr>
              <w:rPr>
                <w:color w:val="000000" w:themeColor="text1"/>
              </w:rPr>
            </w:pPr>
            <w:r w:rsidRPr="004D177F">
              <w:rPr>
                <w:color w:val="000000" w:themeColor="text1"/>
              </w:rPr>
              <w:t>50.8</w:t>
            </w:r>
          </w:p>
        </w:tc>
        <w:tc>
          <w:tcPr>
            <w:tcW w:w="1136" w:type="dxa"/>
          </w:tcPr>
          <w:p w14:paraId="3F114CD4" w14:textId="77777777" w:rsidR="00EE30C9" w:rsidRPr="004D177F" w:rsidRDefault="00EE30C9" w:rsidP="009C3DBA">
            <w:pPr>
              <w:rPr>
                <w:color w:val="000000" w:themeColor="text1"/>
              </w:rPr>
            </w:pPr>
            <w:r w:rsidRPr="004D177F">
              <w:rPr>
                <w:color w:val="000000" w:themeColor="text1"/>
              </w:rPr>
              <w:t>65.3</w:t>
            </w:r>
          </w:p>
        </w:tc>
        <w:tc>
          <w:tcPr>
            <w:tcW w:w="1202" w:type="dxa"/>
          </w:tcPr>
          <w:p w14:paraId="15BD481F" w14:textId="77777777" w:rsidR="00EE30C9" w:rsidRPr="004D177F" w:rsidRDefault="00EE30C9" w:rsidP="009C3DBA">
            <w:pPr>
              <w:rPr>
                <w:color w:val="000000" w:themeColor="text1"/>
              </w:rPr>
            </w:pPr>
            <w:r w:rsidRPr="004D177F">
              <w:rPr>
                <w:color w:val="000000" w:themeColor="text1"/>
              </w:rPr>
              <w:t>65.5</w:t>
            </w:r>
          </w:p>
        </w:tc>
        <w:tc>
          <w:tcPr>
            <w:tcW w:w="1123" w:type="dxa"/>
          </w:tcPr>
          <w:p w14:paraId="19847E58" w14:textId="77777777" w:rsidR="00EE30C9" w:rsidRPr="004D177F" w:rsidRDefault="00EE30C9" w:rsidP="009C3DBA">
            <w:pPr>
              <w:rPr>
                <w:color w:val="000000" w:themeColor="text1"/>
              </w:rPr>
            </w:pPr>
            <w:r w:rsidRPr="004D177F">
              <w:rPr>
                <w:color w:val="000000" w:themeColor="text1"/>
              </w:rPr>
              <w:t>59.9</w:t>
            </w:r>
          </w:p>
        </w:tc>
        <w:tc>
          <w:tcPr>
            <w:tcW w:w="1123" w:type="dxa"/>
          </w:tcPr>
          <w:p w14:paraId="0AEFA879" w14:textId="77777777" w:rsidR="00EE30C9" w:rsidRPr="004D177F" w:rsidRDefault="00EE30C9" w:rsidP="009C3DBA">
            <w:pPr>
              <w:rPr>
                <w:color w:val="000000" w:themeColor="text1"/>
              </w:rPr>
            </w:pPr>
            <w:r w:rsidRPr="004D177F">
              <w:rPr>
                <w:color w:val="000000" w:themeColor="text1"/>
              </w:rPr>
              <w:t>59.0</w:t>
            </w:r>
          </w:p>
        </w:tc>
        <w:tc>
          <w:tcPr>
            <w:tcW w:w="1065" w:type="dxa"/>
          </w:tcPr>
          <w:p w14:paraId="271EEDC5" w14:textId="77777777" w:rsidR="00EE30C9" w:rsidRPr="004D177F" w:rsidRDefault="00EE30C9" w:rsidP="009C3DBA">
            <w:pPr>
              <w:rPr>
                <w:color w:val="000000" w:themeColor="text1"/>
              </w:rPr>
            </w:pPr>
            <w:r w:rsidRPr="004D177F">
              <w:rPr>
                <w:color w:val="000000" w:themeColor="text1"/>
              </w:rPr>
              <w:t>69.6</w:t>
            </w:r>
          </w:p>
        </w:tc>
      </w:tr>
      <w:tr w:rsidR="00EE30C9" w:rsidRPr="004D177F" w14:paraId="72DB7B96" w14:textId="77777777" w:rsidTr="009C3DBA">
        <w:tc>
          <w:tcPr>
            <w:tcW w:w="2065" w:type="dxa"/>
          </w:tcPr>
          <w:p w14:paraId="1F528831" w14:textId="77777777" w:rsidR="00EE30C9" w:rsidRPr="004D177F" w:rsidRDefault="00EE30C9" w:rsidP="009C3DBA">
            <w:pPr>
              <w:rPr>
                <w:color w:val="000000" w:themeColor="text1"/>
              </w:rPr>
            </w:pPr>
            <w:r w:rsidRPr="004D177F">
              <w:rPr>
                <w:color w:val="000000" w:themeColor="text1"/>
              </w:rPr>
              <w:t>Acitretin (2)</w:t>
            </w:r>
          </w:p>
        </w:tc>
        <w:tc>
          <w:tcPr>
            <w:tcW w:w="1011" w:type="dxa"/>
          </w:tcPr>
          <w:p w14:paraId="3C3F92F9" w14:textId="77777777" w:rsidR="00EE30C9" w:rsidRPr="004D177F" w:rsidRDefault="00EE30C9" w:rsidP="009C3DBA">
            <w:pPr>
              <w:rPr>
                <w:color w:val="000000" w:themeColor="text1"/>
              </w:rPr>
            </w:pPr>
            <w:r w:rsidRPr="004D177F">
              <w:rPr>
                <w:color w:val="000000" w:themeColor="text1"/>
              </w:rPr>
              <w:t>56.0</w:t>
            </w:r>
          </w:p>
        </w:tc>
        <w:tc>
          <w:tcPr>
            <w:tcW w:w="1136" w:type="dxa"/>
          </w:tcPr>
          <w:p w14:paraId="6DF625C2" w14:textId="77777777" w:rsidR="00EE30C9" w:rsidRPr="004D177F" w:rsidRDefault="00EE30C9" w:rsidP="009C3DBA">
            <w:pPr>
              <w:rPr>
                <w:color w:val="000000" w:themeColor="text1"/>
              </w:rPr>
            </w:pPr>
            <w:r w:rsidRPr="004D177F">
              <w:rPr>
                <w:color w:val="000000" w:themeColor="text1"/>
              </w:rPr>
              <w:t>61.7</w:t>
            </w:r>
          </w:p>
        </w:tc>
        <w:tc>
          <w:tcPr>
            <w:tcW w:w="1202" w:type="dxa"/>
          </w:tcPr>
          <w:p w14:paraId="17137260" w14:textId="77777777" w:rsidR="00EE30C9" w:rsidRPr="004D177F" w:rsidRDefault="00EE30C9" w:rsidP="009C3DBA">
            <w:pPr>
              <w:rPr>
                <w:color w:val="000000" w:themeColor="text1"/>
              </w:rPr>
            </w:pPr>
            <w:r w:rsidRPr="004D177F">
              <w:rPr>
                <w:color w:val="000000" w:themeColor="text1"/>
              </w:rPr>
              <w:t>61.8</w:t>
            </w:r>
          </w:p>
        </w:tc>
        <w:tc>
          <w:tcPr>
            <w:tcW w:w="1123" w:type="dxa"/>
          </w:tcPr>
          <w:p w14:paraId="601779C1" w14:textId="77777777" w:rsidR="00EE30C9" w:rsidRPr="004D177F" w:rsidRDefault="00EE30C9" w:rsidP="009C3DBA">
            <w:pPr>
              <w:rPr>
                <w:color w:val="000000" w:themeColor="text1"/>
              </w:rPr>
            </w:pPr>
            <w:r w:rsidRPr="004D177F">
              <w:rPr>
                <w:color w:val="000000" w:themeColor="text1"/>
              </w:rPr>
              <w:t>59.2</w:t>
            </w:r>
          </w:p>
        </w:tc>
        <w:tc>
          <w:tcPr>
            <w:tcW w:w="1123" w:type="dxa"/>
          </w:tcPr>
          <w:p w14:paraId="7FA6D9BF" w14:textId="77777777" w:rsidR="00EE30C9" w:rsidRPr="004D177F" w:rsidRDefault="00EE30C9" w:rsidP="009C3DBA">
            <w:pPr>
              <w:rPr>
                <w:color w:val="000000" w:themeColor="text1"/>
              </w:rPr>
            </w:pPr>
            <w:r w:rsidRPr="004D177F">
              <w:rPr>
                <w:color w:val="000000" w:themeColor="text1"/>
              </w:rPr>
              <w:t>59.5</w:t>
            </w:r>
          </w:p>
        </w:tc>
        <w:tc>
          <w:tcPr>
            <w:tcW w:w="1065" w:type="dxa"/>
          </w:tcPr>
          <w:p w14:paraId="3EFC5F29" w14:textId="77777777" w:rsidR="00EE30C9" w:rsidRPr="004D177F" w:rsidRDefault="00EE30C9" w:rsidP="009C3DBA">
            <w:pPr>
              <w:rPr>
                <w:color w:val="000000" w:themeColor="text1"/>
              </w:rPr>
            </w:pPr>
            <w:r w:rsidRPr="004D177F">
              <w:rPr>
                <w:color w:val="000000" w:themeColor="text1"/>
              </w:rPr>
              <w:t>65.8</w:t>
            </w:r>
          </w:p>
        </w:tc>
      </w:tr>
      <w:tr w:rsidR="00EE30C9" w:rsidRPr="004D177F" w14:paraId="7028603C" w14:textId="77777777" w:rsidTr="009C3DBA">
        <w:tc>
          <w:tcPr>
            <w:tcW w:w="2065" w:type="dxa"/>
          </w:tcPr>
          <w:p w14:paraId="69212592" w14:textId="77777777" w:rsidR="00EE30C9" w:rsidRPr="004D177F" w:rsidRDefault="00EE30C9" w:rsidP="009C3DBA">
            <w:pPr>
              <w:rPr>
                <w:color w:val="000000" w:themeColor="text1"/>
              </w:rPr>
            </w:pPr>
            <w:r w:rsidRPr="004D177F">
              <w:rPr>
                <w:color w:val="000000" w:themeColor="text1"/>
              </w:rPr>
              <w:t>Apremilast (1)</w:t>
            </w:r>
          </w:p>
        </w:tc>
        <w:tc>
          <w:tcPr>
            <w:tcW w:w="1011" w:type="dxa"/>
          </w:tcPr>
          <w:p w14:paraId="37AB4A73" w14:textId="77777777" w:rsidR="00EE30C9" w:rsidRPr="004D177F" w:rsidRDefault="00EE30C9" w:rsidP="009C3DBA">
            <w:pPr>
              <w:rPr>
                <w:color w:val="000000" w:themeColor="text1"/>
              </w:rPr>
            </w:pPr>
            <w:r w:rsidRPr="004D177F">
              <w:rPr>
                <w:color w:val="000000" w:themeColor="text1"/>
              </w:rPr>
              <w:t>23.0</w:t>
            </w:r>
          </w:p>
        </w:tc>
        <w:tc>
          <w:tcPr>
            <w:tcW w:w="1136" w:type="dxa"/>
          </w:tcPr>
          <w:p w14:paraId="4153F3A5" w14:textId="77777777" w:rsidR="00EE30C9" w:rsidRPr="004D177F" w:rsidRDefault="00EE30C9" w:rsidP="009C3DBA">
            <w:pPr>
              <w:rPr>
                <w:color w:val="000000" w:themeColor="text1"/>
              </w:rPr>
            </w:pPr>
            <w:r w:rsidRPr="004D177F">
              <w:rPr>
                <w:color w:val="000000" w:themeColor="text1"/>
              </w:rPr>
              <w:t>55.1</w:t>
            </w:r>
          </w:p>
        </w:tc>
        <w:tc>
          <w:tcPr>
            <w:tcW w:w="1202" w:type="dxa"/>
          </w:tcPr>
          <w:p w14:paraId="4CB6E0ED" w14:textId="77777777" w:rsidR="00EE30C9" w:rsidRPr="004D177F" w:rsidRDefault="00EE30C9" w:rsidP="009C3DBA">
            <w:pPr>
              <w:rPr>
                <w:color w:val="000000" w:themeColor="text1"/>
              </w:rPr>
            </w:pPr>
            <w:r w:rsidRPr="004D177F">
              <w:rPr>
                <w:color w:val="000000" w:themeColor="text1"/>
              </w:rPr>
              <w:t>55.1</w:t>
            </w:r>
          </w:p>
        </w:tc>
        <w:tc>
          <w:tcPr>
            <w:tcW w:w="1123" w:type="dxa"/>
          </w:tcPr>
          <w:p w14:paraId="1EDFB1BA" w14:textId="77777777" w:rsidR="00EE30C9" w:rsidRPr="004D177F" w:rsidRDefault="00EE30C9" w:rsidP="009C3DBA">
            <w:pPr>
              <w:rPr>
                <w:color w:val="000000" w:themeColor="text1"/>
              </w:rPr>
            </w:pPr>
            <w:r w:rsidRPr="004D177F">
              <w:rPr>
                <w:color w:val="000000" w:themeColor="text1"/>
              </w:rPr>
              <w:t>53.1</w:t>
            </w:r>
          </w:p>
        </w:tc>
        <w:tc>
          <w:tcPr>
            <w:tcW w:w="1123" w:type="dxa"/>
          </w:tcPr>
          <w:p w14:paraId="06B1E6F1" w14:textId="77777777" w:rsidR="00EE30C9" w:rsidRPr="004D177F" w:rsidRDefault="00EE30C9" w:rsidP="009C3DBA">
            <w:pPr>
              <w:rPr>
                <w:color w:val="000000" w:themeColor="text1"/>
              </w:rPr>
            </w:pPr>
            <w:r w:rsidRPr="004D177F">
              <w:rPr>
                <w:color w:val="000000" w:themeColor="text1"/>
              </w:rPr>
              <w:t>59.0</w:t>
            </w:r>
          </w:p>
        </w:tc>
        <w:tc>
          <w:tcPr>
            <w:tcW w:w="1065" w:type="dxa"/>
          </w:tcPr>
          <w:p w14:paraId="71F57221" w14:textId="77777777" w:rsidR="00EE30C9" w:rsidRPr="004D177F" w:rsidRDefault="00EE30C9" w:rsidP="009C3DBA">
            <w:pPr>
              <w:rPr>
                <w:color w:val="000000" w:themeColor="text1"/>
              </w:rPr>
            </w:pPr>
            <w:r w:rsidRPr="004D177F">
              <w:rPr>
                <w:color w:val="000000" w:themeColor="text1"/>
              </w:rPr>
              <w:t>62.8</w:t>
            </w:r>
          </w:p>
        </w:tc>
      </w:tr>
      <w:tr w:rsidR="00EE30C9" w:rsidRPr="004D177F" w14:paraId="5C8EB77E" w14:textId="77777777" w:rsidTr="009C3DBA">
        <w:tc>
          <w:tcPr>
            <w:tcW w:w="2065" w:type="dxa"/>
          </w:tcPr>
          <w:p w14:paraId="5800CE90" w14:textId="77777777" w:rsidR="00EE30C9" w:rsidRPr="004D177F" w:rsidRDefault="00EE30C9" w:rsidP="009C3DBA">
            <w:pPr>
              <w:rPr>
                <w:color w:val="000000" w:themeColor="text1"/>
              </w:rPr>
            </w:pPr>
            <w:r w:rsidRPr="004D177F">
              <w:rPr>
                <w:color w:val="000000" w:themeColor="text1"/>
              </w:rPr>
              <w:t>MTX (1)</w:t>
            </w:r>
          </w:p>
        </w:tc>
        <w:tc>
          <w:tcPr>
            <w:tcW w:w="1011" w:type="dxa"/>
          </w:tcPr>
          <w:p w14:paraId="32015264" w14:textId="77777777" w:rsidR="00EE30C9" w:rsidRPr="004D177F" w:rsidRDefault="00EE30C9" w:rsidP="009C3DBA">
            <w:pPr>
              <w:rPr>
                <w:color w:val="000000" w:themeColor="text1"/>
              </w:rPr>
            </w:pPr>
            <w:r w:rsidRPr="004D177F">
              <w:rPr>
                <w:color w:val="000000" w:themeColor="text1"/>
              </w:rPr>
              <w:t>65.0</w:t>
            </w:r>
          </w:p>
        </w:tc>
        <w:tc>
          <w:tcPr>
            <w:tcW w:w="1136" w:type="dxa"/>
          </w:tcPr>
          <w:p w14:paraId="77C28544" w14:textId="77777777" w:rsidR="00EE30C9" w:rsidRPr="004D177F" w:rsidRDefault="00EE30C9" w:rsidP="009C3DBA">
            <w:pPr>
              <w:rPr>
                <w:color w:val="000000" w:themeColor="text1"/>
              </w:rPr>
            </w:pPr>
            <w:r w:rsidRPr="004D177F">
              <w:rPr>
                <w:color w:val="000000" w:themeColor="text1"/>
              </w:rPr>
              <w:t>75.6</w:t>
            </w:r>
          </w:p>
        </w:tc>
        <w:tc>
          <w:tcPr>
            <w:tcW w:w="1202" w:type="dxa"/>
          </w:tcPr>
          <w:p w14:paraId="7C7F71B8" w14:textId="77777777" w:rsidR="00EE30C9" w:rsidRPr="004D177F" w:rsidRDefault="00EE30C9" w:rsidP="009C3DBA">
            <w:pPr>
              <w:rPr>
                <w:color w:val="000000" w:themeColor="text1"/>
              </w:rPr>
            </w:pPr>
            <w:r w:rsidRPr="004D177F">
              <w:rPr>
                <w:color w:val="000000" w:themeColor="text1"/>
              </w:rPr>
              <w:t>74.8</w:t>
            </w:r>
          </w:p>
        </w:tc>
        <w:tc>
          <w:tcPr>
            <w:tcW w:w="1123" w:type="dxa"/>
          </w:tcPr>
          <w:p w14:paraId="403A8EF6" w14:textId="77777777" w:rsidR="00EE30C9" w:rsidRPr="004D177F" w:rsidRDefault="00EE30C9" w:rsidP="009C3DBA">
            <w:pPr>
              <w:rPr>
                <w:color w:val="000000" w:themeColor="text1"/>
              </w:rPr>
            </w:pPr>
            <w:r w:rsidRPr="004D177F">
              <w:rPr>
                <w:color w:val="000000" w:themeColor="text1"/>
              </w:rPr>
              <w:t>75.8</w:t>
            </w:r>
          </w:p>
        </w:tc>
        <w:tc>
          <w:tcPr>
            <w:tcW w:w="1123" w:type="dxa"/>
          </w:tcPr>
          <w:p w14:paraId="218B5B98" w14:textId="77777777" w:rsidR="00EE30C9" w:rsidRPr="004D177F" w:rsidRDefault="00EE30C9" w:rsidP="009C3DBA">
            <w:pPr>
              <w:rPr>
                <w:color w:val="000000" w:themeColor="text1"/>
              </w:rPr>
            </w:pPr>
            <w:r w:rsidRPr="004D177F">
              <w:rPr>
                <w:color w:val="000000" w:themeColor="text1"/>
              </w:rPr>
              <w:t>81.4</w:t>
            </w:r>
          </w:p>
        </w:tc>
        <w:tc>
          <w:tcPr>
            <w:tcW w:w="1065" w:type="dxa"/>
          </w:tcPr>
          <w:p w14:paraId="7A45A318" w14:textId="77777777" w:rsidR="00EE30C9" w:rsidRPr="004D177F" w:rsidRDefault="00EE30C9" w:rsidP="009C3DBA">
            <w:pPr>
              <w:rPr>
                <w:color w:val="000000" w:themeColor="text1"/>
              </w:rPr>
            </w:pPr>
            <w:r w:rsidRPr="004D177F">
              <w:rPr>
                <w:color w:val="000000" w:themeColor="text1"/>
              </w:rPr>
              <w:t>86.0</w:t>
            </w:r>
          </w:p>
        </w:tc>
      </w:tr>
    </w:tbl>
    <w:p w14:paraId="6A224CA4" w14:textId="77777777" w:rsidR="00EE30C9" w:rsidRPr="004D177F" w:rsidRDefault="00EE30C9" w:rsidP="00EE30C9">
      <w:pPr>
        <w:spacing w:line="480" w:lineRule="auto"/>
        <w:rPr>
          <w:b/>
          <w:bCs/>
          <w:color w:val="000000" w:themeColor="text1"/>
        </w:rPr>
      </w:pPr>
    </w:p>
    <w:p w14:paraId="40E310AF" w14:textId="77777777" w:rsidR="00EE30C9" w:rsidRDefault="00EE30C9" w:rsidP="00EE30C9">
      <w:pPr>
        <w:spacing w:line="480" w:lineRule="auto"/>
        <w:rPr>
          <w:b/>
          <w:color w:val="000000" w:themeColor="text1"/>
        </w:rPr>
      </w:pPr>
    </w:p>
    <w:p w14:paraId="6203F2FF" w14:textId="77777777" w:rsidR="00EE30C9" w:rsidRDefault="00EE30C9" w:rsidP="00EE30C9">
      <w:pPr>
        <w:spacing w:line="480" w:lineRule="auto"/>
        <w:rPr>
          <w:b/>
          <w:color w:val="000000" w:themeColor="text1"/>
        </w:rPr>
      </w:pPr>
    </w:p>
    <w:p w14:paraId="4C8E1048" w14:textId="77777777" w:rsidR="00EE30C9" w:rsidRDefault="00EE30C9" w:rsidP="00EE30C9">
      <w:pPr>
        <w:spacing w:line="480" w:lineRule="auto"/>
        <w:rPr>
          <w:b/>
          <w:color w:val="000000" w:themeColor="text1"/>
        </w:rPr>
      </w:pPr>
    </w:p>
    <w:p w14:paraId="0113665D" w14:textId="77777777" w:rsidR="00EE30C9" w:rsidRDefault="00EE30C9" w:rsidP="00EE30C9">
      <w:pPr>
        <w:spacing w:line="480" w:lineRule="auto"/>
        <w:rPr>
          <w:b/>
          <w:color w:val="000000" w:themeColor="text1"/>
        </w:rPr>
      </w:pPr>
    </w:p>
    <w:p w14:paraId="604AA6D8" w14:textId="77777777" w:rsidR="00EE30C9" w:rsidRDefault="00EE30C9" w:rsidP="00EE30C9">
      <w:pPr>
        <w:spacing w:line="480" w:lineRule="auto"/>
        <w:rPr>
          <w:b/>
          <w:color w:val="000000" w:themeColor="text1"/>
        </w:rPr>
      </w:pPr>
    </w:p>
    <w:p w14:paraId="2AEF9AFE" w14:textId="77777777" w:rsidR="00EE30C9" w:rsidRDefault="00EE30C9" w:rsidP="00EE30C9">
      <w:pPr>
        <w:spacing w:after="160" w:line="259" w:lineRule="auto"/>
        <w:rPr>
          <w:b/>
          <w:color w:val="000000" w:themeColor="text1"/>
        </w:rPr>
      </w:pPr>
      <w:r>
        <w:rPr>
          <w:b/>
          <w:color w:val="000000" w:themeColor="text1"/>
        </w:rPr>
        <w:br w:type="page"/>
      </w:r>
    </w:p>
    <w:p w14:paraId="4519BE24" w14:textId="77777777" w:rsidR="00EE30C9" w:rsidRDefault="00EE30C9" w:rsidP="00EE30C9">
      <w:pPr>
        <w:spacing w:line="480" w:lineRule="auto"/>
        <w:rPr>
          <w:b/>
          <w:color w:val="000000" w:themeColor="text1"/>
        </w:rPr>
      </w:pPr>
    </w:p>
    <w:p w14:paraId="07A049F1" w14:textId="77777777" w:rsidR="00EE30C9" w:rsidRDefault="00EE30C9" w:rsidP="00EE30C9">
      <w:pPr>
        <w:spacing w:line="480" w:lineRule="auto"/>
        <w:rPr>
          <w:b/>
          <w:color w:val="000000" w:themeColor="text1"/>
        </w:rPr>
      </w:pPr>
    </w:p>
    <w:p w14:paraId="044EDF10" w14:textId="5EF1B986" w:rsidR="00EE30C9" w:rsidRDefault="00EE30C9" w:rsidP="00EE30C9">
      <w:r>
        <w:t>REFERENCES</w:t>
      </w:r>
    </w:p>
    <w:p w14:paraId="60D029C6" w14:textId="77777777" w:rsidR="00EE30C9" w:rsidRPr="00B725A5" w:rsidRDefault="00EE30C9" w:rsidP="00EE30C9">
      <w:pPr>
        <w:pStyle w:val="EndNoteBibliography"/>
        <w:ind w:left="720" w:hanging="720"/>
        <w:rPr>
          <w:noProof/>
        </w:rPr>
      </w:pPr>
      <w:r>
        <w:fldChar w:fldCharType="begin"/>
      </w:r>
      <w:r>
        <w:instrText xml:space="preserve"> ADDIN EN.REFLIST </w:instrText>
      </w:r>
      <w:r>
        <w:fldChar w:fldCharType="separate"/>
      </w:r>
    </w:p>
    <w:p w14:paraId="7FD80415" w14:textId="52995228" w:rsidR="00EE30C9" w:rsidRPr="00C2451C" w:rsidRDefault="00EE30C9" w:rsidP="00EE30C9">
      <w:pPr>
        <w:pStyle w:val="EndNoteBibliography"/>
        <w:rPr>
          <w:noProof/>
        </w:rPr>
      </w:pPr>
      <w:r>
        <w:fldChar w:fldCharType="end"/>
      </w:r>
      <w:r>
        <w:fldChar w:fldCharType="begin"/>
      </w:r>
      <w:r>
        <w:instrText xml:space="preserve"> ADDIN EN.REFLIST </w:instrText>
      </w:r>
      <w:r>
        <w:fldChar w:fldCharType="separate"/>
      </w:r>
    </w:p>
    <w:p w14:paraId="1D21847B" w14:textId="4C122CB3" w:rsidR="00EE30C9" w:rsidRPr="00C2451C" w:rsidRDefault="00EE30C9" w:rsidP="00EE30C9">
      <w:pPr>
        <w:pStyle w:val="EndNoteBibliography"/>
        <w:ind w:left="720" w:hanging="720"/>
        <w:rPr>
          <w:noProof/>
        </w:rPr>
      </w:pPr>
      <w:r>
        <w:rPr>
          <w:noProof/>
        </w:rPr>
        <w:t>1</w:t>
      </w:r>
      <w:r w:rsidRPr="00C2451C">
        <w:rPr>
          <w:noProof/>
        </w:rPr>
        <w:tab/>
        <w:t>Carskadon, M. A.</w:t>
      </w:r>
      <w:r w:rsidRPr="00C2451C">
        <w:rPr>
          <w:i/>
          <w:noProof/>
        </w:rPr>
        <w:t xml:space="preserve"> et al.</w:t>
      </w:r>
      <w:r w:rsidRPr="00C2451C">
        <w:rPr>
          <w:noProof/>
        </w:rPr>
        <w:t xml:space="preserve"> A pilot prospective study of sleep patterns and DNA methylation-characterized epigenetic aging in young adults. </w:t>
      </w:r>
      <w:r w:rsidRPr="00C2451C">
        <w:rPr>
          <w:i/>
          <w:noProof/>
        </w:rPr>
        <w:t>BMC Res Notes</w:t>
      </w:r>
      <w:r w:rsidRPr="00C2451C">
        <w:rPr>
          <w:noProof/>
        </w:rPr>
        <w:t xml:space="preserve"> </w:t>
      </w:r>
      <w:r w:rsidRPr="00C2451C">
        <w:rPr>
          <w:b/>
          <w:noProof/>
        </w:rPr>
        <w:t>12</w:t>
      </w:r>
      <w:r w:rsidRPr="00C2451C">
        <w:rPr>
          <w:noProof/>
        </w:rPr>
        <w:t xml:space="preserve">, 583 (2019). </w:t>
      </w:r>
      <w:hyperlink r:id="rId4" w:history="1">
        <w:r w:rsidRPr="00C2451C">
          <w:rPr>
            <w:rStyle w:val="Hyperlink"/>
            <w:noProof/>
          </w:rPr>
          <w:t>https://doi.org:10.1186/s13104-019-4633-1</w:t>
        </w:r>
      </w:hyperlink>
    </w:p>
    <w:p w14:paraId="29E4170F" w14:textId="539AB9C9" w:rsidR="00EE30C9" w:rsidRPr="00C2451C" w:rsidRDefault="00EE30C9" w:rsidP="00EE30C9">
      <w:pPr>
        <w:pStyle w:val="EndNoteBibliography"/>
        <w:ind w:left="720" w:hanging="720"/>
        <w:rPr>
          <w:noProof/>
        </w:rPr>
      </w:pPr>
      <w:r>
        <w:rPr>
          <w:noProof/>
        </w:rPr>
        <w:t>2</w:t>
      </w:r>
      <w:r w:rsidRPr="00C2451C">
        <w:rPr>
          <w:noProof/>
        </w:rPr>
        <w:tab/>
        <w:t xml:space="preserve">Jylhava, J., Pedersen, N. L. &amp; Hagg, S. Biological Age Predictors. </w:t>
      </w:r>
      <w:r w:rsidRPr="00C2451C">
        <w:rPr>
          <w:i/>
          <w:noProof/>
        </w:rPr>
        <w:t>EBioMedicine</w:t>
      </w:r>
      <w:r w:rsidRPr="00C2451C">
        <w:rPr>
          <w:noProof/>
        </w:rPr>
        <w:t xml:space="preserve"> </w:t>
      </w:r>
      <w:r w:rsidRPr="00C2451C">
        <w:rPr>
          <w:b/>
          <w:noProof/>
        </w:rPr>
        <w:t>21</w:t>
      </w:r>
      <w:r w:rsidRPr="00C2451C">
        <w:rPr>
          <w:noProof/>
        </w:rPr>
        <w:t xml:space="preserve">, 29-36 (2017). </w:t>
      </w:r>
      <w:hyperlink r:id="rId5" w:history="1">
        <w:r w:rsidRPr="00C2451C">
          <w:rPr>
            <w:rStyle w:val="Hyperlink"/>
            <w:noProof/>
          </w:rPr>
          <w:t>https://doi.org:10.1016/j.ebiom.2017.03.046</w:t>
        </w:r>
      </w:hyperlink>
    </w:p>
    <w:p w14:paraId="2E557304" w14:textId="17008E76" w:rsidR="00EE30C9" w:rsidRPr="00C2451C" w:rsidRDefault="00EE30C9" w:rsidP="00EE30C9">
      <w:pPr>
        <w:pStyle w:val="EndNoteBibliography"/>
        <w:ind w:left="720" w:hanging="720"/>
        <w:rPr>
          <w:noProof/>
        </w:rPr>
      </w:pPr>
      <w:r>
        <w:rPr>
          <w:noProof/>
        </w:rPr>
        <w:t>3</w:t>
      </w:r>
      <w:r w:rsidRPr="00C2451C">
        <w:rPr>
          <w:noProof/>
        </w:rPr>
        <w:tab/>
        <w:t>Hannum, G.</w:t>
      </w:r>
      <w:r w:rsidRPr="00C2451C">
        <w:rPr>
          <w:i/>
          <w:noProof/>
        </w:rPr>
        <w:t xml:space="preserve"> et al.</w:t>
      </w:r>
      <w:r w:rsidRPr="00C2451C">
        <w:rPr>
          <w:noProof/>
        </w:rPr>
        <w:t xml:space="preserve"> Genome-wide methylation profiles reveal quantitative views of human aging rates. </w:t>
      </w:r>
      <w:r w:rsidRPr="00C2451C">
        <w:rPr>
          <w:i/>
          <w:noProof/>
        </w:rPr>
        <w:t>Mol Cell</w:t>
      </w:r>
      <w:r w:rsidRPr="00C2451C">
        <w:rPr>
          <w:noProof/>
        </w:rPr>
        <w:t xml:space="preserve"> </w:t>
      </w:r>
      <w:r w:rsidRPr="00C2451C">
        <w:rPr>
          <w:b/>
          <w:noProof/>
        </w:rPr>
        <w:t>49</w:t>
      </w:r>
      <w:r w:rsidRPr="00C2451C">
        <w:rPr>
          <w:noProof/>
        </w:rPr>
        <w:t xml:space="preserve">, 359-367 (2013). </w:t>
      </w:r>
      <w:hyperlink r:id="rId6" w:history="1">
        <w:r w:rsidRPr="00C2451C">
          <w:rPr>
            <w:rStyle w:val="Hyperlink"/>
            <w:noProof/>
          </w:rPr>
          <w:t>https://doi.org:10.1016/j.molcel.2012.10.016</w:t>
        </w:r>
      </w:hyperlink>
    </w:p>
    <w:p w14:paraId="1F2A2EC1" w14:textId="10CDD0A4" w:rsidR="00EE30C9" w:rsidRPr="00C2451C" w:rsidRDefault="00EE30C9" w:rsidP="00EE30C9">
      <w:pPr>
        <w:pStyle w:val="EndNoteBibliography"/>
        <w:ind w:left="720" w:hanging="720"/>
        <w:rPr>
          <w:noProof/>
        </w:rPr>
      </w:pPr>
      <w:r>
        <w:rPr>
          <w:noProof/>
        </w:rPr>
        <w:t>4</w:t>
      </w:r>
      <w:r w:rsidRPr="00C2451C">
        <w:rPr>
          <w:noProof/>
        </w:rPr>
        <w:tab/>
        <w:t>Simpkin, A. J.</w:t>
      </w:r>
      <w:r w:rsidRPr="00C2451C">
        <w:rPr>
          <w:i/>
          <w:noProof/>
        </w:rPr>
        <w:t xml:space="preserve"> et al.</w:t>
      </w:r>
      <w:r w:rsidRPr="00C2451C">
        <w:rPr>
          <w:noProof/>
        </w:rPr>
        <w:t xml:space="preserve"> The epigenetic clock and physical development during childhood and adolescence: longitudinal analysis from a UK birth cohort. </w:t>
      </w:r>
      <w:r w:rsidRPr="00C2451C">
        <w:rPr>
          <w:i/>
          <w:noProof/>
        </w:rPr>
        <w:t>Int J Epidemiol</w:t>
      </w:r>
      <w:r w:rsidRPr="00C2451C">
        <w:rPr>
          <w:noProof/>
        </w:rPr>
        <w:t xml:space="preserve"> </w:t>
      </w:r>
      <w:r w:rsidRPr="00C2451C">
        <w:rPr>
          <w:b/>
          <w:noProof/>
        </w:rPr>
        <w:t>46</w:t>
      </w:r>
      <w:r w:rsidRPr="00C2451C">
        <w:rPr>
          <w:noProof/>
        </w:rPr>
        <w:t xml:space="preserve">, 549-558 (2017). </w:t>
      </w:r>
      <w:hyperlink r:id="rId7" w:history="1">
        <w:r w:rsidRPr="00C2451C">
          <w:rPr>
            <w:rStyle w:val="Hyperlink"/>
            <w:noProof/>
          </w:rPr>
          <w:t>https://doi.org:10.1093/ije/dyw307</w:t>
        </w:r>
      </w:hyperlink>
    </w:p>
    <w:p w14:paraId="305074D6" w14:textId="04DC0A53" w:rsidR="00EE30C9" w:rsidRDefault="00EE30C9" w:rsidP="00EE30C9">
      <w:pPr>
        <w:pStyle w:val="EndNoteBibliography"/>
        <w:ind w:left="720" w:hanging="720"/>
        <w:rPr>
          <w:rStyle w:val="Hyperlink"/>
          <w:noProof/>
        </w:rPr>
      </w:pPr>
      <w:r>
        <w:rPr>
          <w:noProof/>
        </w:rPr>
        <w:t>5</w:t>
      </w:r>
      <w:r w:rsidRPr="00C2451C">
        <w:rPr>
          <w:noProof/>
        </w:rPr>
        <w:tab/>
        <w:t xml:space="preserve">Horvath, S. DNA methylation age of human tissues and cell types. </w:t>
      </w:r>
      <w:r w:rsidRPr="00C2451C">
        <w:rPr>
          <w:i/>
          <w:noProof/>
        </w:rPr>
        <w:t>Genome Biol</w:t>
      </w:r>
      <w:r w:rsidRPr="00C2451C">
        <w:rPr>
          <w:noProof/>
        </w:rPr>
        <w:t xml:space="preserve"> </w:t>
      </w:r>
      <w:r w:rsidRPr="00C2451C">
        <w:rPr>
          <w:b/>
          <w:noProof/>
        </w:rPr>
        <w:t>14</w:t>
      </w:r>
      <w:r w:rsidRPr="00C2451C">
        <w:rPr>
          <w:noProof/>
        </w:rPr>
        <w:t xml:space="preserve">, R115 (2013). </w:t>
      </w:r>
      <w:hyperlink r:id="rId8" w:history="1">
        <w:r w:rsidRPr="00C2451C">
          <w:rPr>
            <w:rStyle w:val="Hyperlink"/>
            <w:noProof/>
          </w:rPr>
          <w:t>https://doi.org:10.1186/gb-2013-14-10-r115</w:t>
        </w:r>
      </w:hyperlink>
    </w:p>
    <w:p w14:paraId="0884D824" w14:textId="73F2F141" w:rsidR="00EE30C9" w:rsidRPr="00C2451C" w:rsidRDefault="00992F6D" w:rsidP="00EE30C9">
      <w:pPr>
        <w:pStyle w:val="EndNoteBibliography"/>
        <w:ind w:left="720" w:hanging="720"/>
        <w:rPr>
          <w:noProof/>
        </w:rPr>
      </w:pPr>
      <w:r w:rsidRPr="00992F6D">
        <w:rPr>
          <w:rStyle w:val="Hyperlink"/>
          <w:noProof/>
          <w:color w:val="000000" w:themeColor="text1"/>
          <w:u w:val="none"/>
        </w:rPr>
        <w:t>6</w:t>
      </w:r>
      <w:r w:rsidR="00EE30C9" w:rsidRPr="00992F6D">
        <w:rPr>
          <w:rStyle w:val="Hyperlink"/>
          <w:noProof/>
          <w:color w:val="000000" w:themeColor="text1"/>
          <w:u w:val="none"/>
        </w:rPr>
        <w:t xml:space="preserve">     </w:t>
      </w:r>
      <w:r w:rsidR="00EE30C9" w:rsidRPr="00992F6D">
        <w:rPr>
          <w:rStyle w:val="Hyperlink"/>
          <w:noProof/>
          <w:u w:val="none"/>
        </w:rPr>
        <w:t xml:space="preserve">    </w:t>
      </w:r>
      <w:r>
        <w:rPr>
          <w:rStyle w:val="Hyperlink"/>
          <w:noProof/>
          <w:u w:val="none"/>
        </w:rPr>
        <w:t xml:space="preserve"> </w:t>
      </w:r>
      <w:r w:rsidR="00EE30C9" w:rsidRPr="001916C1">
        <w:rPr>
          <w:noProof/>
        </w:rPr>
        <w:t>Levine, M. E.</w:t>
      </w:r>
      <w:r w:rsidR="00EE30C9" w:rsidRPr="001916C1">
        <w:rPr>
          <w:i/>
          <w:noProof/>
        </w:rPr>
        <w:t xml:space="preserve"> et al.</w:t>
      </w:r>
      <w:r w:rsidR="00EE30C9" w:rsidRPr="001916C1">
        <w:rPr>
          <w:noProof/>
        </w:rPr>
        <w:t xml:space="preserve"> An epigenetic biomarker of aging for lifespan and healthspan. </w:t>
      </w:r>
      <w:r w:rsidR="00EE30C9" w:rsidRPr="001916C1">
        <w:rPr>
          <w:i/>
          <w:noProof/>
        </w:rPr>
        <w:t>Aging (Albany NY)</w:t>
      </w:r>
      <w:r w:rsidR="00EE30C9" w:rsidRPr="001916C1">
        <w:rPr>
          <w:noProof/>
        </w:rPr>
        <w:t xml:space="preserve"> </w:t>
      </w:r>
      <w:r w:rsidR="00EE30C9" w:rsidRPr="001916C1">
        <w:rPr>
          <w:b/>
          <w:noProof/>
        </w:rPr>
        <w:t>10</w:t>
      </w:r>
      <w:r w:rsidR="00EE30C9" w:rsidRPr="001916C1">
        <w:rPr>
          <w:noProof/>
        </w:rPr>
        <w:t xml:space="preserve">, 573-591 (2018). </w:t>
      </w:r>
      <w:hyperlink r:id="rId9" w:history="1">
        <w:r w:rsidR="00EE30C9" w:rsidRPr="001916C1">
          <w:rPr>
            <w:rStyle w:val="Hyperlink"/>
            <w:noProof/>
          </w:rPr>
          <w:t>https://doi.org:10.18632/aging.101414</w:t>
        </w:r>
      </w:hyperlink>
    </w:p>
    <w:p w14:paraId="199EFD9A" w14:textId="13DD98F8" w:rsidR="00EE30C9" w:rsidRPr="00C2451C" w:rsidRDefault="00EE30C9" w:rsidP="00EE30C9">
      <w:pPr>
        <w:pStyle w:val="EndNoteBibliography"/>
        <w:ind w:left="720" w:hanging="720"/>
        <w:rPr>
          <w:noProof/>
        </w:rPr>
      </w:pPr>
      <w:r>
        <w:rPr>
          <w:noProof/>
        </w:rPr>
        <w:t>7</w:t>
      </w:r>
      <w:r w:rsidRPr="00C2451C">
        <w:rPr>
          <w:noProof/>
        </w:rPr>
        <w:tab/>
        <w:t>Lu, A. T.</w:t>
      </w:r>
      <w:r w:rsidRPr="00C2451C">
        <w:rPr>
          <w:i/>
          <w:noProof/>
        </w:rPr>
        <w:t xml:space="preserve"> et al.</w:t>
      </w:r>
      <w:r w:rsidRPr="00C2451C">
        <w:rPr>
          <w:noProof/>
        </w:rPr>
        <w:t xml:space="preserve"> DNA methylation GrimAge strongly predicts lifespan and healthspan. </w:t>
      </w:r>
      <w:r w:rsidRPr="00C2451C">
        <w:rPr>
          <w:i/>
          <w:noProof/>
        </w:rPr>
        <w:t>Aging (Albany NY)</w:t>
      </w:r>
      <w:r w:rsidRPr="00C2451C">
        <w:rPr>
          <w:noProof/>
        </w:rPr>
        <w:t xml:space="preserve"> </w:t>
      </w:r>
      <w:r w:rsidRPr="00C2451C">
        <w:rPr>
          <w:b/>
          <w:noProof/>
        </w:rPr>
        <w:t>11</w:t>
      </w:r>
      <w:r w:rsidRPr="00C2451C">
        <w:rPr>
          <w:noProof/>
        </w:rPr>
        <w:t xml:space="preserve">, 303-327 (2019). </w:t>
      </w:r>
      <w:hyperlink r:id="rId10" w:history="1">
        <w:r w:rsidRPr="00C2451C">
          <w:rPr>
            <w:rStyle w:val="Hyperlink"/>
            <w:noProof/>
          </w:rPr>
          <w:t>https://doi.org:10.18632/aging.101684</w:t>
        </w:r>
      </w:hyperlink>
    </w:p>
    <w:p w14:paraId="0373B7D8" w14:textId="6D9F740E" w:rsidR="00EE30C9" w:rsidRPr="00C2451C" w:rsidRDefault="00EE30C9" w:rsidP="00EE30C9">
      <w:pPr>
        <w:pStyle w:val="EndNoteBibliography"/>
        <w:ind w:left="720" w:hanging="720"/>
        <w:rPr>
          <w:noProof/>
        </w:rPr>
      </w:pPr>
      <w:r>
        <w:rPr>
          <w:noProof/>
        </w:rPr>
        <w:t>8</w:t>
      </w:r>
      <w:r w:rsidRPr="00C2451C">
        <w:rPr>
          <w:noProof/>
        </w:rPr>
        <w:tab/>
        <w:t xml:space="preserve">Chandra, T. &amp; Kirschner, K. Chromosome organisation during ageing and senescence. </w:t>
      </w:r>
      <w:r w:rsidRPr="00C2451C">
        <w:rPr>
          <w:i/>
          <w:noProof/>
        </w:rPr>
        <w:t>Curr Opin Cell Biol</w:t>
      </w:r>
      <w:r w:rsidRPr="00C2451C">
        <w:rPr>
          <w:noProof/>
        </w:rPr>
        <w:t xml:space="preserve"> </w:t>
      </w:r>
      <w:r w:rsidRPr="00C2451C">
        <w:rPr>
          <w:b/>
          <w:noProof/>
        </w:rPr>
        <w:t>40</w:t>
      </w:r>
      <w:r w:rsidRPr="00C2451C">
        <w:rPr>
          <w:noProof/>
        </w:rPr>
        <w:t xml:space="preserve">, 161-167 (2016). </w:t>
      </w:r>
      <w:hyperlink r:id="rId11" w:history="1">
        <w:r w:rsidRPr="00C2451C">
          <w:rPr>
            <w:rStyle w:val="Hyperlink"/>
            <w:noProof/>
          </w:rPr>
          <w:t>https://doi.org:10.1016/j.ceb.2016.03.020</w:t>
        </w:r>
      </w:hyperlink>
    </w:p>
    <w:p w14:paraId="0960841B" w14:textId="6D07C9D6" w:rsidR="00EE30C9" w:rsidRPr="00C2451C" w:rsidRDefault="00EE30C9" w:rsidP="00EE30C9">
      <w:pPr>
        <w:pStyle w:val="EndNoteBibliography"/>
        <w:ind w:left="720" w:hanging="720"/>
        <w:rPr>
          <w:noProof/>
        </w:rPr>
      </w:pPr>
      <w:r>
        <w:rPr>
          <w:noProof/>
        </w:rPr>
        <w:t>9</w:t>
      </w:r>
      <w:r w:rsidRPr="00C2451C">
        <w:rPr>
          <w:noProof/>
        </w:rPr>
        <w:tab/>
        <w:t>Horvath, S.</w:t>
      </w:r>
      <w:r w:rsidRPr="00C2451C">
        <w:rPr>
          <w:i/>
          <w:noProof/>
        </w:rPr>
        <w:t xml:space="preserve"> et al.</w:t>
      </w:r>
      <w:r w:rsidRPr="00C2451C">
        <w:rPr>
          <w:noProof/>
        </w:rPr>
        <w:t xml:space="preserve"> Epigenetic clock for skin and blood cells applied to Hutchinson Gilford Progeria Syndrome and ex vivo studies. </w:t>
      </w:r>
      <w:r w:rsidRPr="00C2451C">
        <w:rPr>
          <w:i/>
          <w:noProof/>
        </w:rPr>
        <w:t>Aging (Albany NY)</w:t>
      </w:r>
      <w:r w:rsidRPr="00C2451C">
        <w:rPr>
          <w:noProof/>
        </w:rPr>
        <w:t xml:space="preserve"> </w:t>
      </w:r>
      <w:r w:rsidRPr="00C2451C">
        <w:rPr>
          <w:b/>
          <w:noProof/>
        </w:rPr>
        <w:t>10</w:t>
      </w:r>
      <w:r w:rsidRPr="00C2451C">
        <w:rPr>
          <w:noProof/>
        </w:rPr>
        <w:t xml:space="preserve">, 1758-1775 (2018). </w:t>
      </w:r>
      <w:hyperlink r:id="rId12" w:history="1">
        <w:r w:rsidRPr="00C2451C">
          <w:rPr>
            <w:rStyle w:val="Hyperlink"/>
            <w:noProof/>
          </w:rPr>
          <w:t>https://doi.org:10.18632/aging.101508</w:t>
        </w:r>
      </w:hyperlink>
    </w:p>
    <w:p w14:paraId="56B8C0D8" w14:textId="77777777" w:rsidR="00EE30C9" w:rsidRDefault="00EE30C9" w:rsidP="00EE30C9">
      <w:pPr>
        <w:rPr>
          <w:color w:val="000000" w:themeColor="text1"/>
        </w:rPr>
      </w:pPr>
      <w:r>
        <w:fldChar w:fldCharType="end"/>
      </w:r>
    </w:p>
    <w:p w14:paraId="69661894" w14:textId="77777777" w:rsidR="00E94771" w:rsidRDefault="00E94771"/>
    <w:sectPr w:rsidR="00E9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C9"/>
    <w:rsid w:val="000A1ECA"/>
    <w:rsid w:val="001078C9"/>
    <w:rsid w:val="001B1225"/>
    <w:rsid w:val="001D13B7"/>
    <w:rsid w:val="002708DE"/>
    <w:rsid w:val="002C53AE"/>
    <w:rsid w:val="002E6843"/>
    <w:rsid w:val="003140FC"/>
    <w:rsid w:val="00323DBB"/>
    <w:rsid w:val="003413C4"/>
    <w:rsid w:val="003C5173"/>
    <w:rsid w:val="00417F50"/>
    <w:rsid w:val="005D5FBB"/>
    <w:rsid w:val="007547DF"/>
    <w:rsid w:val="007D6FB1"/>
    <w:rsid w:val="0081487B"/>
    <w:rsid w:val="00847077"/>
    <w:rsid w:val="00881507"/>
    <w:rsid w:val="00931FC4"/>
    <w:rsid w:val="00943D9C"/>
    <w:rsid w:val="00992F6D"/>
    <w:rsid w:val="00A2020C"/>
    <w:rsid w:val="00A467B9"/>
    <w:rsid w:val="00AE2CEA"/>
    <w:rsid w:val="00B246F2"/>
    <w:rsid w:val="00B5155D"/>
    <w:rsid w:val="00B82BB3"/>
    <w:rsid w:val="00B90382"/>
    <w:rsid w:val="00BA528E"/>
    <w:rsid w:val="00C16AD8"/>
    <w:rsid w:val="00C62194"/>
    <w:rsid w:val="00C66D2D"/>
    <w:rsid w:val="00CA6667"/>
    <w:rsid w:val="00D421D1"/>
    <w:rsid w:val="00D975B2"/>
    <w:rsid w:val="00E17E0B"/>
    <w:rsid w:val="00E75E0F"/>
    <w:rsid w:val="00E94771"/>
    <w:rsid w:val="00EA100F"/>
    <w:rsid w:val="00EC4F19"/>
    <w:rsid w:val="00EE1891"/>
    <w:rsid w:val="00EE30C9"/>
    <w:rsid w:val="00EE40C3"/>
    <w:rsid w:val="00F00D70"/>
    <w:rsid w:val="00F60AC8"/>
    <w:rsid w:val="00F84F52"/>
    <w:rsid w:val="00FB2A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2358"/>
  <w15:chartTrackingRefBased/>
  <w15:docId w15:val="{F54763C0-DCEC-B74A-89FC-3926BCE6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C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0C9"/>
    <w:rPr>
      <w:color w:val="0563C1" w:themeColor="hyperlink"/>
      <w:u w:val="single"/>
    </w:rPr>
  </w:style>
  <w:style w:type="paragraph" w:customStyle="1" w:styleId="EndNoteBibliography">
    <w:name w:val="EndNote Bibliography"/>
    <w:basedOn w:val="Normal"/>
    <w:link w:val="EndNoteBibliographyChar"/>
    <w:rsid w:val="00EE30C9"/>
  </w:style>
  <w:style w:type="character" w:customStyle="1" w:styleId="EndNoteBibliographyChar">
    <w:name w:val="EndNote Bibliography Char"/>
    <w:basedOn w:val="DefaultParagraphFont"/>
    <w:link w:val="EndNoteBibliography"/>
    <w:rsid w:val="00EE30C9"/>
    <w:rPr>
      <w:rFonts w:ascii="Times New Roman" w:eastAsia="Times New Roman" w:hAnsi="Times New Roman" w:cs="Times New Roman"/>
    </w:rPr>
  </w:style>
  <w:style w:type="table" w:styleId="TableGrid">
    <w:name w:val="Table Grid"/>
    <w:basedOn w:val="TableNormal"/>
    <w:uiPriority w:val="39"/>
    <w:rsid w:val="00EE30C9"/>
    <w:rPr>
      <w:rFonts w:eastAsiaTheme="minorEastAsia"/>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0AC8"/>
    <w:rPr>
      <w:sz w:val="16"/>
      <w:szCs w:val="16"/>
    </w:rPr>
  </w:style>
  <w:style w:type="paragraph" w:styleId="CommentText">
    <w:name w:val="annotation text"/>
    <w:basedOn w:val="Normal"/>
    <w:link w:val="CommentTextChar"/>
    <w:uiPriority w:val="99"/>
    <w:semiHidden/>
    <w:unhideWhenUsed/>
    <w:rsid w:val="00F60AC8"/>
    <w:rPr>
      <w:sz w:val="20"/>
      <w:szCs w:val="20"/>
    </w:rPr>
  </w:style>
  <w:style w:type="character" w:customStyle="1" w:styleId="CommentTextChar">
    <w:name w:val="Comment Text Char"/>
    <w:basedOn w:val="DefaultParagraphFont"/>
    <w:link w:val="CommentText"/>
    <w:uiPriority w:val="99"/>
    <w:semiHidden/>
    <w:rsid w:val="00F60A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0AC8"/>
    <w:rPr>
      <w:b/>
      <w:bCs/>
    </w:rPr>
  </w:style>
  <w:style w:type="character" w:customStyle="1" w:styleId="CommentSubjectChar">
    <w:name w:val="Comment Subject Char"/>
    <w:basedOn w:val="CommentTextChar"/>
    <w:link w:val="CommentSubject"/>
    <w:uiPriority w:val="99"/>
    <w:semiHidden/>
    <w:rsid w:val="00F60AC8"/>
    <w:rPr>
      <w:rFonts w:ascii="Times New Roman" w:eastAsia="Times New Roman" w:hAnsi="Times New Roman" w:cs="Times New Roman"/>
      <w:b/>
      <w:bCs/>
      <w:sz w:val="20"/>
      <w:szCs w:val="20"/>
    </w:rPr>
  </w:style>
  <w:style w:type="paragraph" w:styleId="Revision">
    <w:name w:val="Revision"/>
    <w:hidden/>
    <w:uiPriority w:val="99"/>
    <w:semiHidden/>
    <w:rsid w:val="005D5F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gb-2013-14-10-r11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93/ije/dyw307" TargetMode="External"/><Relationship Id="rId12" Type="http://schemas.openxmlformats.org/officeDocument/2006/relationships/hyperlink" Target="https://doi.org:10.18632/aging.1015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molcel.2012.10.016" TargetMode="External"/><Relationship Id="rId11" Type="http://schemas.openxmlformats.org/officeDocument/2006/relationships/hyperlink" Target="https://doi.org:10.1016/j.ceb.2016.03.020" TargetMode="External"/><Relationship Id="rId5" Type="http://schemas.openxmlformats.org/officeDocument/2006/relationships/hyperlink" Target="https://doi.org:10.1016/j.ebiom.2017.03.046" TargetMode="External"/><Relationship Id="rId10" Type="http://schemas.openxmlformats.org/officeDocument/2006/relationships/hyperlink" Target="https://doi.org:10.18632/aging.101684" TargetMode="External"/><Relationship Id="rId4" Type="http://schemas.openxmlformats.org/officeDocument/2006/relationships/hyperlink" Target="https://doi.org:10.1186/s13104-019-4633-1" TargetMode="External"/><Relationship Id="rId9" Type="http://schemas.openxmlformats.org/officeDocument/2006/relationships/hyperlink" Target="https://doi.org:10.18632/aging.1014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Macit, Betul</dc:creator>
  <cp:keywords/>
  <dc:description/>
  <cp:lastModifiedBy>Macit, Betul</cp:lastModifiedBy>
  <cp:revision>4</cp:revision>
  <dcterms:created xsi:type="dcterms:W3CDTF">2023-12-19T15:55:00Z</dcterms:created>
  <dcterms:modified xsi:type="dcterms:W3CDTF">2023-12-22T17:12:00Z</dcterms:modified>
</cp:coreProperties>
</file>