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B3DEBD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  <w:r>
        <w:rPr>
          <w:noProof/>
        </w:rPr>
        <w:drawing>
          <wp:inline distT="0" distB="0" distL="0" distR="0" wp14:anchorId="3074B25F" wp14:editId="07EBA2AF">
            <wp:extent cx="5737225" cy="8229600"/>
            <wp:effectExtent l="0" t="0" r="0" b="0"/>
            <wp:docPr id="205847852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722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74B8A7" w14:textId="77777777" w:rsidR="00BB1CBF" w:rsidRDefault="00BB1CBF" w:rsidP="00BB1CBF">
      <w:pPr>
        <w:spacing w:before="240" w:after="240"/>
        <w:jc w:val="both"/>
        <w:rPr>
          <w:b/>
          <w:sz w:val="20"/>
          <w:szCs w:val="20"/>
          <w:highlight w:val="white"/>
        </w:rPr>
      </w:pPr>
      <w:r>
        <w:rPr>
          <w:b/>
          <w:sz w:val="20"/>
          <w:szCs w:val="20"/>
          <w:highlight w:val="white"/>
        </w:rPr>
        <w:lastRenderedPageBreak/>
        <w:t>Figure S1. Generation and validation of tagged hiPSC lines.</w:t>
      </w:r>
    </w:p>
    <w:p w14:paraId="09DC96CB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  <w:r>
        <w:rPr>
          <w:sz w:val="20"/>
          <w:szCs w:val="20"/>
          <w:highlight w:val="white"/>
        </w:rPr>
        <w:t>a)</w:t>
      </w:r>
      <w:r>
        <w:rPr>
          <w:sz w:val="20"/>
          <w:szCs w:val="20"/>
          <w:highlight w:val="white"/>
        </w:rPr>
        <w:tab/>
        <w:t>Schematic for Cas9 induction by doxycycline treatment in iCas9 IMR90 hiPSCs.</w:t>
      </w:r>
    </w:p>
    <w:p w14:paraId="6E919F18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  <w:r>
        <w:rPr>
          <w:sz w:val="20"/>
          <w:szCs w:val="20"/>
          <w:highlight w:val="white"/>
        </w:rPr>
        <w:t>b)</w:t>
      </w:r>
      <w:r>
        <w:rPr>
          <w:sz w:val="20"/>
          <w:szCs w:val="20"/>
          <w:highlight w:val="white"/>
        </w:rPr>
        <w:tab/>
        <w:t xml:space="preserve">Genotyping PCR of 1042 bp amplicon (upon knock-in) from primer pairs inside and outside the donor cassette flanking the left homology arm observed on gel, Lane 1: 1kb DNA ladder;.Lane 2: Negative (Water control); Lane 3: IMR90-iCas9_Clone 1;.Lane 4: IMR90-iCas9_Clone 2;.Lane 5: IMR90 iPS_WT. </w:t>
      </w:r>
    </w:p>
    <w:p w14:paraId="63914225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  <w:r>
        <w:rPr>
          <w:sz w:val="20"/>
          <w:szCs w:val="20"/>
          <w:highlight w:val="white"/>
        </w:rPr>
        <w:t>c)</w:t>
      </w:r>
      <w:r>
        <w:rPr>
          <w:sz w:val="20"/>
          <w:szCs w:val="20"/>
          <w:highlight w:val="white"/>
        </w:rPr>
        <w:tab/>
        <w:t xml:space="preserve">Genotyping PCR gel for knock-in validation from primer pair across right homology arm in Clone1 and 2 of IMR90-iCas9 (Lane 2 and 3 respectively), expected size of 2107 bp upon successful HDR while no amplification in Lane 4: IMR90 iPS_WT and Lane 5: Negative control. </w:t>
      </w:r>
    </w:p>
    <w:p w14:paraId="56A36AF8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  <w:r>
        <w:rPr>
          <w:sz w:val="20"/>
          <w:szCs w:val="20"/>
          <w:highlight w:val="white"/>
        </w:rPr>
        <w:t>d)</w:t>
      </w:r>
      <w:r>
        <w:rPr>
          <w:sz w:val="20"/>
          <w:szCs w:val="20"/>
          <w:highlight w:val="white"/>
        </w:rPr>
        <w:tab/>
        <w:t xml:space="preserve">Immunostaining of iCas9-IMR90 colonies for pluripotency markers, SOX2 and OCT4 with DAPI staining the nucleus. Magnification 10x, Scale: 10 µm. </w:t>
      </w:r>
    </w:p>
    <w:p w14:paraId="564B8AA7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  <w:r>
        <w:rPr>
          <w:sz w:val="20"/>
          <w:szCs w:val="20"/>
          <w:highlight w:val="white"/>
        </w:rPr>
        <w:t>e)</w:t>
      </w:r>
      <w:r>
        <w:rPr>
          <w:sz w:val="20"/>
          <w:szCs w:val="20"/>
          <w:highlight w:val="white"/>
        </w:rPr>
        <w:tab/>
        <w:t>PCR genotyping showed 870 bp amplicon upon successful knock-in while no amplification in un-transfected control (UT). Forward primer used was designed outside the left homology arm on the genome and reverse primer is from mClover.</w:t>
      </w:r>
    </w:p>
    <w:p w14:paraId="2B130B5A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  <w:r>
        <w:rPr>
          <w:sz w:val="20"/>
          <w:szCs w:val="20"/>
          <w:highlight w:val="white"/>
        </w:rPr>
        <w:t>f)</w:t>
      </w:r>
      <w:r>
        <w:rPr>
          <w:sz w:val="20"/>
          <w:szCs w:val="20"/>
          <w:highlight w:val="white"/>
        </w:rPr>
        <w:tab/>
        <w:t>Immunofluorescence staining at day 25 showing neural stem cells (Nestin, red) in both control and GAD1-mClover knock-in neuronal cultures, DAPI marks nuclei (blue). Scale, 100 µm.</w:t>
      </w:r>
    </w:p>
    <w:p w14:paraId="14A737A4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  <w:r>
        <w:rPr>
          <w:sz w:val="20"/>
          <w:szCs w:val="20"/>
          <w:highlight w:val="white"/>
        </w:rPr>
        <w:t>g)</w:t>
      </w:r>
      <w:r>
        <w:rPr>
          <w:sz w:val="20"/>
          <w:szCs w:val="20"/>
          <w:highlight w:val="white"/>
        </w:rPr>
        <w:tab/>
        <w:t>Immunofluorescence staining at day 50 cells in culture for MGE progenitor marker (NKX2.1, red) in both control and GAD1-mClover knock-in neuronal cultures while mClover signal (anti-GFP antibody) was only seen in GAD1-mClover knock-in cells. Scale, 50 µm.</w:t>
      </w:r>
    </w:p>
    <w:p w14:paraId="6E0E4E0A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</w:p>
    <w:p w14:paraId="35D4D011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</w:p>
    <w:p w14:paraId="403EEE86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</w:p>
    <w:p w14:paraId="4951560F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</w:p>
    <w:p w14:paraId="505F4CF3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</w:p>
    <w:p w14:paraId="7317D566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</w:p>
    <w:p w14:paraId="7462A310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</w:p>
    <w:p w14:paraId="07168424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</w:p>
    <w:p w14:paraId="05D81F24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</w:p>
    <w:p w14:paraId="4F2F552F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</w:p>
    <w:p w14:paraId="65E3D340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</w:p>
    <w:p w14:paraId="702C1CA8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</w:p>
    <w:p w14:paraId="67545423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  <w:r>
        <w:rPr>
          <w:noProof/>
        </w:rPr>
        <w:lastRenderedPageBreak/>
        <w:drawing>
          <wp:inline distT="0" distB="0" distL="0" distR="0" wp14:anchorId="75CCC194" wp14:editId="4B2B38D6">
            <wp:extent cx="4946650" cy="8229600"/>
            <wp:effectExtent l="0" t="0" r="6350" b="0"/>
            <wp:docPr id="9263928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665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2CAD57" w14:textId="77777777" w:rsidR="00BB1CBF" w:rsidRDefault="00BB1CBF" w:rsidP="00BB1CBF">
      <w:pPr>
        <w:spacing w:before="240" w:after="240"/>
        <w:jc w:val="both"/>
        <w:rPr>
          <w:b/>
          <w:sz w:val="20"/>
          <w:szCs w:val="20"/>
          <w:highlight w:val="white"/>
        </w:rPr>
      </w:pPr>
      <w:r>
        <w:rPr>
          <w:b/>
          <w:sz w:val="20"/>
          <w:szCs w:val="20"/>
          <w:highlight w:val="white"/>
        </w:rPr>
        <w:lastRenderedPageBreak/>
        <w:t>Figure S2.</w:t>
      </w:r>
    </w:p>
    <w:p w14:paraId="3202A84A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  <w:r>
        <w:rPr>
          <w:sz w:val="20"/>
          <w:szCs w:val="20"/>
          <w:highlight w:val="white"/>
        </w:rPr>
        <w:t>a)</w:t>
      </w:r>
      <w:r>
        <w:rPr>
          <w:sz w:val="20"/>
          <w:szCs w:val="20"/>
          <w:highlight w:val="white"/>
        </w:rPr>
        <w:tab/>
        <w:t>Schematic of Cas9 based genome editings done in hiPSCs in this study to generate ECG-hiPSCs.</w:t>
      </w:r>
    </w:p>
    <w:p w14:paraId="2AFEF5E0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  <w:r>
        <w:rPr>
          <w:sz w:val="20"/>
          <w:szCs w:val="20"/>
          <w:highlight w:val="white"/>
        </w:rPr>
        <w:t>b)</w:t>
      </w:r>
      <w:r>
        <w:rPr>
          <w:sz w:val="20"/>
          <w:szCs w:val="20"/>
          <w:highlight w:val="white"/>
        </w:rPr>
        <w:tab/>
        <w:t xml:space="preserve">Phase contrast images of WT and </w:t>
      </w:r>
      <w:r w:rsidRPr="00741945">
        <w:rPr>
          <w:i/>
          <w:sz w:val="20"/>
          <w:szCs w:val="20"/>
          <w:highlight w:val="white"/>
        </w:rPr>
        <w:t>ERBB4</w:t>
      </w:r>
      <w:r w:rsidRPr="00741945">
        <w:rPr>
          <w:b/>
          <w:i/>
          <w:sz w:val="20"/>
          <w:szCs w:val="20"/>
          <w:highlight w:val="white"/>
          <w:vertAlign w:val="superscript"/>
        </w:rPr>
        <w:t>-/-</w:t>
      </w:r>
      <w:r>
        <w:rPr>
          <w:b/>
          <w:i/>
          <w:sz w:val="20"/>
          <w:szCs w:val="20"/>
          <w:highlight w:val="white"/>
          <w:vertAlign w:val="superscript"/>
        </w:rPr>
        <w:t xml:space="preserve"> </w:t>
      </w:r>
      <w:r>
        <w:rPr>
          <w:sz w:val="20"/>
          <w:szCs w:val="20"/>
          <w:highlight w:val="white"/>
        </w:rPr>
        <w:t>hiPSCs.</w:t>
      </w:r>
    </w:p>
    <w:p w14:paraId="122B67CC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  <w:r>
        <w:rPr>
          <w:sz w:val="20"/>
          <w:szCs w:val="20"/>
          <w:highlight w:val="white"/>
        </w:rPr>
        <w:t>c)</w:t>
      </w:r>
      <w:r>
        <w:rPr>
          <w:sz w:val="20"/>
          <w:szCs w:val="20"/>
          <w:highlight w:val="white"/>
        </w:rPr>
        <w:tab/>
        <w:t xml:space="preserve">Immunostaining for pluripotency markers, NANOG and SSEA4 in the selected </w:t>
      </w:r>
      <w:r w:rsidRPr="006F50D7">
        <w:rPr>
          <w:i/>
          <w:iCs/>
          <w:sz w:val="20"/>
          <w:szCs w:val="20"/>
          <w:highlight w:val="white"/>
        </w:rPr>
        <w:t>ERBB4</w:t>
      </w:r>
      <w:r>
        <w:rPr>
          <w:sz w:val="20"/>
          <w:szCs w:val="20"/>
          <w:highlight w:val="white"/>
        </w:rPr>
        <w:t xml:space="preserve"> knockout clone.</w:t>
      </w:r>
    </w:p>
    <w:p w14:paraId="2639B349" w14:textId="77777777" w:rsidR="00BB1CBF" w:rsidRDefault="00BB1CBF" w:rsidP="00BB1CBF">
      <w:pPr>
        <w:spacing w:before="240" w:after="240"/>
        <w:ind w:left="-90"/>
        <w:jc w:val="both"/>
        <w:rPr>
          <w:sz w:val="20"/>
          <w:szCs w:val="20"/>
          <w:highlight w:val="white"/>
        </w:rPr>
      </w:pPr>
      <w:r>
        <w:rPr>
          <w:sz w:val="20"/>
          <w:szCs w:val="20"/>
          <w:highlight w:val="white"/>
        </w:rPr>
        <w:t>d)</w:t>
      </w:r>
      <w:r>
        <w:rPr>
          <w:sz w:val="20"/>
          <w:szCs w:val="20"/>
          <w:highlight w:val="white"/>
        </w:rPr>
        <w:tab/>
        <w:t xml:space="preserve">Representative image of </w:t>
      </w:r>
      <w:r w:rsidRPr="00741945">
        <w:rPr>
          <w:i/>
          <w:sz w:val="20"/>
          <w:szCs w:val="20"/>
          <w:highlight w:val="white"/>
        </w:rPr>
        <w:t>ERBB4</w:t>
      </w:r>
      <w:r w:rsidRPr="00741945">
        <w:rPr>
          <w:b/>
          <w:i/>
          <w:sz w:val="20"/>
          <w:szCs w:val="20"/>
          <w:highlight w:val="white"/>
          <w:vertAlign w:val="superscript"/>
        </w:rPr>
        <w:t>-/-</w:t>
      </w:r>
      <w:r>
        <w:rPr>
          <w:b/>
          <w:i/>
          <w:sz w:val="20"/>
          <w:szCs w:val="20"/>
          <w:highlight w:val="white"/>
          <w:vertAlign w:val="superscript"/>
        </w:rPr>
        <w:t xml:space="preserve"> </w:t>
      </w:r>
      <w:r>
        <w:rPr>
          <w:sz w:val="20"/>
          <w:szCs w:val="20"/>
          <w:highlight w:val="white"/>
        </w:rPr>
        <w:t>neurons in culture (day 35) showing mClover+ signal. Scale bar: 100 μm.</w:t>
      </w:r>
    </w:p>
    <w:p w14:paraId="0E9FB783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  <w:r>
        <w:rPr>
          <w:sz w:val="20"/>
          <w:szCs w:val="20"/>
          <w:highlight w:val="white"/>
        </w:rPr>
        <w:t>e)</w:t>
      </w:r>
      <w:r>
        <w:rPr>
          <w:sz w:val="20"/>
          <w:szCs w:val="20"/>
          <w:highlight w:val="white"/>
        </w:rPr>
        <w:tab/>
        <w:t xml:space="preserve">Patterning of dorsal and ventral forebrain identity during neural induction using Inhibitor of WNT pathway (IWP2), CyclopamineA (CycA) and Smoothened Agonist (SAG). </w:t>
      </w:r>
    </w:p>
    <w:p w14:paraId="204FD4B7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  <w:r>
        <w:rPr>
          <w:sz w:val="20"/>
          <w:szCs w:val="20"/>
          <w:highlight w:val="white"/>
        </w:rPr>
        <w:t>f)</w:t>
      </w:r>
      <w:r>
        <w:rPr>
          <w:sz w:val="20"/>
          <w:szCs w:val="20"/>
          <w:highlight w:val="white"/>
        </w:rPr>
        <w:tab/>
        <w:t>Methodological overview and timeline of organoid generation with phase contrast (Scale bars: 100 μm) and bright-field (organoid; Scale bar: 1 mm) representative images of each stage.</w:t>
      </w:r>
    </w:p>
    <w:p w14:paraId="31A025D5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  <w:r>
        <w:rPr>
          <w:sz w:val="20"/>
          <w:szCs w:val="20"/>
          <w:highlight w:val="white"/>
        </w:rPr>
        <w:t>g)</w:t>
      </w:r>
      <w:r>
        <w:rPr>
          <w:sz w:val="20"/>
          <w:szCs w:val="20"/>
          <w:highlight w:val="white"/>
        </w:rPr>
        <w:tab/>
        <w:t xml:space="preserve">Dorsal and Ventral specified organoids at the base of a 1.5ml MCT with media. Zone of fusion (red arrowhead) two days post fusion. Scale bar: 500 μm. </w:t>
      </w:r>
    </w:p>
    <w:p w14:paraId="67D81C71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  <w:r>
        <w:rPr>
          <w:sz w:val="20"/>
          <w:szCs w:val="20"/>
          <w:highlight w:val="white"/>
        </w:rPr>
        <w:t>h)</w:t>
      </w:r>
      <w:r>
        <w:rPr>
          <w:sz w:val="20"/>
          <w:szCs w:val="20"/>
          <w:highlight w:val="white"/>
        </w:rPr>
        <w:tab/>
        <w:t>Expression of mClover (endogenous reporter labeling for GABAergic interneurons) in VFO (Day 30) while no signal in DFO (Day 30). Scale: 200 μm</w:t>
      </w:r>
    </w:p>
    <w:p w14:paraId="68C80080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  <w:r>
        <w:rPr>
          <w:sz w:val="20"/>
          <w:szCs w:val="20"/>
          <w:highlight w:val="white"/>
        </w:rPr>
        <w:t>i)</w:t>
      </w:r>
      <w:r>
        <w:rPr>
          <w:sz w:val="20"/>
          <w:szCs w:val="20"/>
          <w:highlight w:val="white"/>
        </w:rPr>
        <w:tab/>
        <w:t xml:space="preserve">qPCR analysis for the indicated lineage markers in dorsal organoids, ventral organoids and ventral:dorsal (fused) assembloids, day 35 culture. Values are plotted as log2 fold change expression w.r.t. hiPSCs and normalized to the reference gene GAPDH. Data represents mean ± S.D (n=3). </w:t>
      </w:r>
    </w:p>
    <w:p w14:paraId="5BC82C74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  <w:r>
        <w:rPr>
          <w:sz w:val="20"/>
          <w:szCs w:val="20"/>
          <w:highlight w:val="white"/>
        </w:rPr>
        <w:t>j)</w:t>
      </w:r>
      <w:r>
        <w:rPr>
          <w:sz w:val="20"/>
          <w:szCs w:val="20"/>
          <w:highlight w:val="white"/>
        </w:rPr>
        <w:tab/>
        <w:t>Representative images of day 2 and day 6 embryoid bodies patterned to the dorsal and ventral lineage from ERBB4 KO hiPSCs. Scale: 50 μm</w:t>
      </w:r>
    </w:p>
    <w:p w14:paraId="295E44F2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  <w:r>
        <w:rPr>
          <w:sz w:val="20"/>
          <w:szCs w:val="20"/>
          <w:highlight w:val="white"/>
        </w:rPr>
        <w:t>k)</w:t>
      </w:r>
      <w:r>
        <w:rPr>
          <w:sz w:val="20"/>
          <w:szCs w:val="20"/>
          <w:highlight w:val="white"/>
        </w:rPr>
        <w:tab/>
        <w:t>Immunofluorescence images of WT and ERBB4 KO ventral forebrain organoid sections stained for GAD67 marker. DAPI stains the nucleus, Scale: 200 μm.</w:t>
      </w:r>
    </w:p>
    <w:p w14:paraId="2087B37C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</w:p>
    <w:p w14:paraId="10FD5F09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  <w:r>
        <w:rPr>
          <w:sz w:val="20"/>
          <w:szCs w:val="20"/>
          <w:highlight w:val="white"/>
        </w:rPr>
        <w:t xml:space="preserve"> </w:t>
      </w:r>
    </w:p>
    <w:p w14:paraId="63339E94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</w:p>
    <w:p w14:paraId="4E578A74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</w:p>
    <w:p w14:paraId="0F675331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</w:p>
    <w:p w14:paraId="09EF4A7B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</w:p>
    <w:p w14:paraId="3C0915B1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</w:p>
    <w:p w14:paraId="43920C4E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</w:p>
    <w:p w14:paraId="54EEE07B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</w:p>
    <w:p w14:paraId="6B26A7D9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  <w:r>
        <w:rPr>
          <w:noProof/>
        </w:rPr>
        <w:drawing>
          <wp:inline distT="0" distB="0" distL="0" distR="0" wp14:anchorId="54303D23" wp14:editId="59A647EC">
            <wp:extent cx="5943600" cy="7706360"/>
            <wp:effectExtent l="0" t="0" r="0" b="8890"/>
            <wp:docPr id="193412068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706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020F84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</w:p>
    <w:p w14:paraId="7B1A1324" w14:textId="77777777" w:rsidR="00BB1CBF" w:rsidRDefault="00BB1CBF" w:rsidP="00BB1CBF">
      <w:pPr>
        <w:spacing w:before="240" w:after="240"/>
        <w:jc w:val="both"/>
        <w:rPr>
          <w:b/>
          <w:sz w:val="20"/>
          <w:szCs w:val="20"/>
          <w:highlight w:val="white"/>
        </w:rPr>
      </w:pPr>
      <w:r>
        <w:rPr>
          <w:b/>
          <w:sz w:val="20"/>
          <w:szCs w:val="20"/>
          <w:highlight w:val="white"/>
        </w:rPr>
        <w:t>Figure S3.</w:t>
      </w:r>
    </w:p>
    <w:p w14:paraId="325D4444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  <w:r>
        <w:rPr>
          <w:sz w:val="20"/>
          <w:szCs w:val="20"/>
          <w:highlight w:val="white"/>
        </w:rPr>
        <w:t>a)</w:t>
      </w:r>
      <w:r>
        <w:rPr>
          <w:sz w:val="20"/>
          <w:szCs w:val="20"/>
          <w:highlight w:val="white"/>
        </w:rPr>
        <w:tab/>
        <w:t>Schematic showing approaches of visualization of GABAergic interneuron migration in 3D cultures of forebrain assembloids.</w:t>
      </w:r>
    </w:p>
    <w:p w14:paraId="3F10A5AB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  <w:r>
        <w:rPr>
          <w:sz w:val="20"/>
          <w:szCs w:val="20"/>
          <w:highlight w:val="white"/>
        </w:rPr>
        <w:t>b)</w:t>
      </w:r>
      <w:r>
        <w:rPr>
          <w:sz w:val="20"/>
          <w:szCs w:val="20"/>
          <w:highlight w:val="white"/>
        </w:rPr>
        <w:tab/>
        <w:t>Time lapse sequence of fluorescent images from long term imaging of organotypic slice culture of assembloid.</w:t>
      </w:r>
    </w:p>
    <w:p w14:paraId="7CB0571A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  <w:r>
        <w:rPr>
          <w:sz w:val="20"/>
          <w:szCs w:val="20"/>
          <w:highlight w:val="white"/>
        </w:rPr>
        <w:t>c)</w:t>
      </w:r>
      <w:r>
        <w:rPr>
          <w:sz w:val="20"/>
          <w:szCs w:val="20"/>
          <w:highlight w:val="white"/>
        </w:rPr>
        <w:tab/>
      </w:r>
      <w:r w:rsidRPr="00741945">
        <w:rPr>
          <w:sz w:val="20"/>
          <w:szCs w:val="20"/>
          <w:highlight w:val="white"/>
          <w:lang w:val="en-US"/>
        </w:rPr>
        <w:t>SPIM imaging of 3D spheroids</w:t>
      </w:r>
      <w:r>
        <w:rPr>
          <w:sz w:val="20"/>
          <w:szCs w:val="20"/>
          <w:highlight w:val="white"/>
          <w:lang w:val="en-US"/>
        </w:rPr>
        <w:t xml:space="preserve"> with 18% Iodixanol supplementation in media. E</w:t>
      </w:r>
      <w:r w:rsidRPr="00741945">
        <w:rPr>
          <w:sz w:val="20"/>
          <w:szCs w:val="20"/>
          <w:highlight w:val="white"/>
          <w:lang w:val="en-US"/>
        </w:rPr>
        <w:t xml:space="preserve">ndogenous eGFP signal in green, Hoechst stains nucleus in blue and Cell Mask Deep Red Plasma Membrane stain in red. Detection objective: Nikon 16x 0.8 NA, illumination objective:10x, 0.3 NA. 3D rendering software: Imaris, Scale: </w:t>
      </w:r>
      <w:r>
        <w:rPr>
          <w:sz w:val="20"/>
          <w:szCs w:val="20"/>
          <w:highlight w:val="white"/>
          <w:lang w:val="en-US"/>
        </w:rPr>
        <w:t>2</w:t>
      </w:r>
      <w:r w:rsidRPr="00741945">
        <w:rPr>
          <w:sz w:val="20"/>
          <w:szCs w:val="20"/>
          <w:highlight w:val="white"/>
          <w:lang w:val="en-US"/>
        </w:rPr>
        <w:t xml:space="preserve">00 μm. </w:t>
      </w:r>
    </w:p>
    <w:p w14:paraId="140A7350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  <w:r>
        <w:rPr>
          <w:sz w:val="20"/>
          <w:szCs w:val="20"/>
          <w:highlight w:val="white"/>
        </w:rPr>
        <w:t>d)</w:t>
      </w:r>
      <w:r>
        <w:rPr>
          <w:sz w:val="20"/>
          <w:szCs w:val="20"/>
          <w:highlight w:val="white"/>
        </w:rPr>
        <w:tab/>
        <w:t xml:space="preserve">Schematic for the migration assay of mClover positive interneurons from ventral forebrain organoids adhered on PLO-Laminin coated cultureware. </w:t>
      </w:r>
    </w:p>
    <w:p w14:paraId="6FF68912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  <w:r>
        <w:rPr>
          <w:sz w:val="20"/>
          <w:szCs w:val="20"/>
          <w:highlight w:val="white"/>
        </w:rPr>
        <w:t>e)</w:t>
      </w:r>
      <w:r>
        <w:rPr>
          <w:sz w:val="20"/>
          <w:szCs w:val="20"/>
          <w:highlight w:val="white"/>
        </w:rPr>
        <w:tab/>
        <w:t xml:space="preserve">Mean diameters (μm) of the VFOs used for quantification of migration length outside rim (10 VFOs each for WT and </w:t>
      </w:r>
      <w:r w:rsidRPr="00741945">
        <w:rPr>
          <w:i/>
          <w:sz w:val="20"/>
          <w:szCs w:val="20"/>
          <w:highlight w:val="white"/>
        </w:rPr>
        <w:t>ERBB4</w:t>
      </w:r>
      <w:r w:rsidRPr="00741945">
        <w:rPr>
          <w:b/>
          <w:i/>
          <w:sz w:val="20"/>
          <w:szCs w:val="20"/>
          <w:highlight w:val="white"/>
          <w:vertAlign w:val="superscript"/>
        </w:rPr>
        <w:t>-/-</w:t>
      </w:r>
      <w:r>
        <w:rPr>
          <w:sz w:val="20"/>
          <w:szCs w:val="20"/>
          <w:highlight w:val="white"/>
        </w:rPr>
        <w:t xml:space="preserve">). </w:t>
      </w:r>
    </w:p>
    <w:p w14:paraId="5FF55C8A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  <w:r>
        <w:rPr>
          <w:sz w:val="20"/>
          <w:szCs w:val="20"/>
          <w:highlight w:val="white"/>
        </w:rPr>
        <w:t>f)</w:t>
      </w:r>
      <w:r>
        <w:rPr>
          <w:sz w:val="20"/>
          <w:szCs w:val="20"/>
          <w:highlight w:val="white"/>
        </w:rPr>
        <w:tab/>
        <w:t>mClover+ cortical i</w:t>
      </w:r>
      <w:r w:rsidRPr="00741945">
        <w:rPr>
          <w:sz w:val="20"/>
          <w:szCs w:val="20"/>
          <w:highlight w:val="white"/>
          <w:lang w:val="en-US"/>
        </w:rPr>
        <w:t xml:space="preserve">nterneurons migrating from </w:t>
      </w:r>
      <w:r w:rsidRPr="00741945">
        <w:rPr>
          <w:i/>
          <w:sz w:val="20"/>
          <w:szCs w:val="20"/>
          <w:highlight w:val="white"/>
        </w:rPr>
        <w:t>ERBB4</w:t>
      </w:r>
      <w:r w:rsidRPr="00741945">
        <w:rPr>
          <w:b/>
          <w:i/>
          <w:sz w:val="20"/>
          <w:szCs w:val="20"/>
          <w:highlight w:val="white"/>
          <w:vertAlign w:val="superscript"/>
        </w:rPr>
        <w:t>-/-</w:t>
      </w:r>
      <w:r>
        <w:rPr>
          <w:b/>
          <w:i/>
          <w:sz w:val="20"/>
          <w:szCs w:val="20"/>
          <w:highlight w:val="white"/>
          <w:vertAlign w:val="superscript"/>
        </w:rPr>
        <w:t xml:space="preserve">  </w:t>
      </w:r>
      <w:r w:rsidRPr="00741945">
        <w:rPr>
          <w:sz w:val="20"/>
          <w:szCs w:val="20"/>
          <w:highlight w:val="white"/>
          <w:lang w:val="en-US"/>
        </w:rPr>
        <w:t>VFO plated on coverslip. Scale bar: 50 μm.</w:t>
      </w:r>
    </w:p>
    <w:p w14:paraId="62EC14A4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  <w:r>
        <w:rPr>
          <w:sz w:val="20"/>
          <w:szCs w:val="20"/>
          <w:highlight w:val="white"/>
        </w:rPr>
        <w:t>g)</w:t>
      </w:r>
      <w:r>
        <w:rPr>
          <w:sz w:val="20"/>
          <w:szCs w:val="20"/>
          <w:highlight w:val="white"/>
        </w:rPr>
        <w:tab/>
        <w:t>Phase contrast image of a WT VFO plated on coverslip to observe migration dynamics in a field of view (yellow rectangle) over time. Scale: 100 μm. On right representative phase contrast images at two time frames (hr:min) showing the extent of overall interneuron  migration in from 0 to 26 hours, Scale: 100 μm.</w:t>
      </w:r>
    </w:p>
    <w:p w14:paraId="15E0B0BF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  <w:r>
        <w:rPr>
          <w:sz w:val="20"/>
          <w:szCs w:val="20"/>
          <w:highlight w:val="white"/>
        </w:rPr>
        <w:t>h)</w:t>
      </w:r>
      <w:r>
        <w:rPr>
          <w:sz w:val="20"/>
          <w:szCs w:val="20"/>
          <w:highlight w:val="white"/>
        </w:rPr>
        <w:tab/>
      </w:r>
      <w:r w:rsidRPr="00D140D2">
        <w:rPr>
          <w:sz w:val="20"/>
          <w:szCs w:val="20"/>
          <w:highlight w:val="white"/>
          <w:lang w:val="en-US"/>
        </w:rPr>
        <w:t xml:space="preserve">Scanning electron microscopy (SEM) images of </w:t>
      </w:r>
      <w:r>
        <w:rPr>
          <w:sz w:val="20"/>
          <w:szCs w:val="20"/>
          <w:highlight w:val="white"/>
        </w:rPr>
        <w:t>500nm diameter nano-fibers</w:t>
      </w:r>
      <w:r w:rsidRPr="00D140D2">
        <w:rPr>
          <w:sz w:val="20"/>
          <w:szCs w:val="20"/>
          <w:highlight w:val="white"/>
          <w:lang w:val="en-US"/>
        </w:rPr>
        <w:t xml:space="preserve"> manufactured using non-electrospinning STEP technique</w:t>
      </w:r>
      <w:r>
        <w:rPr>
          <w:sz w:val="20"/>
          <w:szCs w:val="20"/>
          <w:highlight w:val="white"/>
        </w:rPr>
        <w:t>.</w:t>
      </w:r>
    </w:p>
    <w:p w14:paraId="67E948B4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  <w:r>
        <w:rPr>
          <w:sz w:val="20"/>
          <w:szCs w:val="20"/>
          <w:highlight w:val="white"/>
        </w:rPr>
        <w:t>i)</w:t>
      </w:r>
      <w:r>
        <w:rPr>
          <w:sz w:val="20"/>
          <w:szCs w:val="20"/>
          <w:highlight w:val="white"/>
        </w:rPr>
        <w:tab/>
      </w:r>
      <w:r w:rsidRPr="00D140D2">
        <w:rPr>
          <w:sz w:val="20"/>
          <w:szCs w:val="20"/>
          <w:highlight w:val="white"/>
          <w:lang w:val="en-US"/>
        </w:rPr>
        <w:t>Scanning electron microscopy (SEM) images of the fiber networks</w:t>
      </w:r>
      <w:r>
        <w:rPr>
          <w:sz w:val="20"/>
          <w:szCs w:val="20"/>
          <w:highlight w:val="white"/>
          <w:lang w:val="en-US"/>
        </w:rPr>
        <w:t>:</w:t>
      </w:r>
      <w:r w:rsidRPr="00D140D2">
        <w:rPr>
          <w:sz w:val="20"/>
          <w:szCs w:val="20"/>
          <w:highlight w:val="white"/>
        </w:rPr>
        <w:t xml:space="preserve"> </w:t>
      </w:r>
      <w:r>
        <w:rPr>
          <w:sz w:val="20"/>
          <w:szCs w:val="20"/>
          <w:highlight w:val="white"/>
        </w:rPr>
        <w:t>Crosshatch fiber scaffold (left</w:t>
      </w:r>
      <w:r>
        <w:rPr>
          <w:sz w:val="20"/>
          <w:szCs w:val="20"/>
          <w:highlight w:val="white"/>
          <w:lang w:val="en-US"/>
        </w:rPr>
        <w:t xml:space="preserve">, </w:t>
      </w:r>
      <w:r w:rsidRPr="00D140D2">
        <w:rPr>
          <w:sz w:val="20"/>
          <w:szCs w:val="20"/>
          <w:highlight w:val="white"/>
          <w:lang w:val="en-US"/>
        </w:rPr>
        <w:t>Scale bar</w:t>
      </w:r>
      <w:r>
        <w:rPr>
          <w:sz w:val="20"/>
          <w:szCs w:val="20"/>
          <w:highlight w:val="white"/>
          <w:lang w:val="en-US"/>
        </w:rPr>
        <w:t>: 100</w:t>
      </w:r>
      <w:r w:rsidRPr="00D140D2">
        <w:rPr>
          <w:sz w:val="20"/>
          <w:szCs w:val="20"/>
          <w:highlight w:val="white"/>
          <w:lang w:val="en-US"/>
        </w:rPr>
        <w:t xml:space="preserve"> μm</w:t>
      </w:r>
      <w:r>
        <w:rPr>
          <w:sz w:val="20"/>
          <w:szCs w:val="20"/>
          <w:highlight w:val="white"/>
        </w:rPr>
        <w:t xml:space="preserve">), Aligned fiber scaffolds (right, </w:t>
      </w:r>
      <w:r w:rsidRPr="00D140D2">
        <w:rPr>
          <w:sz w:val="20"/>
          <w:szCs w:val="20"/>
          <w:highlight w:val="white"/>
          <w:lang w:val="en-US"/>
        </w:rPr>
        <w:t>Scale bar</w:t>
      </w:r>
      <w:r>
        <w:rPr>
          <w:sz w:val="20"/>
          <w:szCs w:val="20"/>
          <w:highlight w:val="white"/>
          <w:lang w:val="en-US"/>
        </w:rPr>
        <w:t>: 50</w:t>
      </w:r>
      <w:r w:rsidRPr="00D140D2">
        <w:rPr>
          <w:sz w:val="20"/>
          <w:szCs w:val="20"/>
          <w:highlight w:val="white"/>
          <w:lang w:val="en-US"/>
        </w:rPr>
        <w:t xml:space="preserve"> μm</w:t>
      </w:r>
      <w:r>
        <w:rPr>
          <w:sz w:val="20"/>
          <w:szCs w:val="20"/>
          <w:highlight w:val="white"/>
          <w:lang w:val="en-US"/>
        </w:rPr>
        <w:t>)</w:t>
      </w:r>
    </w:p>
    <w:p w14:paraId="7B971FDE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  <w:r>
        <w:rPr>
          <w:sz w:val="20"/>
          <w:szCs w:val="20"/>
          <w:highlight w:val="white"/>
        </w:rPr>
        <w:t>j)</w:t>
      </w:r>
      <w:r>
        <w:rPr>
          <w:sz w:val="20"/>
          <w:szCs w:val="20"/>
          <w:highlight w:val="white"/>
        </w:rPr>
        <w:tab/>
        <w:t xml:space="preserve">Immunofluorescence micrographs of WT VFOs on crosshatch scaffold (upper panel) and migration scaffold (lower panel) immunostained for GAD67 (red) and mClover/GFP (green), Scale: 50 μm </w:t>
      </w:r>
    </w:p>
    <w:p w14:paraId="6FAE78DD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  <w:r>
        <w:rPr>
          <w:sz w:val="20"/>
          <w:szCs w:val="20"/>
          <w:highlight w:val="white"/>
        </w:rPr>
        <w:t>k)</w:t>
      </w:r>
      <w:r>
        <w:rPr>
          <w:sz w:val="20"/>
          <w:szCs w:val="20"/>
          <w:highlight w:val="white"/>
        </w:rPr>
        <w:tab/>
        <w:t xml:space="preserve">Immunofluorescence micrographs of </w:t>
      </w:r>
      <w:r w:rsidRPr="00741945">
        <w:rPr>
          <w:i/>
          <w:sz w:val="20"/>
          <w:szCs w:val="20"/>
          <w:highlight w:val="white"/>
        </w:rPr>
        <w:t>ERBB4</w:t>
      </w:r>
      <w:r w:rsidRPr="00741945">
        <w:rPr>
          <w:b/>
          <w:i/>
          <w:sz w:val="20"/>
          <w:szCs w:val="20"/>
          <w:highlight w:val="white"/>
          <w:vertAlign w:val="superscript"/>
        </w:rPr>
        <w:t>-/-</w:t>
      </w:r>
      <w:r>
        <w:rPr>
          <w:b/>
          <w:i/>
          <w:sz w:val="20"/>
          <w:szCs w:val="20"/>
          <w:highlight w:val="white"/>
          <w:vertAlign w:val="superscript"/>
        </w:rPr>
        <w:t xml:space="preserve"> </w:t>
      </w:r>
      <w:r>
        <w:rPr>
          <w:sz w:val="20"/>
          <w:szCs w:val="20"/>
          <w:highlight w:val="white"/>
        </w:rPr>
        <w:t xml:space="preserve"> VFOs on scaffold immunostained for GAD67 (red) and mClover/GFP (green), upper panel at 10x magnification and lower panel of the same sample at 20x magnification showing visible neuron projections within the confinement of organoid boundary. Scale: 50 μm.</w:t>
      </w:r>
    </w:p>
    <w:p w14:paraId="135FA1CF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  <w:r>
        <w:rPr>
          <w:sz w:val="20"/>
          <w:szCs w:val="20"/>
          <w:highlight w:val="white"/>
        </w:rPr>
        <w:t>l)</w:t>
      </w:r>
      <w:r>
        <w:rPr>
          <w:sz w:val="20"/>
          <w:szCs w:val="20"/>
          <w:highlight w:val="white"/>
        </w:rPr>
        <w:tab/>
        <w:t xml:space="preserve">Individual neuron (yellow arrowhead) moving out of the </w:t>
      </w:r>
      <w:r w:rsidRPr="00741945">
        <w:rPr>
          <w:i/>
          <w:sz w:val="20"/>
          <w:szCs w:val="20"/>
          <w:highlight w:val="white"/>
        </w:rPr>
        <w:t>ERBB4</w:t>
      </w:r>
      <w:r w:rsidRPr="00741945">
        <w:rPr>
          <w:b/>
          <w:i/>
          <w:sz w:val="20"/>
          <w:szCs w:val="20"/>
          <w:highlight w:val="white"/>
          <w:vertAlign w:val="superscript"/>
        </w:rPr>
        <w:t>-/-</w:t>
      </w:r>
      <w:r>
        <w:rPr>
          <w:b/>
          <w:i/>
          <w:sz w:val="20"/>
          <w:szCs w:val="20"/>
          <w:highlight w:val="white"/>
          <w:vertAlign w:val="superscript"/>
        </w:rPr>
        <w:t xml:space="preserve"> </w:t>
      </w:r>
      <w:r>
        <w:rPr>
          <w:sz w:val="20"/>
          <w:szCs w:val="20"/>
          <w:highlight w:val="white"/>
        </w:rPr>
        <w:t xml:space="preserve">VFO along a fiber on the same scaffold through time. </w:t>
      </w:r>
    </w:p>
    <w:p w14:paraId="56CF4EDA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  <w:r>
        <w:rPr>
          <w:sz w:val="20"/>
          <w:szCs w:val="20"/>
          <w:highlight w:val="white"/>
        </w:rPr>
        <w:t>m)</w:t>
      </w:r>
      <w:r>
        <w:rPr>
          <w:sz w:val="20"/>
          <w:szCs w:val="20"/>
          <w:highlight w:val="white"/>
        </w:rPr>
        <w:tab/>
        <w:t xml:space="preserve">Representative phase images from time frames (hr:min) of a single interneuron migrating on 500nm thick fibers displaying switch to neighboring fiber. Scale: 50 μm </w:t>
      </w:r>
    </w:p>
    <w:p w14:paraId="6A10D410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  <w:r>
        <w:rPr>
          <w:sz w:val="20"/>
          <w:szCs w:val="20"/>
          <w:highlight w:val="white"/>
        </w:rPr>
        <w:t>n)</w:t>
      </w:r>
      <w:r>
        <w:rPr>
          <w:sz w:val="20"/>
          <w:szCs w:val="20"/>
          <w:highlight w:val="white"/>
        </w:rPr>
        <w:tab/>
        <w:t>Time frame micrographs show a single WT CIN coiling around a parallel fiber and making a helical forward motion.</w:t>
      </w:r>
    </w:p>
    <w:p w14:paraId="22A465F9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  <w:r>
        <w:rPr>
          <w:sz w:val="20"/>
          <w:szCs w:val="20"/>
          <w:highlight w:val="white"/>
        </w:rPr>
        <w:lastRenderedPageBreak/>
        <w:t>o)</w:t>
      </w:r>
      <w:r>
        <w:rPr>
          <w:sz w:val="20"/>
          <w:szCs w:val="20"/>
          <w:highlight w:val="white"/>
        </w:rPr>
        <w:tab/>
      </w:r>
      <w:r w:rsidRPr="00741945">
        <w:rPr>
          <w:i/>
          <w:sz w:val="20"/>
          <w:szCs w:val="20"/>
          <w:highlight w:val="white"/>
        </w:rPr>
        <w:t>ERBB4</w:t>
      </w:r>
      <w:r w:rsidRPr="00741945">
        <w:rPr>
          <w:b/>
          <w:i/>
          <w:sz w:val="20"/>
          <w:szCs w:val="20"/>
          <w:highlight w:val="white"/>
          <w:vertAlign w:val="superscript"/>
        </w:rPr>
        <w:t>-/-</w:t>
      </w:r>
      <w:r>
        <w:rPr>
          <w:b/>
          <w:i/>
          <w:sz w:val="20"/>
          <w:szCs w:val="20"/>
          <w:highlight w:val="white"/>
          <w:vertAlign w:val="superscript"/>
        </w:rPr>
        <w:t xml:space="preserve"> </w:t>
      </w:r>
      <w:r>
        <w:rPr>
          <w:sz w:val="20"/>
          <w:szCs w:val="20"/>
          <w:highlight w:val="white"/>
        </w:rPr>
        <w:t>cortical interneuron shows helical motion on parallel fiber across time frames.</w:t>
      </w:r>
    </w:p>
    <w:p w14:paraId="17E8B41D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</w:p>
    <w:p w14:paraId="555267EB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</w:p>
    <w:p w14:paraId="556982BA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  <w:r>
        <w:rPr>
          <w:noProof/>
          <w:sz w:val="20"/>
          <w:szCs w:val="20"/>
          <w:highlight w:val="white"/>
        </w:rPr>
        <w:drawing>
          <wp:inline distT="114300" distB="114300" distL="114300" distR="114300" wp14:anchorId="5B220B44" wp14:editId="44170413">
            <wp:extent cx="5943600" cy="6616700"/>
            <wp:effectExtent l="0" t="0" r="0" b="0"/>
            <wp:docPr id="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616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19777FE" w14:textId="77777777" w:rsidR="00BB1CBF" w:rsidRDefault="00BB1CBF" w:rsidP="00BB1CBF">
      <w:pPr>
        <w:spacing w:before="240" w:after="240"/>
        <w:jc w:val="both"/>
        <w:rPr>
          <w:b/>
          <w:sz w:val="20"/>
          <w:szCs w:val="20"/>
          <w:highlight w:val="white"/>
        </w:rPr>
      </w:pPr>
    </w:p>
    <w:p w14:paraId="16FC9C3F" w14:textId="77777777" w:rsidR="00BB1CBF" w:rsidRDefault="00BB1CBF" w:rsidP="00BB1CBF">
      <w:pPr>
        <w:spacing w:before="240" w:after="240"/>
        <w:jc w:val="both"/>
        <w:rPr>
          <w:b/>
          <w:sz w:val="20"/>
          <w:szCs w:val="20"/>
          <w:highlight w:val="white"/>
        </w:rPr>
      </w:pPr>
    </w:p>
    <w:p w14:paraId="4BC90A0A" w14:textId="1AE32484" w:rsidR="00BB1CBF" w:rsidRDefault="00BB1CBF" w:rsidP="00BB1CBF">
      <w:pPr>
        <w:spacing w:before="240" w:after="240"/>
        <w:jc w:val="both"/>
        <w:rPr>
          <w:b/>
          <w:sz w:val="20"/>
          <w:szCs w:val="20"/>
          <w:highlight w:val="white"/>
        </w:rPr>
      </w:pPr>
      <w:r>
        <w:rPr>
          <w:b/>
          <w:sz w:val="20"/>
          <w:szCs w:val="20"/>
          <w:highlight w:val="white"/>
        </w:rPr>
        <w:lastRenderedPageBreak/>
        <w:t>Figure S4.</w:t>
      </w:r>
    </w:p>
    <w:p w14:paraId="7A92EDC2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  <w:r>
        <w:rPr>
          <w:sz w:val="20"/>
          <w:szCs w:val="20"/>
          <w:highlight w:val="white"/>
        </w:rPr>
        <w:t>a)</w:t>
      </w:r>
      <w:r>
        <w:rPr>
          <w:sz w:val="20"/>
          <w:szCs w:val="20"/>
          <w:highlight w:val="white"/>
        </w:rPr>
        <w:tab/>
        <w:t xml:space="preserve">PCA showing distinct separation of samples from WT and </w:t>
      </w:r>
      <w:r w:rsidRPr="00741945">
        <w:rPr>
          <w:i/>
          <w:sz w:val="20"/>
          <w:szCs w:val="20"/>
          <w:highlight w:val="white"/>
        </w:rPr>
        <w:t>ERBB4</w:t>
      </w:r>
      <w:r w:rsidRPr="00741945">
        <w:rPr>
          <w:b/>
          <w:i/>
          <w:sz w:val="20"/>
          <w:szCs w:val="20"/>
          <w:highlight w:val="white"/>
          <w:vertAlign w:val="superscript"/>
        </w:rPr>
        <w:t>-/-</w:t>
      </w:r>
      <w:r>
        <w:rPr>
          <w:b/>
          <w:i/>
          <w:sz w:val="20"/>
          <w:szCs w:val="20"/>
          <w:highlight w:val="white"/>
          <w:vertAlign w:val="superscript"/>
        </w:rPr>
        <w:t xml:space="preserve"> </w:t>
      </w:r>
      <w:r>
        <w:rPr>
          <w:sz w:val="20"/>
          <w:szCs w:val="20"/>
          <w:highlight w:val="white"/>
        </w:rPr>
        <w:t>indicated by different color on plot.</w:t>
      </w:r>
    </w:p>
    <w:p w14:paraId="71B81A4B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  <w:r>
        <w:rPr>
          <w:sz w:val="20"/>
          <w:szCs w:val="20"/>
          <w:highlight w:val="white"/>
        </w:rPr>
        <w:t>b)</w:t>
      </w:r>
      <w:r>
        <w:rPr>
          <w:sz w:val="20"/>
          <w:szCs w:val="20"/>
          <w:highlight w:val="white"/>
        </w:rPr>
        <w:tab/>
        <w:t>Schematic showing PI3K/AKT pathway stimulation by ERBB4 mediated signaling upstream of the mTOR pathway and RHOA/RAC pathway important for regulation of cytoskeletal dynamics and migration.</w:t>
      </w:r>
    </w:p>
    <w:p w14:paraId="3ED5A1F6" w14:textId="77777777" w:rsidR="00BB1CBF" w:rsidRPr="00D140D2" w:rsidRDefault="00BB1CBF" w:rsidP="00BB1CBF">
      <w:pPr>
        <w:rPr>
          <w:sz w:val="20"/>
          <w:szCs w:val="20"/>
          <w:highlight w:val="white"/>
        </w:rPr>
      </w:pPr>
      <w:r w:rsidRPr="00D140D2">
        <w:rPr>
          <w:sz w:val="20"/>
          <w:szCs w:val="20"/>
          <w:highlight w:val="white"/>
        </w:rPr>
        <w:t>c)</w:t>
      </w:r>
      <w:r w:rsidRPr="00D140D2">
        <w:rPr>
          <w:sz w:val="20"/>
          <w:szCs w:val="20"/>
          <w:highlight w:val="white"/>
        </w:rPr>
        <w:tab/>
        <w:t xml:space="preserve">Validation of RNA-seq data by qRT-PCR in WT and ERBB4 KO assembloids. qRT-PCR was performed on a few selected genes from: PI3K/AKT and mTOR pathway (PIK3R1, RHEB, PTEN, TSC2, TSC1, AKT1S1) and RHO/RAC pathway (RHOA, RAC1, CDC42, ROCK, ACTR6, ARHGAP5). Data represents mean ± S.D. from five samples per group of three independent experiments. Significance is indicated by * for p-value ≤ 0.05 and ** for p-value ≤ 0.01 and *** for p-value ≤ 0.001. </w:t>
      </w:r>
    </w:p>
    <w:p w14:paraId="24B337CE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  <w:r>
        <w:rPr>
          <w:sz w:val="20"/>
          <w:szCs w:val="20"/>
          <w:highlight w:val="white"/>
        </w:rPr>
        <w:t>d)</w:t>
      </w:r>
      <w:r>
        <w:rPr>
          <w:sz w:val="20"/>
          <w:szCs w:val="20"/>
          <w:highlight w:val="white"/>
        </w:rPr>
        <w:tab/>
        <w:t xml:space="preserve">Functional interactions among proteins from genes shortlisted from the downregulated term: neuron migration (GO:0001764) in the GO analysis data, explored using STRING online database.  </w:t>
      </w:r>
    </w:p>
    <w:p w14:paraId="0A70A0B9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  <w:r>
        <w:rPr>
          <w:sz w:val="20"/>
          <w:szCs w:val="20"/>
          <w:highlight w:val="white"/>
        </w:rPr>
        <w:t>e)</w:t>
      </w:r>
      <w:r>
        <w:rPr>
          <w:sz w:val="20"/>
          <w:szCs w:val="20"/>
          <w:highlight w:val="white"/>
        </w:rPr>
        <w:tab/>
        <w:t xml:space="preserve">PCA showing distinct separation of samples from WT and </w:t>
      </w:r>
      <w:r w:rsidRPr="00741945">
        <w:rPr>
          <w:i/>
          <w:sz w:val="20"/>
          <w:szCs w:val="20"/>
          <w:highlight w:val="white"/>
        </w:rPr>
        <w:t>ERBB4</w:t>
      </w:r>
      <w:r w:rsidRPr="00741945">
        <w:rPr>
          <w:b/>
          <w:i/>
          <w:sz w:val="20"/>
          <w:szCs w:val="20"/>
          <w:highlight w:val="white"/>
          <w:vertAlign w:val="superscript"/>
        </w:rPr>
        <w:t>-/-</w:t>
      </w:r>
      <w:r>
        <w:rPr>
          <w:b/>
          <w:i/>
          <w:sz w:val="20"/>
          <w:szCs w:val="20"/>
          <w:highlight w:val="white"/>
          <w:vertAlign w:val="superscript"/>
        </w:rPr>
        <w:t xml:space="preserve">  </w:t>
      </w:r>
      <w:r>
        <w:rPr>
          <w:sz w:val="20"/>
          <w:szCs w:val="20"/>
          <w:highlight w:val="white"/>
        </w:rPr>
        <w:t>indicated by different color on plot.</w:t>
      </w:r>
    </w:p>
    <w:p w14:paraId="1DD2863E" w14:textId="77777777" w:rsidR="00BB1CBF" w:rsidRDefault="00BB1CBF" w:rsidP="00BB1CBF">
      <w:pPr>
        <w:spacing w:before="240" w:after="240"/>
        <w:jc w:val="both"/>
        <w:rPr>
          <w:sz w:val="20"/>
          <w:szCs w:val="20"/>
          <w:highlight w:val="white"/>
        </w:rPr>
      </w:pPr>
    </w:p>
    <w:p w14:paraId="7C24D3C2" w14:textId="77777777" w:rsidR="00110104" w:rsidRDefault="00110104"/>
    <w:sectPr w:rsidR="001101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CBF"/>
    <w:rsid w:val="00110104"/>
    <w:rsid w:val="0021090F"/>
    <w:rsid w:val="00220E4E"/>
    <w:rsid w:val="003A76DF"/>
    <w:rsid w:val="00BB1CBF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B0F933"/>
  <w15:chartTrackingRefBased/>
  <w15:docId w15:val="{87B1C881-573D-485B-B945-778591FAB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1CBF"/>
    <w:pPr>
      <w:spacing w:after="0" w:line="276" w:lineRule="auto"/>
    </w:pPr>
    <w:rPr>
      <w:rFonts w:ascii="Arial" w:eastAsia="Arial" w:hAnsi="Arial" w:cs="Arial"/>
      <w:kern w:val="0"/>
      <w:lang w:val="en"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1010</Words>
  <Characters>5757</Characters>
  <Application>Microsoft Office Word</Application>
  <DocSecurity>0</DocSecurity>
  <Lines>47</Lines>
  <Paragraphs>13</Paragraphs>
  <ScaleCrop>false</ScaleCrop>
  <Company>Springer Nature</Company>
  <LinksUpToDate>false</LinksUpToDate>
  <CharactersWithSpaces>6754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2024-01-04T06:33:00Z</dcterms:created>
  <dcterms:modified xsi:type="dcterms:W3CDTF">2024-01-04T06:34:00Z</dcterms:modified>
</cp:coreProperties>
</file>