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1A761F" w14:textId="26FEBE3C" w:rsidR="00AB1F00" w:rsidRPr="00F3767B" w:rsidRDefault="00F77DDF" w:rsidP="00AB1F00">
      <w:pPr>
        <w:spacing w:before="240" w:after="240" w:line="480" w:lineRule="auto"/>
        <w:rPr>
          <w:b/>
        </w:rPr>
      </w:pPr>
      <w:r w:rsidRPr="00F3767B">
        <w:rPr>
          <w:b/>
        </w:rPr>
        <w:t xml:space="preserve">Supplementary </w:t>
      </w:r>
      <w:r w:rsidR="00AB1F00" w:rsidRPr="00F3767B">
        <w:rPr>
          <w:b/>
        </w:rPr>
        <w:t>Information</w:t>
      </w:r>
    </w:p>
    <w:p w14:paraId="17326C50" w14:textId="628E8FC8" w:rsidR="00AB1F00" w:rsidRPr="00F3767B" w:rsidRDefault="009A4556" w:rsidP="00A3755B">
      <w:pPr>
        <w:pStyle w:val="ListParagraph"/>
        <w:spacing w:before="240" w:after="240" w:line="360" w:lineRule="auto"/>
        <w:ind w:left="0"/>
        <w:rPr>
          <w:b/>
        </w:rPr>
      </w:pPr>
      <w:r w:rsidRPr="00F3767B">
        <w:rPr>
          <w:b/>
        </w:rPr>
        <w:t xml:space="preserve">1. </w:t>
      </w:r>
      <w:r w:rsidR="00AB1F00" w:rsidRPr="00F3767B">
        <w:rPr>
          <w:b/>
        </w:rPr>
        <w:t>Materials and Methods</w:t>
      </w:r>
    </w:p>
    <w:p w14:paraId="047205DE" w14:textId="39814B63" w:rsidR="00AB1F00" w:rsidRPr="00F3767B" w:rsidRDefault="00AB1F00" w:rsidP="00A3755B">
      <w:pPr>
        <w:spacing w:line="360" w:lineRule="auto"/>
        <w:jc w:val="both"/>
      </w:pPr>
      <w:r w:rsidRPr="00F3767B">
        <w:rPr>
          <w:rFonts w:eastAsia="Arial Unicode MS"/>
          <w:b/>
          <w:bCs/>
        </w:rPr>
        <w:t>Materials.</w:t>
      </w:r>
      <w:r w:rsidRPr="00F3767B">
        <w:rPr>
          <w:rFonts w:eastAsia="Arial Unicode MS"/>
        </w:rPr>
        <w:t xml:space="preserve"> Unless otherwise stated, materials were used in the form they were received. Gyroidal and hexagonal supports were structure directed using one of two </w:t>
      </w:r>
      <w:r w:rsidRPr="00F3767B">
        <w:t>poly(isoprene-</w:t>
      </w:r>
      <w:r w:rsidRPr="00F3767B">
        <w:rPr>
          <w:i/>
        </w:rPr>
        <w:t>block</w:t>
      </w:r>
      <w:r w:rsidRPr="00F3767B">
        <w:t>-styrene-</w:t>
      </w:r>
      <w:r w:rsidRPr="00F3767B">
        <w:rPr>
          <w:i/>
        </w:rPr>
        <w:t>block</w:t>
      </w:r>
      <w:r w:rsidRPr="00F3767B">
        <w:t>-ethylene oxide) (PI-</w:t>
      </w:r>
      <w:r w:rsidRPr="00F3767B">
        <w:rPr>
          <w:i/>
          <w:iCs/>
        </w:rPr>
        <w:t>b</w:t>
      </w:r>
      <w:r w:rsidRPr="00F3767B">
        <w:t>-PS-</w:t>
      </w:r>
      <w:r w:rsidRPr="00F3767B">
        <w:rPr>
          <w:i/>
          <w:iCs/>
        </w:rPr>
        <w:t>b</w:t>
      </w:r>
      <w:r w:rsidRPr="00F3767B">
        <w:t xml:space="preserve">-PEO or ISO in short) </w:t>
      </w:r>
      <w:r w:rsidRPr="00F3767B">
        <w:rPr>
          <w:rFonts w:eastAsia="Arial Unicode MS"/>
        </w:rPr>
        <w:t>triblock terpolymers synthesized using approaches detailed elsewhere [19]: ISO-1 (113 kg/mol; 30.</w:t>
      </w:r>
      <w:r w:rsidR="00E01EB5" w:rsidRPr="00F3767B">
        <w:rPr>
          <w:rFonts w:eastAsia="Arial Unicode MS"/>
        </w:rPr>
        <w:t>3</w:t>
      </w:r>
      <w:r w:rsidRPr="00F3767B">
        <w:rPr>
          <w:rFonts w:eastAsia="Arial Unicode MS"/>
        </w:rPr>
        <w:t>/63.1/6.</w:t>
      </w:r>
      <w:r w:rsidR="00E01EB5" w:rsidRPr="00F3767B">
        <w:rPr>
          <w:rFonts w:eastAsia="Arial Unicode MS"/>
        </w:rPr>
        <w:t>6</w:t>
      </w:r>
      <w:r w:rsidRPr="00F3767B">
        <w:rPr>
          <w:rFonts w:eastAsia="Arial Unicode MS"/>
        </w:rPr>
        <w:t xml:space="preserve"> (I/S/O vol%); PDI: 1.06) for synthesizing alternating gyroid supports, or ISO-2 (105 kg/mol; 17.2/36.9/45.9 (I/S/O vol%); PDI: 1.14) for preparing hexagonal cylindrical and double gyroid supports. A </w:t>
      </w:r>
      <w:r w:rsidRPr="00F3767B">
        <w:t>poly(isoprene-</w:t>
      </w:r>
      <w:r w:rsidRPr="00F3767B">
        <w:rPr>
          <w:i/>
          <w:iCs/>
        </w:rPr>
        <w:t>block</w:t>
      </w:r>
      <w:r w:rsidRPr="00F3767B">
        <w:t>-styrene-</w:t>
      </w:r>
      <w:r w:rsidRPr="00F3767B">
        <w:rPr>
          <w:i/>
          <w:iCs/>
        </w:rPr>
        <w:t>block</w:t>
      </w:r>
      <w:r w:rsidRPr="00F3767B">
        <w:rPr>
          <w:i/>
          <w:iCs/>
        </w:rPr>
        <w:softHyphen/>
        <w:t>-</w:t>
      </w:r>
      <w:r w:rsidRPr="00F3767B">
        <w:t>4-vinyl-pyridine) (PI-</w:t>
      </w:r>
      <w:r w:rsidRPr="00F3767B">
        <w:rPr>
          <w:i/>
          <w:iCs/>
        </w:rPr>
        <w:t>b</w:t>
      </w:r>
      <w:r w:rsidRPr="00F3767B">
        <w:t>-PS-</w:t>
      </w:r>
      <w:r w:rsidRPr="00F3767B">
        <w:rPr>
          <w:i/>
          <w:iCs/>
        </w:rPr>
        <w:t>b</w:t>
      </w:r>
      <w:r w:rsidRPr="00F3767B">
        <w:t>-P4VP or ISV in short)</w:t>
      </w:r>
      <w:r w:rsidRPr="00F3767B">
        <w:rPr>
          <w:rFonts w:eastAsia="Arial Unicode MS"/>
        </w:rPr>
        <w:t xml:space="preserve"> triblock terpolymer (ISV-1) (113 kg/mol; 29</w:t>
      </w:r>
      <w:r w:rsidR="00E01EB5" w:rsidRPr="00F3767B">
        <w:rPr>
          <w:rFonts w:eastAsia="Arial Unicode MS"/>
        </w:rPr>
        <w:t>.0</w:t>
      </w:r>
      <w:r w:rsidRPr="00F3767B">
        <w:rPr>
          <w:rFonts w:eastAsia="Arial Unicode MS"/>
        </w:rPr>
        <w:t>/59</w:t>
      </w:r>
      <w:r w:rsidR="00E01EB5" w:rsidRPr="00F3767B">
        <w:rPr>
          <w:rFonts w:eastAsia="Arial Unicode MS"/>
        </w:rPr>
        <w:t>.0</w:t>
      </w:r>
      <w:r w:rsidRPr="00F3767B">
        <w:rPr>
          <w:rFonts w:eastAsia="Arial Unicode MS"/>
        </w:rPr>
        <w:t>/12</w:t>
      </w:r>
      <w:r w:rsidR="00E01EB5" w:rsidRPr="00F3767B">
        <w:rPr>
          <w:rFonts w:eastAsia="Arial Unicode MS"/>
        </w:rPr>
        <w:t>.0</w:t>
      </w:r>
      <w:r w:rsidRPr="00F3767B">
        <w:rPr>
          <w:rFonts w:eastAsia="Arial Unicode MS"/>
        </w:rPr>
        <w:t xml:space="preserve"> (I/S/V vol%); PDI: 1.3) was used for asymmetric SNIPS-based TiO</w:t>
      </w:r>
      <w:r w:rsidRPr="00F3767B">
        <w:rPr>
          <w:rFonts w:eastAsia="Arial Unicode MS"/>
          <w:vertAlign w:val="subscript"/>
        </w:rPr>
        <w:t>2</w:t>
      </w:r>
      <w:r w:rsidRPr="00F3767B">
        <w:rPr>
          <w:rFonts w:eastAsia="Arial Unicode MS"/>
        </w:rPr>
        <w:t xml:space="preserve"> membrane supports, as described elsewhere [20]. Detailed polymer characterization information is listed in </w:t>
      </w:r>
      <w:r w:rsidR="00D55370" w:rsidRPr="00F3767B">
        <w:rPr>
          <w:rFonts w:eastAsia="Arial Unicode MS"/>
        </w:rPr>
        <w:t xml:space="preserve">Supplementary Table </w:t>
      </w:r>
      <w:r w:rsidRPr="00F3767B">
        <w:rPr>
          <w:rFonts w:eastAsia="Arial Unicode MS"/>
        </w:rPr>
        <w:t>1. Tetrahydrofuran (THF, Sigma-Aldrich, anhydrous, ≥99.9%, inhibitor-free) and (for ISV-solutions only) dioxane (DOX, Sigma-Aldrich, anhydrous, ≥99.9%, inhibitor-free) were used as described below to prepare various polymer solutions. The TiO</w:t>
      </w:r>
      <w:r w:rsidRPr="00F3767B">
        <w:rPr>
          <w:rFonts w:eastAsia="Arial Unicode MS"/>
          <w:vertAlign w:val="subscript"/>
        </w:rPr>
        <w:t>2</w:t>
      </w:r>
      <w:r w:rsidRPr="00F3767B">
        <w:rPr>
          <w:rFonts w:eastAsia="Arial Unicode MS"/>
        </w:rPr>
        <w:t xml:space="preserve"> and Ta</w:t>
      </w:r>
      <w:r w:rsidRPr="00F3767B">
        <w:rPr>
          <w:rFonts w:eastAsia="Arial Unicode MS"/>
          <w:vertAlign w:val="subscript"/>
        </w:rPr>
        <w:t>2</w:t>
      </w:r>
      <w:r w:rsidRPr="00F3767B">
        <w:rPr>
          <w:rFonts w:eastAsia="Arial Unicode MS"/>
        </w:rPr>
        <w:t>O</w:t>
      </w:r>
      <w:r w:rsidRPr="00F3767B">
        <w:rPr>
          <w:rFonts w:eastAsia="Arial Unicode MS"/>
          <w:vertAlign w:val="subscript"/>
        </w:rPr>
        <w:t>5</w:t>
      </w:r>
      <w:r w:rsidRPr="00F3767B">
        <w:rPr>
          <w:rFonts w:eastAsia="Arial Unicode MS"/>
        </w:rPr>
        <w:t xml:space="preserve"> sols were synthesized using hydrochloric acid (HCl, VWR, BDH, ACS Grade, 36.5-38%), THF, and either titanium </w:t>
      </w:r>
      <w:proofErr w:type="spellStart"/>
      <w:r w:rsidRPr="00F3767B">
        <w:rPr>
          <w:rFonts w:eastAsia="Arial Unicode MS"/>
        </w:rPr>
        <w:t>isopropoxide</w:t>
      </w:r>
      <w:proofErr w:type="spellEnd"/>
      <w:r w:rsidRPr="00F3767B">
        <w:rPr>
          <w:rFonts w:eastAsia="Arial Unicode MS"/>
        </w:rPr>
        <w:t xml:space="preserve"> (TTIP, Sigma-Aldrich, 99.999% trace metals basis or Alfa </w:t>
      </w:r>
      <w:proofErr w:type="spellStart"/>
      <w:r w:rsidRPr="00F3767B">
        <w:rPr>
          <w:rFonts w:eastAsia="Arial Unicode MS"/>
        </w:rPr>
        <w:t>Aesar</w:t>
      </w:r>
      <w:proofErr w:type="spellEnd"/>
      <w:r w:rsidRPr="00F3767B">
        <w:rPr>
          <w:rFonts w:eastAsia="Arial Unicode MS"/>
        </w:rPr>
        <w:t xml:space="preserve">, 99.995% trace metals basis) or tantalum ethoxide (Sigma-Aldrich 99.98% trace metals basis). Rhodium co-catalysts were </w:t>
      </w:r>
      <w:r w:rsidR="00E01EB5" w:rsidRPr="00F3767B">
        <w:rPr>
          <w:rFonts w:eastAsia="Arial Unicode MS"/>
        </w:rPr>
        <w:t xml:space="preserve">hydrothermally </w:t>
      </w:r>
      <w:r w:rsidRPr="00F3767B">
        <w:rPr>
          <w:rFonts w:eastAsia="Arial Unicode MS"/>
        </w:rPr>
        <w:t xml:space="preserve">deposited on the supports as rhodium chloride hydrate (Sigma-Aldrich 99.98% trace metals basis), before </w:t>
      </w:r>
      <w:r w:rsidRPr="00F3767B">
        <w:rPr>
          <w:rFonts w:eastAsia="Arial Unicode MS"/>
          <w:i/>
          <w:iCs/>
        </w:rPr>
        <w:t>in-situ</w:t>
      </w:r>
      <w:r w:rsidRPr="00F3767B">
        <w:rPr>
          <w:rFonts w:eastAsia="Arial Unicode MS"/>
        </w:rPr>
        <w:t xml:space="preserve"> reduction to rhodium metal during catalytic evaluation. For comparison to SA based nanostructured materials, tantalum oxide (Beantown Chemical, ≥99% trace metals basis) and anatase titanium oxide (Sigma-Aldrich ≥99.8 trace metals basis) powders were used as supports. These non-structured powders were employed as received and underwent identical addition of the rhodium co-catalyst (see below). </w:t>
      </w:r>
    </w:p>
    <w:p w14:paraId="34D6F645" w14:textId="7C90C4C3" w:rsidR="00AB1F00" w:rsidRPr="00F3767B" w:rsidRDefault="00AB1F00" w:rsidP="00A3755B">
      <w:pPr>
        <w:spacing w:before="240" w:after="240" w:line="360" w:lineRule="auto"/>
        <w:jc w:val="both"/>
      </w:pPr>
      <w:r w:rsidRPr="00F3767B">
        <w:rPr>
          <w:b/>
        </w:rPr>
        <w:t>Preparation of photocatalytic oxide sols:</w:t>
      </w:r>
      <w:r w:rsidR="004651A8" w:rsidRPr="00F3767B">
        <w:t xml:space="preserve"> </w:t>
      </w:r>
      <w:r w:rsidRPr="00F3767B">
        <w:t>The TiO</w:t>
      </w:r>
      <w:r w:rsidRPr="00F3767B">
        <w:rPr>
          <w:vertAlign w:val="subscript"/>
        </w:rPr>
        <w:t>2</w:t>
      </w:r>
      <w:r w:rsidRPr="00F3767B">
        <w:t xml:space="preserve"> sol was prepared in a vial via a hydrolytic sol-gel route adapted from a previously reported process [21]. 1.0 mL titanium </w:t>
      </w:r>
      <w:proofErr w:type="spellStart"/>
      <w:r w:rsidRPr="00F3767B">
        <w:t>isopropoxide</w:t>
      </w:r>
      <w:proofErr w:type="spellEnd"/>
      <w:r w:rsidRPr="00F3767B">
        <w:t xml:space="preserve"> (TTIP) was added to 0.3 mL 37% HCl in a septum vial and stirred vigorously for 5 min. After that time, 2 mL of THF was added. Then the mixture was again stirred for 5 min before being added to the casting solution of ISO dissolved in THF, or an ISV solution in THF and DOX, see details below. The Ta</w:t>
      </w:r>
      <w:r w:rsidRPr="00F3767B">
        <w:rPr>
          <w:vertAlign w:val="subscript"/>
        </w:rPr>
        <w:t>2</w:t>
      </w:r>
      <w:r w:rsidRPr="00F3767B">
        <w:t>O</w:t>
      </w:r>
      <w:r w:rsidRPr="00F3767B">
        <w:rPr>
          <w:vertAlign w:val="subscript"/>
        </w:rPr>
        <w:t>5</w:t>
      </w:r>
      <w:r w:rsidRPr="00F3767B">
        <w:t xml:space="preserve"> sol was synthesized similarly, derived from a protocol described earlier [22]. To that end, 0.33 mL of 37% HCl and 0.79 mL of THF were combined in a septum-capped vial. 0.79 mL of tantalum ethoxide was added and stirred vigorously for 5 min. Then, 1 mL THF was rapidly </w:t>
      </w:r>
      <w:r w:rsidRPr="00F3767B">
        <w:lastRenderedPageBreak/>
        <w:t>injected into the sol solution, which was then allowed to stir for another 5 min before being added to ISO casting solutions dissolved in THF, see details below.</w:t>
      </w:r>
    </w:p>
    <w:p w14:paraId="35B28ED5" w14:textId="77777777" w:rsidR="00AB1F00" w:rsidRPr="00F3767B" w:rsidRDefault="00AB1F00" w:rsidP="00A3755B">
      <w:pPr>
        <w:spacing w:before="240" w:after="240" w:line="360" w:lineRule="auto"/>
        <w:jc w:val="both"/>
      </w:pPr>
      <w:r w:rsidRPr="00F3767B">
        <w:rPr>
          <w:b/>
          <w:bCs/>
        </w:rPr>
        <w:t>Gyroidal and Hexagonal Support preparation:</w:t>
      </w:r>
      <w:r w:rsidRPr="00F3767B">
        <w:t xml:space="preserve"> Sol solutions were added to solutions of ISO-1 or ISO-2 dissolved in THF (5 </w:t>
      </w:r>
      <w:proofErr w:type="spellStart"/>
      <w:r w:rsidRPr="00F3767B">
        <w:t>wt</w:t>
      </w:r>
      <w:proofErr w:type="spellEnd"/>
      <w:r w:rsidRPr="00F3767B">
        <w:t>% polymer) in varying fractions to synthesize different mesostructured materials. Volume fractions refer to fractions of isoprene, styrene, and ethylene oxide with TiO</w:t>
      </w:r>
      <w:r w:rsidRPr="00F3767B">
        <w:rPr>
          <w:vertAlign w:val="subscript"/>
        </w:rPr>
        <w:t>2</w:t>
      </w:r>
      <w:r w:rsidRPr="00F3767B">
        <w:t xml:space="preserve"> or Ta</w:t>
      </w:r>
      <w:r w:rsidRPr="00F3767B">
        <w:rPr>
          <w:vertAlign w:val="subscript"/>
        </w:rPr>
        <w:t>2</w:t>
      </w:r>
      <w:r w:rsidRPr="00F3767B">
        <w:t>O</w:t>
      </w:r>
      <w:r w:rsidRPr="00F3767B">
        <w:rPr>
          <w:vertAlign w:val="subscript"/>
        </w:rPr>
        <w:t>5</w:t>
      </w:r>
      <w:r w:rsidRPr="00F3767B">
        <w:rPr>
          <w:vertAlign w:val="superscript"/>
        </w:rPr>
        <w:t xml:space="preserve"> </w:t>
      </w:r>
      <w:r w:rsidRPr="00F3767B">
        <w:t xml:space="preserve">clusters, excluding solvent. O block + oxide (the combined volume of </w:t>
      </w:r>
      <w:proofErr w:type="gramStart"/>
      <w:r w:rsidRPr="00F3767B">
        <w:t>poly(</w:t>
      </w:r>
      <w:proofErr w:type="gramEnd"/>
      <w:r w:rsidRPr="00F3767B">
        <w:t>ethylene oxide) and TiO</w:t>
      </w:r>
      <w:r w:rsidRPr="00F3767B">
        <w:rPr>
          <w:vertAlign w:val="subscript"/>
        </w:rPr>
        <w:t>2</w:t>
      </w:r>
      <w:r w:rsidRPr="00F3767B">
        <w:t xml:space="preserve"> or Ta</w:t>
      </w:r>
      <w:r w:rsidRPr="00F3767B">
        <w:rPr>
          <w:vertAlign w:val="subscript"/>
        </w:rPr>
        <w:t>2</w:t>
      </w:r>
      <w:r w:rsidRPr="00F3767B">
        <w:t>O</w:t>
      </w:r>
      <w:r w:rsidRPr="00F3767B">
        <w:rPr>
          <w:vertAlign w:val="subscript"/>
        </w:rPr>
        <w:t>5</w:t>
      </w:r>
      <w:r w:rsidRPr="00F3767B">
        <w:t xml:space="preserve"> additive) fractions were calculated using the following densities, </w:t>
      </w:r>
      <w:proofErr w:type="spellStart"/>
      <w:r w:rsidRPr="00F3767B">
        <w:t>d</w:t>
      </w:r>
      <w:r w:rsidRPr="00F3767B">
        <w:rPr>
          <w:vertAlign w:val="subscript"/>
        </w:rPr>
        <w:t>TiO</w:t>
      </w:r>
      <w:proofErr w:type="spellEnd"/>
      <w:r w:rsidRPr="00F3767B">
        <w:rPr>
          <w:rFonts w:ascii="Cambria Math" w:hAnsi="Cambria Math" w:cs="Cambria Math"/>
          <w:vertAlign w:val="subscript"/>
        </w:rPr>
        <w:t>₂</w:t>
      </w:r>
      <w:r w:rsidRPr="00F3767B">
        <w:t xml:space="preserve"> = 4.23 g/mL and </w:t>
      </w:r>
      <w:proofErr w:type="spellStart"/>
      <w:r w:rsidRPr="00F3767B">
        <w:t>d</w:t>
      </w:r>
      <w:r w:rsidRPr="00F3767B">
        <w:rPr>
          <w:vertAlign w:val="subscript"/>
        </w:rPr>
        <w:t>Ta</w:t>
      </w:r>
      <w:r w:rsidRPr="00F3767B">
        <w:rPr>
          <w:rFonts w:ascii="Cambria Math" w:hAnsi="Cambria Math" w:cs="Cambria Math"/>
          <w:vertAlign w:val="subscript"/>
        </w:rPr>
        <w:t>₂</w:t>
      </w:r>
      <w:r w:rsidRPr="00F3767B">
        <w:rPr>
          <w:vertAlign w:val="subscript"/>
        </w:rPr>
        <w:t>O</w:t>
      </w:r>
      <w:proofErr w:type="spellEnd"/>
      <w:r w:rsidRPr="00F3767B">
        <w:rPr>
          <w:rFonts w:ascii="Cambria Math" w:hAnsi="Cambria Math" w:cs="Cambria Math"/>
          <w:vertAlign w:val="subscript"/>
        </w:rPr>
        <w:t>₅</w:t>
      </w:r>
      <w:r w:rsidRPr="00F3767B">
        <w:t xml:space="preserve"> = 8.2 g/mL, and assuming complete conversion of oxide precursors to oxides in the sol. Oxide sol was added to ISO-1 to achieve 13-15 vol% O block + oxide for alternating gyroid morphologies. Sol was added to ISO-2 to achieve 50-53 vol% O + oxide for double gyroids, or 53-55 vol% O + oxide for hexagonal cylinder morphologies. For example, to synthesize a Ta</w:t>
      </w:r>
      <w:r w:rsidRPr="00F3767B">
        <w:rPr>
          <w:vertAlign w:val="subscript"/>
        </w:rPr>
        <w:t>2</w:t>
      </w:r>
      <w:r w:rsidRPr="00F3767B">
        <w:t>O</w:t>
      </w:r>
      <w:r w:rsidRPr="00F3767B">
        <w:rPr>
          <w:vertAlign w:val="subscript"/>
        </w:rPr>
        <w:t>5</w:t>
      </w:r>
      <w:r w:rsidRPr="00F3767B">
        <w:t xml:space="preserve"> alternating gyroid, 0.165 mL of Ta</w:t>
      </w:r>
      <w:r w:rsidRPr="00F3767B">
        <w:rPr>
          <w:vertAlign w:val="subscript"/>
        </w:rPr>
        <w:t>2</w:t>
      </w:r>
      <w:r w:rsidRPr="00F3767B">
        <w:t>O</w:t>
      </w:r>
      <w:r w:rsidRPr="00F3767B">
        <w:rPr>
          <w:vertAlign w:val="subscript"/>
        </w:rPr>
        <w:t>5</w:t>
      </w:r>
      <w:r w:rsidRPr="00F3767B">
        <w:t xml:space="preserve"> sol was added to 50mg of ISO-1 dissolved in 2mL of THF to achieve 13.25 vol% O block + oxide. The ISO/oxide casting solutions were stirred vigorously for 12 hours before casting.</w:t>
      </w:r>
    </w:p>
    <w:p w14:paraId="1E1E4C16" w14:textId="77777777" w:rsidR="00AB1F00" w:rsidRPr="00F3767B" w:rsidRDefault="00AB1F00" w:rsidP="00A3755B">
      <w:pPr>
        <w:spacing w:before="240" w:after="240" w:line="360" w:lineRule="auto"/>
        <w:jc w:val="both"/>
      </w:pPr>
      <w:r w:rsidRPr="00F3767B">
        <w:t>The solutions were cast in poly(tetrafluoroethylene) (PTFE) dishes. The dishes were placed under a glass dome and heated to 40°C overnight to evaporate the solvent (THF) for EISA. Solidified ISO/oxide hybrid materials were subsequently heat processed at 130°C for 5 hours in a vacuum oven to remove remaining THF. Then the hybrid materials were calcined in a tube furnace open to air to create free-standing porous nanostructured oxides. To that end, films were heated at a rate of 1°C/min to 550°C for TiO</w:t>
      </w:r>
      <w:r w:rsidRPr="00F3767B">
        <w:rPr>
          <w:vertAlign w:val="subscript"/>
        </w:rPr>
        <w:t>2</w:t>
      </w:r>
      <w:r w:rsidRPr="00F3767B">
        <w:t>, or 700°C for Ta</w:t>
      </w:r>
      <w:r w:rsidRPr="00F3767B">
        <w:rPr>
          <w:vertAlign w:val="subscript"/>
        </w:rPr>
        <w:t>2</w:t>
      </w:r>
      <w:r w:rsidRPr="00F3767B">
        <w:t>O</w:t>
      </w:r>
      <w:r w:rsidRPr="00F3767B">
        <w:rPr>
          <w:vertAlign w:val="subscript"/>
        </w:rPr>
        <w:t>5</w:t>
      </w:r>
      <w:r w:rsidRPr="00F3767B">
        <w:t>, and held for 3 hours, and then allowed to passively cool to ambient temperature.</w:t>
      </w:r>
    </w:p>
    <w:p w14:paraId="083AF5EF" w14:textId="58D96DA4" w:rsidR="00AB1F00" w:rsidRPr="00F3767B" w:rsidRDefault="00AB1F00" w:rsidP="00A3755B">
      <w:pPr>
        <w:spacing w:before="240" w:after="240" w:line="360" w:lineRule="auto"/>
        <w:jc w:val="both"/>
      </w:pPr>
      <w:r w:rsidRPr="00F3767B">
        <w:rPr>
          <w:b/>
          <w:bCs/>
        </w:rPr>
        <w:t>SNIPS TiO</w:t>
      </w:r>
      <w:r w:rsidRPr="00F3767B">
        <w:rPr>
          <w:b/>
          <w:bCs/>
          <w:vertAlign w:val="subscript"/>
        </w:rPr>
        <w:t>2</w:t>
      </w:r>
      <w:r w:rsidRPr="00F3767B">
        <w:rPr>
          <w:b/>
          <w:bCs/>
        </w:rPr>
        <w:t xml:space="preserve"> membrane preparation:</w:t>
      </w:r>
      <w:r w:rsidR="004651A8" w:rsidRPr="00F3767B">
        <w:t xml:space="preserve"> </w:t>
      </w:r>
      <w:r w:rsidRPr="00F3767B">
        <w:t>The SNIPS technique to create asymmetrically porous TiO</w:t>
      </w:r>
      <w:r w:rsidRPr="00F3767B">
        <w:rPr>
          <w:vertAlign w:val="subscript"/>
        </w:rPr>
        <w:t>2</w:t>
      </w:r>
      <w:r w:rsidRPr="00F3767B">
        <w:t xml:space="preserve"> membranes has been described elsewhere [16,20].</w:t>
      </w:r>
      <w:r w:rsidRPr="00F3767B">
        <w:rPr>
          <w:color w:val="FF0000"/>
        </w:rPr>
        <w:t xml:space="preserve"> </w:t>
      </w:r>
      <w:r w:rsidRPr="00F3767B">
        <w:t>For this work, 100mg of ISV-1 polymer was dissolved in 0.39 mL dioxane (DOX) and 0.19 mL tetrahydrofuran (THF) under stirring. 0.583 mL of TiO</w:t>
      </w:r>
      <w:r w:rsidRPr="00F3767B">
        <w:rPr>
          <w:vertAlign w:val="subscript"/>
        </w:rPr>
        <w:t>2</w:t>
      </w:r>
      <w:r w:rsidRPr="00F3767B">
        <w:t xml:space="preserve"> sol (described earlier) was added and stirred for 24hr. Solution viscosity would initially increase, before returning to a thick honey-like consistency after 24hr. After 24hr, the solution was pipetted onto a glass slide, and leveled with a doctor blade to 0.3-0.38 mm. The solution was allowed to evaporate for 60s in air, before being plunged into a deionized water bath to halt self-assembly and induce phase inversion. The film de-adhered from the glass slide in water and was transferred to an alumina furnace boat. Each film was dried at 100°C for 2hr before calcination at 550°C for 3hr in a tube furnace open to air with a 1°C/min heating rate. </w:t>
      </w:r>
    </w:p>
    <w:p w14:paraId="75E65EE0" w14:textId="3035D987" w:rsidR="00AB1F00" w:rsidRPr="00F3767B" w:rsidRDefault="00AB1F00" w:rsidP="00A3755B">
      <w:pPr>
        <w:spacing w:before="240" w:after="240" w:line="360" w:lineRule="auto"/>
        <w:jc w:val="both"/>
      </w:pPr>
      <w:r w:rsidRPr="00F3767B">
        <w:rPr>
          <w:b/>
        </w:rPr>
        <w:lastRenderedPageBreak/>
        <w:t>Addition of rhodium co-catalyst</w:t>
      </w:r>
      <w:r w:rsidR="004651A8" w:rsidRPr="00F3767B">
        <w:t xml:space="preserve">: </w:t>
      </w:r>
      <w:r w:rsidRPr="00F3767B">
        <w:t xml:space="preserve">Gyroid, hexagonal, and non-structured powder catalyst supports were added to a PTFE-lined pressure vessel with 15 mL of deionized water and 15 </w:t>
      </w:r>
      <w:proofErr w:type="spellStart"/>
      <w:r w:rsidRPr="00F3767B">
        <w:t>wt</w:t>
      </w:r>
      <w:proofErr w:type="spellEnd"/>
      <w:r w:rsidRPr="00F3767B">
        <w:t>% Rh (</w:t>
      </w:r>
      <w:proofErr w:type="spellStart"/>
      <w:r w:rsidRPr="00F3767B">
        <w:t>wt</w:t>
      </w:r>
      <w:proofErr w:type="spellEnd"/>
      <w:r w:rsidRPr="00F3767B">
        <w:t>% refers to Rh metal mass, after reduction from RhCl</w:t>
      </w:r>
      <w:r w:rsidRPr="00F3767B">
        <w:rPr>
          <w:vertAlign w:val="subscript"/>
        </w:rPr>
        <w:t>3</w:t>
      </w:r>
      <w:r w:rsidRPr="00F3767B">
        <w:t>∙H</w:t>
      </w:r>
      <w:r w:rsidRPr="00F3767B">
        <w:rPr>
          <w:vertAlign w:val="subscript"/>
        </w:rPr>
        <w:t>2</w:t>
      </w:r>
      <w:r w:rsidRPr="00F3767B">
        <w:t>O) relative to the oxide support mass. The pressure vessel was sealed and heated to 180°C for 12 hours. After heating, catalyst material was collected from the solution, dried, and ground in a mortar and pestle. Catalyst material was passed through a &lt;50 µm metal mesh to establish maximum pellet size, chosen to maintain a Thiele modulus less than 2 (</w:t>
      </w:r>
      <w:r w:rsidR="00D55370" w:rsidRPr="00F3767B">
        <w:t xml:space="preserve">Supplementary Fig. </w:t>
      </w:r>
      <w:r w:rsidRPr="00F3767B">
        <w:t>1</w:t>
      </w:r>
      <w:r w:rsidR="00BA65F7" w:rsidRPr="00F3767B">
        <w:t>1</w:t>
      </w:r>
      <w:r w:rsidRPr="00F3767B">
        <w:t>).</w:t>
      </w:r>
    </w:p>
    <w:p w14:paraId="21D2BCC0" w14:textId="1CE6CB3D" w:rsidR="00AB1F00" w:rsidRPr="00F3767B" w:rsidRDefault="00AB1F00" w:rsidP="00A3755B">
      <w:pPr>
        <w:spacing w:before="240" w:after="240" w:line="360" w:lineRule="auto"/>
        <w:jc w:val="both"/>
      </w:pPr>
      <w:r w:rsidRPr="00F3767B">
        <w:t>SNIPS film supports were infiltrated with rhodium via</w:t>
      </w:r>
      <w:r w:rsidR="00E01EB5" w:rsidRPr="00F3767B">
        <w:t xml:space="preserve"> immersion in a rhodium chloride solution</w:t>
      </w:r>
      <w:r w:rsidRPr="00F3767B">
        <w:t xml:space="preserve">. 15 </w:t>
      </w:r>
      <w:proofErr w:type="spellStart"/>
      <w:r w:rsidRPr="00F3767B">
        <w:t>wt</w:t>
      </w:r>
      <w:proofErr w:type="spellEnd"/>
      <w:r w:rsidRPr="00F3767B">
        <w:t>% Rh relative to the film mass (as RhCl</w:t>
      </w:r>
      <w:r w:rsidRPr="00F3767B">
        <w:rPr>
          <w:vertAlign w:val="subscript"/>
        </w:rPr>
        <w:t>3</w:t>
      </w:r>
      <w:r w:rsidRPr="00F3767B">
        <w:t>∙H</w:t>
      </w:r>
      <w:r w:rsidRPr="00F3767B">
        <w:rPr>
          <w:vertAlign w:val="subscript"/>
        </w:rPr>
        <w:t>2</w:t>
      </w:r>
      <w:r w:rsidRPr="00F3767B">
        <w:t>O) was dissolved in 10 mL methanol, and the intact film was loaded into a glass vial with the rhodium chloride solution. The methanol was evaporated at 80°</w:t>
      </w:r>
      <w:proofErr w:type="spellStart"/>
      <w:r w:rsidRPr="00F3767B">
        <w:t>C over</w:t>
      </w:r>
      <w:proofErr w:type="spellEnd"/>
      <w:r w:rsidRPr="00F3767B">
        <w:t xml:space="preserve"> a hot plate, and the infiltrated film was removed.</w:t>
      </w:r>
    </w:p>
    <w:p w14:paraId="2C9FD184" w14:textId="5D0FA9AB" w:rsidR="00AB1F00" w:rsidRPr="00F3767B" w:rsidRDefault="00AB1F00" w:rsidP="00A3755B">
      <w:pPr>
        <w:spacing w:before="240" w:after="240" w:line="360" w:lineRule="auto"/>
        <w:jc w:val="both"/>
      </w:pPr>
      <w:r w:rsidRPr="00F3767B">
        <w:t xml:space="preserve">Prior to catalytic testing, catalyst material was loaded into the reactor, and illuminated under a 300W Newport Xe lamp (see </w:t>
      </w:r>
      <w:r w:rsidR="00D55370" w:rsidRPr="00F3767B">
        <w:t xml:space="preserve">Supplementary Fig. </w:t>
      </w:r>
      <w:r w:rsidR="0075782C" w:rsidRPr="00F3767B">
        <w:t>6</w:t>
      </w:r>
      <w:r w:rsidRPr="00F3767B">
        <w:t xml:space="preserve"> for spectrum) under a 20mL/min 1%/1%/98% CH</w:t>
      </w:r>
      <w:r w:rsidRPr="00F3767B">
        <w:rPr>
          <w:vertAlign w:val="subscript"/>
        </w:rPr>
        <w:t>4</w:t>
      </w:r>
      <w:r w:rsidRPr="00F3767B">
        <w:t>/CO</w:t>
      </w:r>
      <w:r w:rsidRPr="00F3767B">
        <w:rPr>
          <w:vertAlign w:val="subscript"/>
        </w:rPr>
        <w:t>2</w:t>
      </w:r>
      <w:r w:rsidRPr="00F3767B">
        <w:t>/</w:t>
      </w:r>
      <w:proofErr w:type="spellStart"/>
      <w:r w:rsidRPr="00F3767B">
        <w:t>Ar</w:t>
      </w:r>
      <w:proofErr w:type="spellEnd"/>
      <w:r w:rsidRPr="00F3767B">
        <w:t xml:space="preserve"> flow to reduce rhodium chloride hydrate to rhodium metal; this was accompanied by a quick color change of the material from orange to black. Initial reduction occurred rapidly under any flow rate tested, typically 20 mL/min. After reduction, catalytic performance was measured. </w:t>
      </w:r>
    </w:p>
    <w:p w14:paraId="0A357E89" w14:textId="77777777" w:rsidR="00AB1F00" w:rsidRPr="00F3767B" w:rsidRDefault="00AB1F00" w:rsidP="00A3755B">
      <w:pPr>
        <w:spacing w:line="360" w:lineRule="auto"/>
        <w:jc w:val="both"/>
        <w:rPr>
          <w:b/>
        </w:rPr>
      </w:pPr>
      <w:r w:rsidRPr="00F3767B">
        <w:rPr>
          <w:b/>
        </w:rPr>
        <w:t>Characterization</w:t>
      </w:r>
    </w:p>
    <w:p w14:paraId="41440F7B" w14:textId="77777777" w:rsidR="00AB1F00" w:rsidRPr="00F3767B" w:rsidRDefault="00AB1F00" w:rsidP="00A3755B">
      <w:pPr>
        <w:spacing w:before="240" w:after="240" w:line="360" w:lineRule="auto"/>
        <w:jc w:val="both"/>
      </w:pPr>
      <w:r w:rsidRPr="00F3767B">
        <w:rPr>
          <w:b/>
        </w:rPr>
        <w:t>Polymer characterization</w:t>
      </w:r>
      <w:r w:rsidRPr="00F3767B">
        <w:t>: A combination of proton nuclear magnetic resonance (</w:t>
      </w:r>
      <w:r w:rsidRPr="00F3767B">
        <w:rPr>
          <w:vertAlign w:val="superscript"/>
        </w:rPr>
        <w:t>1</w:t>
      </w:r>
      <w:r w:rsidRPr="00F3767B">
        <w:t>H NMR; using a 500 MHz Bruker AVIII HD spectrometer with BBO Prodigy cryoprobe</w:t>
      </w:r>
      <w:r w:rsidRPr="00F3767B">
        <w:rPr>
          <w:color w:val="FF0000"/>
        </w:rPr>
        <w:t xml:space="preserve"> </w:t>
      </w:r>
      <w:r w:rsidRPr="00F3767B">
        <w:t>and deuterated chloroform as solvent), and gel permeation chromatography (GPC; with an Agilent 1100 series chromatograph)</w:t>
      </w:r>
      <w:r w:rsidRPr="00F3767B">
        <w:rPr>
          <w:b/>
          <w:bCs/>
        </w:rPr>
        <w:t xml:space="preserve"> </w:t>
      </w:r>
      <w:r w:rsidRPr="00F3767B">
        <w:t xml:space="preserve">was employed to determine the ISO or ISV total number-average molar mass (Mn), block volume fractions, and polydispersity index (PDI). Polymer densities used for calculations were </w:t>
      </w:r>
      <w:proofErr w:type="spellStart"/>
      <w:r w:rsidRPr="00F3767B">
        <w:t>d</w:t>
      </w:r>
      <w:r w:rsidRPr="00F3767B">
        <w:rPr>
          <w:vertAlign w:val="subscript"/>
        </w:rPr>
        <w:t>poly</w:t>
      </w:r>
      <w:proofErr w:type="spellEnd"/>
      <w:r w:rsidRPr="00F3767B">
        <w:rPr>
          <w:vertAlign w:val="subscript"/>
        </w:rPr>
        <w:t>(isoprene)</w:t>
      </w:r>
      <w:r w:rsidRPr="00F3767B">
        <w:t xml:space="preserve"> = 0.91 g/mL, </w:t>
      </w:r>
      <w:proofErr w:type="spellStart"/>
      <w:r w:rsidRPr="00F3767B">
        <w:t>d</w:t>
      </w:r>
      <w:r w:rsidRPr="00F3767B">
        <w:rPr>
          <w:vertAlign w:val="subscript"/>
        </w:rPr>
        <w:t>poly</w:t>
      </w:r>
      <w:proofErr w:type="spellEnd"/>
      <w:r w:rsidRPr="00F3767B">
        <w:rPr>
          <w:vertAlign w:val="subscript"/>
        </w:rPr>
        <w:t>(styrene)</w:t>
      </w:r>
      <w:r w:rsidRPr="00F3767B">
        <w:t xml:space="preserve"> = 1.05 g/mL, </w:t>
      </w:r>
      <w:proofErr w:type="spellStart"/>
      <w:proofErr w:type="gramStart"/>
      <w:r w:rsidRPr="00F3767B">
        <w:t>d</w:t>
      </w:r>
      <w:r w:rsidRPr="00F3767B">
        <w:rPr>
          <w:vertAlign w:val="subscript"/>
        </w:rPr>
        <w:t>poly</w:t>
      </w:r>
      <w:proofErr w:type="spellEnd"/>
      <w:r w:rsidRPr="00F3767B">
        <w:rPr>
          <w:vertAlign w:val="subscript"/>
        </w:rPr>
        <w:t>(</w:t>
      </w:r>
      <w:proofErr w:type="gramEnd"/>
      <w:r w:rsidRPr="00F3767B">
        <w:rPr>
          <w:vertAlign w:val="subscript"/>
        </w:rPr>
        <w:t>ethylene oxide)</w:t>
      </w:r>
      <w:r w:rsidRPr="00F3767B">
        <w:t xml:space="preserve"> = 1.12 g/mL, and </w:t>
      </w:r>
      <w:proofErr w:type="spellStart"/>
      <w:r w:rsidRPr="00F3767B">
        <w:t>d</w:t>
      </w:r>
      <w:r w:rsidRPr="00F3767B">
        <w:rPr>
          <w:vertAlign w:val="subscript"/>
        </w:rPr>
        <w:t>poly</w:t>
      </w:r>
      <w:proofErr w:type="spellEnd"/>
      <w:r w:rsidRPr="00F3767B">
        <w:rPr>
          <w:vertAlign w:val="subscript"/>
        </w:rPr>
        <w:t>(vinyl-pyridine)</w:t>
      </w:r>
      <w:r w:rsidRPr="00F3767B">
        <w:t xml:space="preserve"> = 1.15 g/</w:t>
      </w:r>
      <w:proofErr w:type="spellStart"/>
      <w:r w:rsidRPr="00F3767B">
        <w:t>mL.</w:t>
      </w:r>
      <w:proofErr w:type="spellEnd"/>
    </w:p>
    <w:p w14:paraId="6B12C6FC" w14:textId="77777777" w:rsidR="00AB1F00" w:rsidRPr="00F3767B" w:rsidRDefault="00AB1F00" w:rsidP="00A3755B">
      <w:pPr>
        <w:spacing w:before="240" w:after="240" w:line="360" w:lineRule="auto"/>
        <w:jc w:val="both"/>
      </w:pPr>
      <w:r w:rsidRPr="00F3767B">
        <w:rPr>
          <w:b/>
        </w:rPr>
        <w:t>X-ray Diffraction</w:t>
      </w:r>
      <w:r w:rsidRPr="00F3767B">
        <w:t xml:space="preserve">: Wide-angle X-ray powder diffraction patterns were collected on a Bruker D8 ECO powder diffractometer using λ = 0.154nm </w:t>
      </w:r>
      <w:proofErr w:type="spellStart"/>
      <w:r w:rsidRPr="00F3767B">
        <w:t>CuK</w:t>
      </w:r>
      <w:proofErr w:type="spellEnd"/>
      <w:r w:rsidRPr="00F3767B">
        <w:t>-α radiation. For powder XRD, catalyst powders were placed into quartz glass wells, then measured. Patterns were analyzed and matched to references using JADE analysis software. All XRD patterns were collected after catalytic evaluation. Due to limited synchrotron access, SAXS patterns for TiO</w:t>
      </w:r>
      <w:r w:rsidRPr="00F3767B">
        <w:rPr>
          <w:vertAlign w:val="subscript"/>
        </w:rPr>
        <w:t>2</w:t>
      </w:r>
      <w:r w:rsidRPr="00F3767B">
        <w:t>-G</w:t>
      </w:r>
      <w:r w:rsidRPr="00F3767B">
        <w:rPr>
          <w:vertAlign w:val="superscript"/>
        </w:rPr>
        <w:t>D</w:t>
      </w:r>
      <w:r w:rsidRPr="00F3767B">
        <w:t xml:space="preserve"> and Ta</w:t>
      </w:r>
      <w:r w:rsidRPr="00F3767B">
        <w:rPr>
          <w:vertAlign w:val="subscript"/>
        </w:rPr>
        <w:t>2</w:t>
      </w:r>
      <w:r w:rsidRPr="00F3767B">
        <w:t>O</w:t>
      </w:r>
      <w:r w:rsidRPr="00F3767B">
        <w:rPr>
          <w:vertAlign w:val="subscript"/>
        </w:rPr>
        <w:t>5</w:t>
      </w:r>
      <w:r w:rsidRPr="00F3767B">
        <w:t>-G</w:t>
      </w:r>
      <w:r w:rsidRPr="00F3767B">
        <w:rPr>
          <w:vertAlign w:val="superscript"/>
        </w:rPr>
        <w:t>A</w:t>
      </w:r>
      <w:r w:rsidRPr="00F3767B">
        <w:t xml:space="preserve"> were collected at the Cornell High-Energy Synchrotron Source (CHESS) beamline ID-3B over a range of q = 8.5∙10</w:t>
      </w:r>
      <w:r w:rsidRPr="00F3767B">
        <w:rPr>
          <w:vertAlign w:val="superscript"/>
        </w:rPr>
        <w:t>-3</w:t>
      </w:r>
      <w:r w:rsidRPr="00F3767B">
        <w:t xml:space="preserve"> – 4.7∙10</w:t>
      </w:r>
      <w:r w:rsidRPr="00F3767B">
        <w:rPr>
          <w:vertAlign w:val="superscript"/>
        </w:rPr>
        <w:t xml:space="preserve">-1 </w:t>
      </w:r>
      <w:r w:rsidRPr="00F3767B">
        <w:t>Å</w:t>
      </w:r>
      <w:r w:rsidRPr="00F3767B">
        <w:rPr>
          <w:vertAlign w:val="superscript"/>
        </w:rPr>
        <w:t>-1</w:t>
      </w:r>
      <w:r w:rsidRPr="00F3767B">
        <w:t>, where q = 4</w:t>
      </w:r>
      <w:r w:rsidRPr="00F3767B">
        <w:rPr>
          <w:sz w:val="24"/>
          <w:szCs w:val="24"/>
        </w:rPr>
        <w:t>π</w:t>
      </w:r>
      <w:r w:rsidRPr="00F3767B">
        <w:t xml:space="preserve">sin(θ)/λ. All other SAXS patterns were collected </w:t>
      </w:r>
      <w:r w:rsidRPr="00F3767B">
        <w:lastRenderedPageBreak/>
        <w:t>at NSLS-II, beamline 11-BM (CMS) over a range of q = 8.5∙10</w:t>
      </w:r>
      <w:r w:rsidRPr="00F3767B">
        <w:rPr>
          <w:vertAlign w:val="superscript"/>
        </w:rPr>
        <w:t>-4</w:t>
      </w:r>
      <w:r w:rsidRPr="00F3767B">
        <w:t xml:space="preserve"> – 1.8∙10</w:t>
      </w:r>
      <w:r w:rsidRPr="00F3767B">
        <w:rPr>
          <w:vertAlign w:val="superscript"/>
        </w:rPr>
        <w:t xml:space="preserve">-1 </w:t>
      </w:r>
      <w:r w:rsidRPr="00F3767B">
        <w:t>Å</w:t>
      </w:r>
      <w:r w:rsidRPr="00F3767B">
        <w:rPr>
          <w:vertAlign w:val="superscript"/>
        </w:rPr>
        <w:t>-1</w:t>
      </w:r>
      <w:r w:rsidRPr="00F3767B">
        <w:t xml:space="preserve">.  For SAXS, catalyst powders were mounted on scotch-tape and contained within a rubber multi-well sample holder. </w:t>
      </w:r>
    </w:p>
    <w:p w14:paraId="4A68A190" w14:textId="65C23A15" w:rsidR="00AB1F00" w:rsidRPr="00F3767B" w:rsidRDefault="00AB1F00" w:rsidP="00A3755B">
      <w:pPr>
        <w:spacing w:before="240" w:after="240" w:line="360" w:lineRule="auto"/>
        <w:jc w:val="both"/>
      </w:pPr>
      <w:r w:rsidRPr="00F3767B">
        <w:rPr>
          <w:b/>
        </w:rPr>
        <w:t>SEM Analysis:</w:t>
      </w:r>
      <w:r w:rsidRPr="00F3767B">
        <w:t xml:space="preserve"> Scanning electron microscopy (SEM) micrographs were obtained using either a TESCAN MIRA3 field emission (FE)-SEM (in-lens detector, accelerating voltage of 5 kV) or a ZEISS Gemini 500 Scanning Electron Microscope (accelerating voltage of 2 kV). The samples were either left uncoated or coated with gold-palladium prior to imaging using a Denton Vacuum Desk II. After collection, micrographs shown in Figure 2b-i were adjusted to higher contrast and brightness for visibility in ImageJ analysis software, and scale bars were added. SEM imaging was performed on bare supports, prior to rhodium addition.</w:t>
      </w:r>
      <w:r w:rsidR="00931AC9" w:rsidRPr="00F3767B">
        <w:t xml:space="preserve"> Characteristic spacings for specific lattices were determined by averaging results from 10</w:t>
      </w:r>
      <w:r w:rsidR="00FA040B" w:rsidRPr="00F3767B">
        <w:t>-20</w:t>
      </w:r>
      <w:r w:rsidR="00931AC9" w:rsidRPr="00F3767B">
        <w:t xml:space="preserve"> measurements per sample. Associated error bars provided in the main text represent the </w:t>
      </w:r>
      <w:r w:rsidR="00FA040B" w:rsidRPr="00F3767B">
        <w:t>95% confidence interval</w:t>
      </w:r>
      <w:r w:rsidR="00931AC9" w:rsidRPr="00F3767B">
        <w:t xml:space="preserve"> of </w:t>
      </w:r>
      <w:r w:rsidR="00FA040B" w:rsidRPr="00F3767B">
        <w:t xml:space="preserve">the </w:t>
      </w:r>
      <w:r w:rsidR="00931AC9" w:rsidRPr="00F3767B">
        <w:t>results of these multiple measurements.</w:t>
      </w:r>
    </w:p>
    <w:p w14:paraId="2B0B006F" w14:textId="350E9228" w:rsidR="00AB1F00" w:rsidRPr="00F3767B" w:rsidRDefault="00AB1F00" w:rsidP="00A3755B">
      <w:pPr>
        <w:spacing w:before="240" w:after="240" w:line="360" w:lineRule="auto"/>
        <w:jc w:val="both"/>
      </w:pPr>
      <w:r w:rsidRPr="00F3767B">
        <w:rPr>
          <w:b/>
        </w:rPr>
        <w:t xml:space="preserve">TEM Analysis: </w:t>
      </w:r>
      <w:r w:rsidRPr="00F3767B">
        <w:t>Transmission electron microscopy (TEM) micrographs were obtained using an FEI Titan S/TEM operated at 300kV. For imaging, catalyst powders were dispersed in deionized water, then dropped onto carbon-coated Cu foils and dried. Images were adjusted to higher contrast and brightness for visibility using ImageJ analysis software, and scale bars were added. Catalyst supports were imaged after catalytic testing was completed.</w:t>
      </w:r>
      <w:r w:rsidR="00C25B91" w:rsidRPr="00F3767B">
        <w:t xml:space="preserve"> </w:t>
      </w:r>
    </w:p>
    <w:p w14:paraId="601C641C" w14:textId="77777777" w:rsidR="00AB1F00" w:rsidRPr="00F3767B" w:rsidRDefault="00AB1F00" w:rsidP="00A3755B">
      <w:pPr>
        <w:spacing w:before="240" w:after="240" w:line="360" w:lineRule="auto"/>
        <w:jc w:val="both"/>
      </w:pPr>
      <w:r w:rsidRPr="00F3767B">
        <w:rPr>
          <w:b/>
        </w:rPr>
        <w:t>Nitrogen Sorption:</w:t>
      </w:r>
      <w:r w:rsidRPr="00F3767B">
        <w:t xml:space="preserve"> Nitrogen adsorption-desorption isotherms were recorded using a Micromeritics ® ASAP 2020 surface area and porosity analyzer at -196°C. For sorption experiments, 100mg of catalyst support material was loaded into a quartz glass tube, then degassed under 120°C heating overnight. The degassed sample and tube were then attached to the analysis port of the instrument, immersed in liquid nitrogen, and analyzed. The </w:t>
      </w:r>
      <w:proofErr w:type="spellStart"/>
      <w:r w:rsidRPr="00F3767B">
        <w:t>Brunauer</w:t>
      </w:r>
      <w:proofErr w:type="spellEnd"/>
      <w:r w:rsidRPr="00F3767B">
        <w:t>-Emmett-Teller (BET) method was used to obtain the specific surface areas of the various oxides. The pore size distributions were obtained using the Barrett-Joyner-</w:t>
      </w:r>
      <w:proofErr w:type="spellStart"/>
      <w:r w:rsidRPr="00F3767B">
        <w:t>Halenda</w:t>
      </w:r>
      <w:proofErr w:type="spellEnd"/>
      <w:r w:rsidRPr="00F3767B">
        <w:t xml:space="preserve"> (BJH) analysis of the desorption curves [23]. The standard deviation of the full-width at half-maximum (FWHM) is a result of fitting the pore size distribution with a least-squares fit using a Gaussian function in Igor Pro. </w:t>
      </w:r>
    </w:p>
    <w:p w14:paraId="3C397272" w14:textId="77777777" w:rsidR="00AB1F00" w:rsidRPr="00F3767B" w:rsidRDefault="00AB1F00" w:rsidP="00A3755B">
      <w:pPr>
        <w:spacing w:before="240" w:after="240" w:line="360" w:lineRule="auto"/>
        <w:jc w:val="both"/>
      </w:pPr>
      <w:r w:rsidRPr="00F3767B">
        <w:rPr>
          <w:b/>
          <w:bCs/>
        </w:rPr>
        <w:t>X-ray Photoemission Spectroscopy:</w:t>
      </w:r>
      <w:r w:rsidRPr="00F3767B">
        <w:t xml:space="preserve"> X-ray photoemission spectroscopy (XPS) spectra were collected on a </w:t>
      </w:r>
      <w:proofErr w:type="spellStart"/>
      <w:r w:rsidRPr="00F3767B">
        <w:t>Thermo</w:t>
      </w:r>
      <w:proofErr w:type="spellEnd"/>
      <w:r w:rsidRPr="00F3767B">
        <w:t xml:space="preserve"> Scientific </w:t>
      </w:r>
      <w:proofErr w:type="spellStart"/>
      <w:r w:rsidRPr="00F3767B">
        <w:t>Nexsa</w:t>
      </w:r>
      <w:proofErr w:type="spellEnd"/>
      <w:r w:rsidRPr="00F3767B">
        <w:t xml:space="preserve"> G2 X-Ray Photoelectron Spectrometer. A sample of each catalyst type was collected after catalytic testing, (and one sample prior to catalytic testing), </w:t>
      </w:r>
      <w:r w:rsidRPr="00F3767B">
        <w:lastRenderedPageBreak/>
        <w:t xml:space="preserve">ground into a powder, and submitted for measurement. Spectra were collected over a binding energy range of 0 – 1350 eV and processed via </w:t>
      </w:r>
      <w:proofErr w:type="spellStart"/>
      <w:r w:rsidRPr="00F3767B">
        <w:t>CasaXPS</w:t>
      </w:r>
      <w:proofErr w:type="spellEnd"/>
      <w:r w:rsidRPr="00F3767B">
        <w:t xml:space="preserve"> software to report atomic composition. </w:t>
      </w:r>
    </w:p>
    <w:p w14:paraId="7136ED71" w14:textId="6606FDCE" w:rsidR="0075782C" w:rsidRPr="00F3767B" w:rsidRDefault="00AB1F00" w:rsidP="00A3755B">
      <w:pPr>
        <w:spacing w:before="240" w:after="240" w:line="360" w:lineRule="auto"/>
        <w:jc w:val="both"/>
        <w:rPr>
          <w:b/>
          <w:bCs/>
          <w:lang w:val="en-GB" w:bidi="hi-IN"/>
        </w:rPr>
      </w:pPr>
      <w:r w:rsidRPr="00F3767B">
        <w:rPr>
          <w:b/>
        </w:rPr>
        <w:t>Catalytic Testing</w:t>
      </w:r>
      <w:r w:rsidRPr="00F3767B">
        <w:t>: Catalytic performance was measured on an Agilent 990 Micro-GC gas chromatograph, and products were measured in a CP-</w:t>
      </w:r>
      <w:proofErr w:type="spellStart"/>
      <w:r w:rsidRPr="00F3767B">
        <w:t>Molsieve</w:t>
      </w:r>
      <w:proofErr w:type="spellEnd"/>
      <w:r w:rsidRPr="00F3767B">
        <w:t xml:space="preserve"> 5Å 10m, 0.25mm diameter column (</w:t>
      </w:r>
      <w:r w:rsidR="00D55370" w:rsidRPr="00F3767B">
        <w:t xml:space="preserve">Supplementary Fig. </w:t>
      </w:r>
      <w:r w:rsidR="00047B66" w:rsidRPr="00F3767B">
        <w:t>7</w:t>
      </w:r>
      <w:r w:rsidRPr="00F3767B">
        <w:t>). Either 1%/1%/98% or 10%/10%/80% CH</w:t>
      </w:r>
      <w:r w:rsidRPr="00F3767B">
        <w:rPr>
          <w:vertAlign w:val="subscript"/>
        </w:rPr>
        <w:t>4</w:t>
      </w:r>
      <w:r w:rsidRPr="00F3767B">
        <w:t>/CO</w:t>
      </w:r>
      <w:r w:rsidRPr="00F3767B">
        <w:rPr>
          <w:vertAlign w:val="subscript"/>
        </w:rPr>
        <w:t>2</w:t>
      </w:r>
      <w:r w:rsidRPr="00F3767B">
        <w:t>/</w:t>
      </w:r>
      <w:proofErr w:type="spellStart"/>
      <w:r w:rsidRPr="00F3767B">
        <w:t>Ar</w:t>
      </w:r>
      <w:proofErr w:type="spellEnd"/>
      <w:r w:rsidRPr="00F3767B">
        <w:t xml:space="preserve"> was fed into a flow-through quartz glass reactor (mesoporous powders, </w:t>
      </w:r>
      <w:r w:rsidR="00D55370" w:rsidRPr="00F3767B">
        <w:t xml:space="preserve">Supplementary Fig. </w:t>
      </w:r>
      <w:r w:rsidR="00D06001" w:rsidRPr="00F3767B">
        <w:t>4</w:t>
      </w:r>
      <w:r w:rsidRPr="00F3767B">
        <w:t xml:space="preserve">a) or top-loading flow-through brass reactor (thin films, </w:t>
      </w:r>
      <w:r w:rsidR="00D55370" w:rsidRPr="00F3767B">
        <w:t xml:space="preserve">Supplementary Fig. </w:t>
      </w:r>
      <w:r w:rsidR="00D06001" w:rsidRPr="00F3767B">
        <w:t>4</w:t>
      </w:r>
      <w:r w:rsidRPr="00F3767B">
        <w:t>b) over a range of flow rates (10-100 mL/min), comprising a total measurement range of 0.2</w:t>
      </w:r>
      <w:r w:rsidR="00E01EB5" w:rsidRPr="00F3767B">
        <w:t>5</w:t>
      </w:r>
      <w:r w:rsidRPr="00F3767B">
        <w:t>-2</w:t>
      </w:r>
      <w:r w:rsidR="00E01EB5" w:rsidRPr="00F3767B">
        <w:t>5</w:t>
      </w:r>
      <w:r w:rsidRPr="00F3767B">
        <w:t xml:space="preserve"> mmol / </w:t>
      </w:r>
      <w:proofErr w:type="spellStart"/>
      <w:r w:rsidRPr="00F3767B">
        <w:t>hr</w:t>
      </w:r>
      <w:proofErr w:type="spellEnd"/>
      <w:r w:rsidRPr="00F3767B">
        <w:t xml:space="preserve"> CH</w:t>
      </w:r>
      <w:r w:rsidRPr="00F3767B">
        <w:rPr>
          <w:vertAlign w:val="subscript"/>
        </w:rPr>
        <w:t>4</w:t>
      </w:r>
      <w:r w:rsidRPr="00F3767B">
        <w:t>/CO</w:t>
      </w:r>
      <w:r w:rsidRPr="00F3767B">
        <w:rPr>
          <w:vertAlign w:val="subscript"/>
        </w:rPr>
        <w:t>2</w:t>
      </w:r>
      <w:r w:rsidRPr="00F3767B">
        <w:t>. An additional test was conducted using a Ta</w:t>
      </w:r>
      <w:r w:rsidRPr="00F3767B">
        <w:rPr>
          <w:vertAlign w:val="subscript"/>
        </w:rPr>
        <w:t>2</w:t>
      </w:r>
      <w:r w:rsidRPr="00F3767B">
        <w:t>O</w:t>
      </w:r>
      <w:r w:rsidRPr="00F3767B">
        <w:rPr>
          <w:vertAlign w:val="subscript"/>
        </w:rPr>
        <w:t>5</w:t>
      </w:r>
      <w:r w:rsidRPr="00F3767B">
        <w:t>-Hex catalyst in the thin-film brass reactor to quantify any differences in the two reactors for the same catalyst (</w:t>
      </w:r>
      <w:r w:rsidR="00D55370" w:rsidRPr="00F3767B">
        <w:t xml:space="preserve">Supplementary Fig. </w:t>
      </w:r>
      <w:r w:rsidRPr="00F3767B">
        <w:t>1</w:t>
      </w:r>
      <w:r w:rsidR="00BA65F7" w:rsidRPr="00F3767B">
        <w:t>2</w:t>
      </w:r>
      <w:r w:rsidRPr="00F3767B">
        <w:t>). The quartz glass reactor exhibited higher performance for the same material, likely due to a larger cross-sectional area (0.125 cm</w:t>
      </w:r>
      <w:r w:rsidRPr="00F3767B">
        <w:rPr>
          <w:vertAlign w:val="superscript"/>
        </w:rPr>
        <w:t>2</w:t>
      </w:r>
      <w:r w:rsidRPr="00F3767B">
        <w:t xml:space="preserve"> vs 0.07 cm</w:t>
      </w:r>
      <w:r w:rsidRPr="00F3767B">
        <w:rPr>
          <w:vertAlign w:val="superscript"/>
        </w:rPr>
        <w:t>2</w:t>
      </w:r>
      <w:proofErr w:type="gramStart"/>
      <w:r w:rsidRPr="00F3767B">
        <w:t>) .</w:t>
      </w:r>
      <w:proofErr w:type="gramEnd"/>
      <w:r w:rsidRPr="00F3767B">
        <w:t xml:space="preserve"> 0.2</w:t>
      </w:r>
      <w:r w:rsidR="00E01EB5" w:rsidRPr="00F3767B">
        <w:t>5</w:t>
      </w:r>
      <w:r w:rsidRPr="00F3767B">
        <w:t xml:space="preserve">-2.15 mmol / </w:t>
      </w:r>
      <w:proofErr w:type="spellStart"/>
      <w:r w:rsidRPr="00F3767B">
        <w:t>hr</w:t>
      </w:r>
      <w:proofErr w:type="spellEnd"/>
      <w:r w:rsidRPr="00F3767B">
        <w:t xml:space="preserve"> flow rates correspond to 1%/1%/98% gas, and 2.</w:t>
      </w:r>
      <w:r w:rsidR="00E01EB5" w:rsidRPr="00F3767B">
        <w:t>5</w:t>
      </w:r>
      <w:r w:rsidRPr="00F3767B">
        <w:t>-2</w:t>
      </w:r>
      <w:r w:rsidR="00E01EB5" w:rsidRPr="00F3767B">
        <w:t>5</w:t>
      </w:r>
      <w:r w:rsidRPr="00F3767B">
        <w:t xml:space="preserve"> mmol / </w:t>
      </w:r>
      <w:proofErr w:type="spellStart"/>
      <w:r w:rsidRPr="00F3767B">
        <w:t>hr</w:t>
      </w:r>
      <w:proofErr w:type="spellEnd"/>
      <w:r w:rsidRPr="00F3767B">
        <w:t xml:space="preserve"> flow rates correspond to 10%/10%/80% gas. Gas flowed through a 7.5mg stack of catalyst powder granules (&lt;50 </w:t>
      </w:r>
      <w:proofErr w:type="spellStart"/>
      <w:r w:rsidRPr="00F3767B">
        <w:t>μm</w:t>
      </w:r>
      <w:proofErr w:type="spellEnd"/>
      <w:r w:rsidRPr="00F3767B">
        <w:t xml:space="preserve"> particle size, chosen based on Thiele modulus calculation (</w:t>
      </w:r>
      <w:r w:rsidR="00D55370" w:rsidRPr="00F3767B">
        <w:t xml:space="preserve">Supplementary Fig. </w:t>
      </w:r>
      <w:r w:rsidRPr="00F3767B">
        <w:t>1</w:t>
      </w:r>
      <w:r w:rsidR="00BA65F7" w:rsidRPr="00F3767B">
        <w:t>1</w:t>
      </w:r>
      <w:r w:rsidRPr="00F3767B">
        <w:t>)</w:t>
      </w:r>
      <w:r w:rsidR="00E01EB5" w:rsidRPr="00F3767B">
        <w:t>)</w:t>
      </w:r>
      <w:r w:rsidRPr="00F3767B">
        <w:t>, or a single piece of TiO</w:t>
      </w:r>
      <w:r w:rsidRPr="00F3767B">
        <w:rPr>
          <w:vertAlign w:val="subscript"/>
        </w:rPr>
        <w:t>2</w:t>
      </w:r>
      <w:r w:rsidRPr="00F3767B">
        <w:t xml:space="preserve"> film, illuminated by a 300 W Newport Xe lamp creating a 0.125 cm</w:t>
      </w:r>
      <w:r w:rsidRPr="00F3767B">
        <w:rPr>
          <w:rFonts w:eastAsia="Arial Unicode MS"/>
        </w:rPr>
        <w:t>² illuminated spot on the powder reactor, or a 0.07 cm</w:t>
      </w:r>
      <w:r w:rsidRPr="00F3767B">
        <w:rPr>
          <w:rFonts w:eastAsia="Arial Unicode MS"/>
          <w:vertAlign w:val="superscript"/>
        </w:rPr>
        <w:t>2</w:t>
      </w:r>
      <w:r w:rsidRPr="00F3767B">
        <w:rPr>
          <w:rFonts w:eastAsia="Arial Unicode MS"/>
        </w:rPr>
        <w:t xml:space="preserve"> spot on the film reactor at 40 </w:t>
      </w:r>
      <w:proofErr w:type="spellStart"/>
      <w:r w:rsidRPr="00F3767B">
        <w:rPr>
          <w:rFonts w:eastAsia="Arial Unicode MS"/>
        </w:rPr>
        <w:t>mW</w:t>
      </w:r>
      <w:proofErr w:type="spellEnd"/>
      <w:r w:rsidRPr="00F3767B">
        <w:rPr>
          <w:rFonts w:eastAsia="Arial Unicode MS"/>
        </w:rPr>
        <w:t xml:space="preserve">/m²∙nm irradiance (at 0.5 m), from λ = 250-2400 nm (see </w:t>
      </w:r>
      <w:r w:rsidR="00D55370" w:rsidRPr="00F3767B">
        <w:rPr>
          <w:rFonts w:eastAsia="Arial Unicode MS"/>
        </w:rPr>
        <w:t xml:space="preserve">Supplementary Fig. </w:t>
      </w:r>
      <w:r w:rsidR="0075782C" w:rsidRPr="00F3767B">
        <w:rPr>
          <w:rFonts w:eastAsia="Arial Unicode MS"/>
        </w:rPr>
        <w:t>6</w:t>
      </w:r>
      <w:r w:rsidRPr="00F3767B">
        <w:rPr>
          <w:rFonts w:eastAsia="Arial Unicode MS"/>
        </w:rPr>
        <w:t xml:space="preserve"> for full spectrum). All testing used either 7.5mg of gyroid or hexagonal catalyst powder, or the actual mass of a 0.05 cm</w:t>
      </w:r>
      <w:r w:rsidRPr="00F3767B">
        <w:rPr>
          <w:rFonts w:eastAsia="Arial Unicode MS"/>
          <w:vertAlign w:val="superscript"/>
        </w:rPr>
        <w:t>2</w:t>
      </w:r>
      <w:r w:rsidRPr="00F3767B">
        <w:rPr>
          <w:rFonts w:eastAsia="Arial Unicode MS"/>
        </w:rPr>
        <w:t xml:space="preserve"> monolithic TiO</w:t>
      </w:r>
      <w:r w:rsidRPr="00F3767B">
        <w:rPr>
          <w:rFonts w:eastAsia="Arial Unicode MS"/>
          <w:vertAlign w:val="subscript"/>
        </w:rPr>
        <w:t>2</w:t>
      </w:r>
      <w:r w:rsidRPr="00F3767B">
        <w:rPr>
          <w:rFonts w:eastAsia="Arial Unicode MS"/>
        </w:rPr>
        <w:t xml:space="preserve"> film (0.145 mg). Percentages of components in the effluent gas measured by the GC were converted to mmol / (</w:t>
      </w:r>
      <w:proofErr w:type="spellStart"/>
      <w:r w:rsidRPr="00F3767B">
        <w:rPr>
          <w:rFonts w:eastAsia="Arial Unicode MS"/>
        </w:rPr>
        <w:t>hr∙g</w:t>
      </w:r>
      <w:r w:rsidRPr="00F3767B">
        <w:rPr>
          <w:vertAlign w:val="subscript"/>
        </w:rPr>
        <w:t>catalyst</w:t>
      </w:r>
      <w:proofErr w:type="spellEnd"/>
      <w:r w:rsidRPr="00F3767B">
        <w:t xml:space="preserve">) using the measured reactant gas flow rate, where </w:t>
      </w:r>
      <w:proofErr w:type="spellStart"/>
      <w:r w:rsidRPr="00F3767B">
        <w:t>g</w:t>
      </w:r>
      <w:r w:rsidRPr="00F3767B">
        <w:rPr>
          <w:vertAlign w:val="subscript"/>
        </w:rPr>
        <w:t>catalyst</w:t>
      </w:r>
      <w:proofErr w:type="spellEnd"/>
      <w:r w:rsidRPr="00F3767B">
        <w:t xml:space="preserve"> refers to the combined mass of Rh and oxide support. GC calibration curves were generated using MESA VGM-1, VGM-3, and VGM-7 calibration gas, a 1%/2%/97% CO/H</w:t>
      </w:r>
      <w:r w:rsidRPr="00F3767B">
        <w:rPr>
          <w:vertAlign w:val="subscript"/>
        </w:rPr>
        <w:t>2</w:t>
      </w:r>
      <w:r w:rsidRPr="00F3767B">
        <w:t>/</w:t>
      </w:r>
      <w:proofErr w:type="spellStart"/>
      <w:r w:rsidRPr="00F3767B">
        <w:t>Ar</w:t>
      </w:r>
      <w:proofErr w:type="spellEnd"/>
      <w:r w:rsidRPr="00F3767B">
        <w:t xml:space="preserve"> cylinder from Airgas, as well as the two CH</w:t>
      </w:r>
      <w:r w:rsidRPr="00F3767B">
        <w:rPr>
          <w:vertAlign w:val="subscript"/>
        </w:rPr>
        <w:t>4</w:t>
      </w:r>
      <w:r w:rsidRPr="00F3767B">
        <w:t>/CO</w:t>
      </w:r>
      <w:r w:rsidRPr="00F3767B">
        <w:rPr>
          <w:vertAlign w:val="subscript"/>
        </w:rPr>
        <w:t>2</w:t>
      </w:r>
      <w:r w:rsidRPr="00F3767B">
        <w:t>/</w:t>
      </w:r>
      <w:proofErr w:type="spellStart"/>
      <w:r w:rsidRPr="00F3767B">
        <w:t>Ar</w:t>
      </w:r>
      <w:proofErr w:type="spellEnd"/>
      <w:r w:rsidRPr="00F3767B">
        <w:t xml:space="preserve"> reactant gas mixtures from Airgas. GC calibration curves and example raw data are provided in </w:t>
      </w:r>
      <w:r w:rsidR="00D55370" w:rsidRPr="00F3767B">
        <w:t xml:space="preserve">Supplementary Fig. </w:t>
      </w:r>
      <w:r w:rsidR="00047B66" w:rsidRPr="00F3767B">
        <w:t>7</w:t>
      </w:r>
      <w:r w:rsidRPr="00F3767B">
        <w:t>. Production rates are expressed as the average of CO and H</w:t>
      </w:r>
      <w:r w:rsidRPr="00F3767B">
        <w:rPr>
          <w:rFonts w:ascii="Cambria Math" w:hAnsi="Cambria Math" w:cs="Cambria Math"/>
        </w:rPr>
        <w:t>₂</w:t>
      </w:r>
      <w:r w:rsidRPr="00F3767B">
        <w:t xml:space="preserve"> production, normalized by catalyst mass, with CO/H</w:t>
      </w:r>
      <w:r w:rsidRPr="00F3767B">
        <w:rPr>
          <w:rFonts w:ascii="Cambria Math" w:hAnsi="Cambria Math" w:cs="Cambria Math"/>
        </w:rPr>
        <w:t>₂</w:t>
      </w:r>
      <w:r w:rsidRPr="00F3767B">
        <w:t xml:space="preserve"> ratios reported separately. No external heating was applied to the reactor for any catalytic testing. </w:t>
      </w:r>
    </w:p>
    <w:p w14:paraId="7BDC295C" w14:textId="20508EC4" w:rsidR="00F77E59" w:rsidRPr="00F3767B" w:rsidRDefault="00F77E59" w:rsidP="00A3755B">
      <w:pPr>
        <w:spacing w:before="240" w:after="240" w:line="360" w:lineRule="auto"/>
        <w:jc w:val="both"/>
        <w:rPr>
          <w:b/>
          <w:bCs/>
          <w:lang w:val="en-GB" w:bidi="hi-IN"/>
        </w:rPr>
      </w:pPr>
      <w:r w:rsidRPr="00F3767B">
        <w:rPr>
          <w:b/>
          <w:bCs/>
          <w:lang w:val="en-GB" w:bidi="hi-IN"/>
        </w:rPr>
        <w:t xml:space="preserve">Simulation Methods </w:t>
      </w:r>
    </w:p>
    <w:p w14:paraId="482BB584" w14:textId="3543B229" w:rsidR="00F77E59" w:rsidRPr="00F3767B" w:rsidRDefault="00F77E59" w:rsidP="00A3755B">
      <w:pPr>
        <w:spacing w:before="240" w:after="240" w:line="360" w:lineRule="auto"/>
        <w:jc w:val="both"/>
      </w:pPr>
      <w:r w:rsidRPr="00F3767B">
        <w:rPr>
          <w:b/>
          <w:bCs/>
          <w:lang w:val="en-GB" w:bidi="hi-IN"/>
        </w:rPr>
        <w:t>Gyroid and hexagonal simulation method:</w:t>
      </w:r>
      <w:r w:rsidRPr="00F3767B">
        <w:rPr>
          <w:lang w:val="en-GB" w:bidi="hi-IN"/>
        </w:rPr>
        <w:t xml:space="preserve"> A rescaled geometry was simulated for the gyroidal and hexagonal structures through random orientations</w:t>
      </w:r>
      <w:r w:rsidRPr="00F3767B">
        <w:t xml:space="preserve"> </w:t>
      </w:r>
      <w:r w:rsidRPr="00F3767B">
        <w:rPr>
          <w:lang w:val="en-GB" w:bidi="hi-IN"/>
        </w:rPr>
        <w:t>of the lattices (Figure 5). The alternating gyroid structure was described by the surface, 10*[cos(x)sin(y) + cos(y)sin(z) + cos(z)sin(x)] – 0.5*[(cos(2</w:t>
      </w:r>
      <w:proofErr w:type="gramStart"/>
      <w:r w:rsidRPr="00F3767B">
        <w:rPr>
          <w:lang w:val="en-GB" w:bidi="hi-IN"/>
        </w:rPr>
        <w:t>x)cos</w:t>
      </w:r>
      <w:proofErr w:type="gramEnd"/>
      <w:r w:rsidRPr="00F3767B">
        <w:rPr>
          <w:lang w:val="en-GB" w:bidi="hi-IN"/>
        </w:rPr>
        <w:t xml:space="preserve">(2y) + cos(2y)cos(2z) + cos(2z)cos(2x)] = 10.5 </w:t>
      </w:r>
      <w:r w:rsidR="00503A9E" w:rsidRPr="00F3767B">
        <w:rPr>
          <w:lang w:val="en-GB" w:bidi="hi-IN"/>
        </w:rPr>
        <w:t>[24]</w:t>
      </w:r>
      <w:r w:rsidRPr="00F3767B">
        <w:rPr>
          <w:lang w:val="en-GB" w:bidi="hi-IN"/>
        </w:rPr>
        <w:t xml:space="preserve">. The double-gyroid structure </w:t>
      </w:r>
      <w:r w:rsidRPr="00F3767B">
        <w:rPr>
          <w:lang w:val="en-GB" w:bidi="hi-IN"/>
        </w:rPr>
        <w:lastRenderedPageBreak/>
        <w:t>was described as the surface created by the intersection of a volume described by M = (R * (R&gt;0)) + (L * (L&gt;0)) and a constant value, such that the resulting surface spanned 45% of the total volume. R is the alternating gyroid surface described above, and L a shell around the struts described as 10*[(cos(x)sin(-y) + cos(y)sin(-z) + cos(z)sin(-x))] – 0.5*[(cos(2</w:t>
      </w:r>
      <w:proofErr w:type="gramStart"/>
      <w:r w:rsidRPr="00F3767B">
        <w:rPr>
          <w:lang w:val="en-GB" w:bidi="hi-IN"/>
        </w:rPr>
        <w:t>x)cos</w:t>
      </w:r>
      <w:proofErr w:type="gramEnd"/>
      <w:r w:rsidRPr="00F3767B">
        <w:rPr>
          <w:lang w:val="en-GB" w:bidi="hi-IN"/>
        </w:rPr>
        <w:t>(2y) + cos(2y)cos(2z) + cos(2z)cos(2x)]. The double gyroid materials used in this work consist of the matrix (polyethylene oxide and semiconductor) around these core-shell struts (polyisoprene and polystyrene) Constants were chosen to give the same percentage porosity and relative volume fractions of each network as experimental materials. Five cubic cells of these lattices were aligned axially, each rotated by a unique angle.</w:t>
      </w:r>
      <w:r w:rsidRPr="00F3767B">
        <w:t xml:space="preserve"> </w:t>
      </w:r>
      <w:r w:rsidRPr="00F3767B">
        <w:rPr>
          <w:lang w:val="en-GB" w:bidi="hi-IN"/>
        </w:rPr>
        <w:t xml:space="preserve">This </w:t>
      </w:r>
      <w:proofErr w:type="gramStart"/>
      <w:r w:rsidRPr="00F3767B">
        <w:rPr>
          <w:lang w:val="en-GB" w:bidi="hi-IN"/>
        </w:rPr>
        <w:t>is an approximation of</w:t>
      </w:r>
      <w:proofErr w:type="gramEnd"/>
      <w:r w:rsidRPr="00F3767B">
        <w:rPr>
          <w:lang w:val="en-GB" w:bidi="hi-IN"/>
        </w:rPr>
        <w:t xml:space="preserve"> a large lattice with multiple unit cells, randomly oriented. To maintain the alignment of the orthogonal sides of the cube and stack them together, the structures were generated by rotating the field governing the distribution of the material while keeping the cube fixed in space. ANSYS Fluent</w:t>
      </w:r>
      <w:r w:rsidRPr="00F3767B">
        <w:rPr>
          <w:lang w:val="en-GB" w:bidi="hi-IN"/>
        </w:rPr>
        <w:sym w:font="Symbol" w:char="F0E2"/>
      </w:r>
      <w:r w:rsidRPr="00F3767B">
        <w:rPr>
          <w:lang w:val="en-GB" w:bidi="hi-IN"/>
        </w:rPr>
        <w:t xml:space="preserve"> was used to set up the three-dimensional finite element simulation for a low Reynolds number flow through each geometry. To address the numerical instability in simulating a complex geometry, an unstructured mesh was used as localized regions in the model required a higher resolution mesh. The mesh and</w:t>
      </w:r>
      <w:r w:rsidRPr="00F3767B">
        <w:t xml:space="preserve"> </w:t>
      </w:r>
      <w:r w:rsidRPr="00F3767B">
        <w:rPr>
          <w:lang w:val="en-GB" w:bidi="hi-IN"/>
        </w:rPr>
        <w:t xml:space="preserve">the solution of the equations were split into multiple partitions that were assigned to different computer nodes to enable faster processing. The streamlines between the inlet and the outlet of the lattice arrays were simulated. The path integral of the axial distance variable along the </w:t>
      </w:r>
      <m:oMath>
        <m:r>
          <w:rPr>
            <w:rFonts w:ascii="Cambria Math" w:hAnsi="Cambria Math"/>
            <w:lang w:val="en-GB" w:bidi="hi-IN"/>
          </w:rPr>
          <m:t>n</m:t>
        </m:r>
      </m:oMath>
      <w:r w:rsidRPr="00F3767B">
        <w:rPr>
          <w:lang w:val="en-GB" w:bidi="hi-IN"/>
        </w:rPr>
        <w:t xml:space="preserve"> streamlines, </w:t>
      </w:r>
      <m:oMath>
        <m:sSub>
          <m:sSubPr>
            <m:ctrlPr>
              <w:rPr>
                <w:rFonts w:ascii="Cambria Math" w:hAnsi="Cambria Math"/>
                <w:i/>
                <w:lang w:val="en-GB" w:bidi="hi-IN"/>
              </w:rPr>
            </m:ctrlPr>
          </m:sSubPr>
          <m:e>
            <m:r>
              <w:rPr>
                <w:rFonts w:ascii="Cambria Math" w:hAnsi="Cambria Math"/>
                <w:lang w:val="en-GB" w:bidi="hi-IN"/>
              </w:rPr>
              <m:t>l</m:t>
            </m:r>
          </m:e>
          <m:sub>
            <m:r>
              <w:rPr>
                <w:rFonts w:ascii="Cambria Math" w:hAnsi="Cambria Math"/>
                <w:lang w:val="en-GB" w:bidi="hi-IN"/>
              </w:rPr>
              <m:t>s</m:t>
            </m:r>
          </m:sub>
        </m:sSub>
        <m:r>
          <w:rPr>
            <w:rFonts w:ascii="Cambria Math" w:hAnsi="Cambria Math"/>
            <w:lang w:val="en-GB" w:bidi="hi-IN"/>
          </w:rPr>
          <m:t>=</m:t>
        </m:r>
        <m:nary>
          <m:naryPr>
            <m:chr m:val="∑"/>
            <m:ctrlPr>
              <w:rPr>
                <w:rFonts w:ascii="Cambria Math" w:hAnsi="Cambria Math"/>
                <w:lang w:val="en-GB" w:bidi="hi-IN"/>
              </w:rPr>
            </m:ctrlPr>
          </m:naryPr>
          <m:sub>
            <m:r>
              <w:rPr>
                <w:rFonts w:ascii="Cambria Math" w:hAnsi="Cambria Math"/>
                <w:lang w:val="en-GB" w:bidi="hi-IN"/>
              </w:rPr>
              <m:t>i</m:t>
            </m:r>
            <m:ctrlPr>
              <w:rPr>
                <w:rFonts w:ascii="Cambria Math" w:hAnsi="Cambria Math"/>
                <w:i/>
                <w:lang w:val="en-GB" w:bidi="hi-IN"/>
              </w:rPr>
            </m:ctrlPr>
          </m:sub>
          <m:sup>
            <m:r>
              <w:rPr>
                <w:rFonts w:ascii="Cambria Math" w:hAnsi="Cambria Math"/>
                <w:lang w:val="en-GB" w:bidi="hi-IN"/>
              </w:rPr>
              <m:t>n</m:t>
            </m:r>
            <m:ctrlPr>
              <w:rPr>
                <w:rFonts w:ascii="Cambria Math" w:hAnsi="Cambria Math"/>
                <w:i/>
                <w:lang w:val="en-GB" w:bidi="hi-IN"/>
              </w:rPr>
            </m:ctrlPr>
          </m:sup>
          <m:e>
            <m:nary>
              <m:naryPr>
                <m:supHide m:val="1"/>
                <m:ctrlPr>
                  <w:rPr>
                    <w:rFonts w:ascii="Cambria Math" w:hAnsi="Cambria Math"/>
                    <w:lang w:val="en-GB" w:bidi="hi-IN"/>
                  </w:rPr>
                </m:ctrlPr>
              </m:naryPr>
              <m:sub>
                <m:r>
                  <w:rPr>
                    <w:rFonts w:ascii="Cambria Math" w:hAnsi="Cambria Math"/>
                    <w:lang w:val="en-GB" w:bidi="hi-IN"/>
                  </w:rPr>
                  <m:t>i</m:t>
                </m:r>
                <m:ctrlPr>
                  <w:rPr>
                    <w:rFonts w:ascii="Cambria Math" w:hAnsi="Cambria Math"/>
                    <w:i/>
                    <w:lang w:val="en-GB" w:bidi="hi-IN"/>
                  </w:rPr>
                </m:ctrlPr>
              </m:sub>
              <m:sup>
                <m:ctrlPr>
                  <w:rPr>
                    <w:rFonts w:ascii="Cambria Math" w:hAnsi="Cambria Math"/>
                    <w:i/>
                    <w:lang w:val="en-GB" w:bidi="hi-IN"/>
                  </w:rPr>
                </m:ctrlPr>
              </m:sup>
              <m:e>
                <m:r>
                  <w:rPr>
                    <w:rFonts w:ascii="Cambria Math" w:hAnsi="Cambria Math"/>
                    <w:lang w:val="en-GB" w:bidi="hi-IN"/>
                  </w:rPr>
                  <m:t>xds</m:t>
                </m:r>
                <m:ctrlPr>
                  <w:rPr>
                    <w:rFonts w:ascii="Cambria Math" w:hAnsi="Cambria Math"/>
                    <w:i/>
                    <w:lang w:val="en-GB" w:bidi="hi-IN"/>
                  </w:rPr>
                </m:ctrlPr>
              </m:e>
            </m:nary>
            <m:ctrlPr>
              <w:rPr>
                <w:rFonts w:ascii="Cambria Math" w:hAnsi="Cambria Math"/>
                <w:i/>
                <w:lang w:val="en-GB" w:bidi="hi-IN"/>
              </w:rPr>
            </m:ctrlPr>
          </m:e>
        </m:nary>
      </m:oMath>
      <w:r w:rsidRPr="00F3767B">
        <w:rPr>
          <w:lang w:val="en-GB" w:bidi="hi-IN"/>
        </w:rPr>
        <w:t xml:space="preserve">, and the displacement of these streamlines, </w:t>
      </w:r>
      <m:oMath>
        <m:r>
          <w:rPr>
            <w:rFonts w:ascii="Cambria Math" w:hAnsi="Cambria Math"/>
            <w:lang w:val="en-GB" w:bidi="hi-IN"/>
          </w:rPr>
          <m:t>l=</m:t>
        </m:r>
        <m:nary>
          <m:naryPr>
            <m:chr m:val="∑"/>
            <m:ctrlPr>
              <w:rPr>
                <w:rFonts w:ascii="Cambria Math" w:hAnsi="Cambria Math"/>
                <w:lang w:val="en-GB" w:bidi="hi-IN"/>
              </w:rPr>
            </m:ctrlPr>
          </m:naryPr>
          <m:sub>
            <m:r>
              <w:rPr>
                <w:rFonts w:ascii="Cambria Math" w:hAnsi="Cambria Math"/>
                <w:lang w:val="en-GB" w:bidi="hi-IN"/>
              </w:rPr>
              <m:t>i</m:t>
            </m:r>
            <m:ctrlPr>
              <w:rPr>
                <w:rFonts w:ascii="Cambria Math" w:hAnsi="Cambria Math"/>
                <w:i/>
                <w:lang w:val="en-GB" w:bidi="hi-IN"/>
              </w:rPr>
            </m:ctrlPr>
          </m:sub>
          <m:sup>
            <m:r>
              <w:rPr>
                <w:rFonts w:ascii="Cambria Math" w:hAnsi="Cambria Math"/>
                <w:lang w:val="en-GB" w:bidi="hi-IN"/>
              </w:rPr>
              <m:t>n</m:t>
            </m:r>
            <m:ctrlPr>
              <w:rPr>
                <w:rFonts w:ascii="Cambria Math" w:hAnsi="Cambria Math"/>
                <w:i/>
                <w:lang w:val="en-GB" w:bidi="hi-IN"/>
              </w:rPr>
            </m:ctrlPr>
          </m:sup>
          <m:e>
            <m:nary>
              <m:naryPr>
                <m:supHide m:val="1"/>
                <m:ctrlPr>
                  <w:rPr>
                    <w:rFonts w:ascii="Cambria Math" w:hAnsi="Cambria Math"/>
                    <w:lang w:val="en-GB" w:bidi="hi-IN"/>
                  </w:rPr>
                </m:ctrlPr>
              </m:naryPr>
              <m:sub>
                <m:r>
                  <w:rPr>
                    <w:rFonts w:ascii="Cambria Math" w:hAnsi="Cambria Math"/>
                    <w:lang w:val="en-GB" w:bidi="hi-IN"/>
                  </w:rPr>
                  <m:t>i</m:t>
                </m:r>
                <m:ctrlPr>
                  <w:rPr>
                    <w:rFonts w:ascii="Cambria Math" w:hAnsi="Cambria Math"/>
                    <w:i/>
                    <w:lang w:val="en-GB" w:bidi="hi-IN"/>
                  </w:rPr>
                </m:ctrlPr>
              </m:sub>
              <m:sup>
                <m:ctrlPr>
                  <w:rPr>
                    <w:rFonts w:ascii="Cambria Math" w:hAnsi="Cambria Math"/>
                    <w:i/>
                    <w:lang w:val="en-GB" w:bidi="hi-IN"/>
                  </w:rPr>
                </m:ctrlPr>
              </m:sup>
              <m:e>
                <m:r>
                  <w:rPr>
                    <w:rFonts w:ascii="Cambria Math" w:hAnsi="Cambria Math"/>
                    <w:lang w:val="en-GB" w:bidi="hi-IN"/>
                  </w:rPr>
                  <m:t>ds</m:t>
                </m:r>
                <m:ctrlPr>
                  <w:rPr>
                    <w:rFonts w:ascii="Cambria Math" w:hAnsi="Cambria Math"/>
                    <w:i/>
                    <w:lang w:val="en-GB" w:bidi="hi-IN"/>
                  </w:rPr>
                </m:ctrlPr>
              </m:e>
            </m:nary>
          </m:e>
        </m:nary>
      </m:oMath>
      <w:r w:rsidRPr="00F3767B">
        <w:rPr>
          <w:lang w:val="en-GB" w:bidi="hi-IN"/>
        </w:rPr>
        <w:t xml:space="preserve">, was calculated. The tortuosity for each flow was calculated as </w:t>
      </w:r>
      <m:oMath>
        <m:sSub>
          <m:sSubPr>
            <m:ctrlPr>
              <w:rPr>
                <w:rFonts w:ascii="Cambria Math" w:hAnsi="Cambria Math"/>
                <w:i/>
                <w:lang w:val="en-GB" w:bidi="hi-IN"/>
              </w:rPr>
            </m:ctrlPr>
          </m:sSubPr>
          <m:e>
            <m:r>
              <w:rPr>
                <w:rFonts w:ascii="Cambria Math" w:hAnsi="Cambria Math"/>
                <w:lang w:val="en-GB" w:bidi="hi-IN"/>
              </w:rPr>
              <m:t>l</m:t>
            </m:r>
          </m:e>
          <m:sub>
            <m:r>
              <w:rPr>
                <w:rFonts w:ascii="Cambria Math" w:hAnsi="Cambria Math"/>
                <w:lang w:val="en-GB" w:bidi="hi-IN"/>
              </w:rPr>
              <m:t>s</m:t>
            </m:r>
          </m:sub>
        </m:sSub>
        <m:r>
          <m:rPr>
            <m:lit/>
          </m:rPr>
          <w:rPr>
            <w:rFonts w:ascii="Cambria Math" w:hAnsi="Cambria Math"/>
            <w:lang w:val="en-GB" w:bidi="hi-IN"/>
          </w:rPr>
          <m:t>/</m:t>
        </m:r>
        <m:r>
          <w:rPr>
            <w:rFonts w:ascii="Cambria Math" w:hAnsi="Cambria Math"/>
            <w:lang w:val="en-GB" w:bidi="hi-IN"/>
          </w:rPr>
          <m:t>l</m:t>
        </m:r>
      </m:oMath>
      <w:r w:rsidRPr="00F3767B">
        <w:rPr>
          <w:lang w:val="en-GB" w:bidi="hi-IN"/>
        </w:rPr>
        <w:t xml:space="preserve"> and provided an estimation of the elongation of the flow path through the porous media.</w:t>
      </w:r>
    </w:p>
    <w:p w14:paraId="4FDF75F9" w14:textId="77777777" w:rsidR="00F77E59" w:rsidRPr="00F3767B" w:rsidRDefault="00F77E59" w:rsidP="00A3755B">
      <w:pPr>
        <w:spacing w:before="240" w:after="240" w:line="360" w:lineRule="auto"/>
        <w:jc w:val="both"/>
      </w:pPr>
      <w:r w:rsidRPr="00F3767B">
        <w:rPr>
          <w:b/>
          <w:bCs/>
        </w:rPr>
        <w:t xml:space="preserve">Film simulation method: </w:t>
      </w:r>
      <w:r w:rsidRPr="00F3767B">
        <w:t xml:space="preserve">To estimate the membrane tortuosity, a stochastic pore network model (SPNM) was used.  Stochastic pore network modeling is a popular approach in porous media modeling that uses statistical properties of the void space of a porous medium, such as pore size distribution, pore connectivity and pore density, to generate a network model of its pore structure. The resulting network can then be used to simulate flow and transport in a porous medium and to calculate physical characteristics such as permeability and tortuosity. </w:t>
      </w:r>
    </w:p>
    <w:p w14:paraId="4ABDB64F" w14:textId="30D28D50" w:rsidR="00F77E59" w:rsidRPr="00F3767B" w:rsidRDefault="00F77E59" w:rsidP="00A3755B">
      <w:pPr>
        <w:spacing w:before="240" w:after="240" w:line="360" w:lineRule="auto"/>
        <w:jc w:val="both"/>
      </w:pPr>
      <w:r w:rsidRPr="00F3767B">
        <w:t xml:space="preserve">A typical pore network model consists of pore bodies and pore throats. Pore bodies represent the large pores in the system and pore throats represent the flow path between each pair of pores. The number of pore throats emanating from each pore body is called coordination number. From a graph theory point of view, pore bodies can be thought of as nodes, pore throats as links and coordination numbers as node </w:t>
      </w:r>
      <w:proofErr w:type="gramStart"/>
      <w:r w:rsidRPr="00F3767B">
        <w:t>degrees;</w:t>
      </w:r>
      <w:proofErr w:type="gramEnd"/>
      <w:r w:rsidRPr="00F3767B">
        <w:t xml:space="preserve"> which together form undirected graph. </w:t>
      </w:r>
    </w:p>
    <w:p w14:paraId="6B07E145" w14:textId="5BE136A6" w:rsidR="00F77E59" w:rsidRPr="00F3767B" w:rsidRDefault="00F77E59" w:rsidP="00A3755B">
      <w:pPr>
        <w:spacing w:before="240" w:after="240" w:line="360" w:lineRule="auto"/>
        <w:jc w:val="both"/>
      </w:pPr>
      <w:r w:rsidRPr="00F3767B">
        <w:lastRenderedPageBreak/>
        <w:t xml:space="preserve">The SPNM used in this study is an irregular SPNM, as opposed to the regular SPNM used in </w:t>
      </w:r>
      <w:proofErr w:type="spellStart"/>
      <w:r w:rsidRPr="00F3767B">
        <w:t>Riasi</w:t>
      </w:r>
      <w:proofErr w:type="spellEnd"/>
      <w:r w:rsidRPr="00F3767B">
        <w:t xml:space="preserve">, et al. [18].  Instead of employing a regular cubic grid, the nodes, which represent pore bodies, are distributed randomly within a three-dimensional (3D) domain. Subsequently, the pore throats, or links, are derived through a Delaunay triangulation of the 3D node set. </w:t>
      </w:r>
      <w:r w:rsidR="00503A9E" w:rsidRPr="00F3767B">
        <w:t>[25]</w:t>
      </w:r>
      <w:r w:rsidRPr="00F3767B">
        <w:t xml:space="preserve"> To match the desired coordination number distribution, the excess pore throats are removed at random. Following the creation of the initial pore network model, cylindrical vertical fingers are excavated within the domain by removing nodes that intersect with the finger structure. To enable fluid exchange between the main pore network and the axis of the fingers, radial auxiliary links are introduced connecting the circumferential pores of the fingers to their respective nodes on the axis of the fingers. Since the sole purpose of these auxiliary links is to facilitate transport to and from the fingers, they are assumed to have negligible length (extremely high hydraulic conductivity). </w:t>
      </w:r>
      <w:r w:rsidR="00D55370" w:rsidRPr="00F3767B">
        <w:t xml:space="preserve">Supplementary Fig. </w:t>
      </w:r>
      <w:r w:rsidRPr="00F3767B">
        <w:t>1</w:t>
      </w:r>
      <w:r w:rsidR="00BC6838" w:rsidRPr="00F3767B">
        <w:t>0</w:t>
      </w:r>
      <w:r w:rsidRPr="00F3767B">
        <w:t>a-b shows an example of a sample SPNM with 8 fingers.</w:t>
      </w:r>
    </w:p>
    <w:p w14:paraId="2859F57A" w14:textId="77777777" w:rsidR="00F77E59" w:rsidRPr="00F3767B" w:rsidRDefault="00F77E59" w:rsidP="00A3755B">
      <w:pPr>
        <w:spacing w:before="240" w:after="240" w:line="360" w:lineRule="auto"/>
        <w:jc w:val="both"/>
      </w:pPr>
      <w:r w:rsidRPr="00F3767B">
        <w:t>The statistical properties used in SPNM generation are as follows. Based on the SEM images of the membrane top surface and its cross-section (Figure 3</w:t>
      </w:r>
      <w:proofErr w:type="gramStart"/>
      <w:r w:rsidRPr="00F3767B">
        <w:t>e,i</w:t>
      </w:r>
      <w:proofErr w:type="gramEnd"/>
      <w:r w:rsidRPr="00F3767B">
        <w:t>), it is assumed that, in the absence of fingers, pores are uniformly distributed throughout the membrane with no apparent gradient in pore size and pore density. Segmenting and analyzing the top surface SEM image yielded a normal distribution of 26.9 ± 7.7 nm for the pore diameter, and pore density of 2×10</w:t>
      </w:r>
      <w:r w:rsidRPr="00F3767B">
        <w:rPr>
          <w:vertAlign w:val="superscript"/>
        </w:rPr>
        <w:t>14</w:t>
      </w:r>
      <w:r w:rsidRPr="00F3767B">
        <w:t xml:space="preserve"> pores/m</w:t>
      </w:r>
      <w:r w:rsidRPr="00F3767B">
        <w:rPr>
          <w:vertAlign w:val="superscript"/>
        </w:rPr>
        <w:t>2</w:t>
      </w:r>
      <w:r w:rsidRPr="00F3767B">
        <w:t>.  These values are assumed apply to the entire membrane domain. The cross-sectional image reveals a ~ 100 µm thick membrane with fingers penetrating the membrane up to 9-11 µm from the top surface. Based on this image, it is assumed that the finger diameters follow a uniform distribution of 7.82 ± 1.70 µm (bounded between 6 µm and 11 µm). This study further assumes that all fingers are vertical and do not intersect. In addition to these observations, the average pore coordination number (number of links connected to a pore) is assumed to be ~3.37 (same average value as in our previous study) [26].</w:t>
      </w:r>
    </w:p>
    <w:p w14:paraId="1E2B01E5" w14:textId="77777777" w:rsidR="00F77E59" w:rsidRPr="00F3767B" w:rsidRDefault="00F77E59" w:rsidP="00A3755B">
      <w:pPr>
        <w:spacing w:before="240" w:after="240" w:line="360" w:lineRule="auto"/>
        <w:jc w:val="both"/>
      </w:pPr>
      <w:r w:rsidRPr="00F3767B">
        <w:t xml:space="preserve">Two types of tortuosity measures were studied here: geometric tortuosity and hydraulic tortuosity. Geometric tortuosity, </w:t>
      </w:r>
      <w:r w:rsidRPr="00F3767B">
        <w:sym w:font="Symbol" w:char="F074"/>
      </w:r>
      <w:r w:rsidRPr="00F3767B">
        <w:rPr>
          <w:vertAlign w:val="subscript"/>
        </w:rPr>
        <w:t>g</w:t>
      </w:r>
      <w:r w:rsidRPr="00F3767B">
        <w:t>, is defined as the ratio of the average length of the geometric path (shortest distance), (</w:t>
      </w:r>
      <w:proofErr w:type="spellStart"/>
      <w:r w:rsidRPr="00F3767B">
        <w:t>L</w:t>
      </w:r>
      <w:r w:rsidRPr="00F3767B">
        <w:rPr>
          <w:vertAlign w:val="subscript"/>
        </w:rPr>
        <w:t>path</w:t>
      </w:r>
      <w:proofErr w:type="spellEnd"/>
      <w:r w:rsidRPr="00F3767B">
        <w:t>), between a pore at the top surface of the membrane and the outlet, divided by the depth of the medium (</w:t>
      </w:r>
      <w:proofErr w:type="spellStart"/>
      <w:r w:rsidRPr="00F3767B">
        <w:t>L</w:t>
      </w:r>
      <w:r w:rsidRPr="00F3767B">
        <w:rPr>
          <w:vertAlign w:val="subscript"/>
        </w:rPr>
        <w:t>membrane</w:t>
      </w:r>
      <w:proofErr w:type="spellEnd"/>
      <w:r w:rsidRPr="00F3767B">
        <w:t xml:space="preserve">). Similarly, the hydraulic tortuosity, </w:t>
      </w:r>
      <w:r w:rsidRPr="00F3767B">
        <w:sym w:font="Symbol" w:char="F074"/>
      </w:r>
      <w:r w:rsidRPr="00F3767B">
        <w:rPr>
          <w:vertAlign w:val="subscript"/>
        </w:rPr>
        <w:t>h</w:t>
      </w:r>
      <w:r w:rsidRPr="00F3767B">
        <w:t>, can be defined as the shortest flow path, (</w:t>
      </w:r>
      <w:proofErr w:type="spellStart"/>
      <w:r w:rsidRPr="00F3767B">
        <w:t>L</w:t>
      </w:r>
      <w:r w:rsidRPr="00F3767B">
        <w:rPr>
          <w:vertAlign w:val="subscript"/>
        </w:rPr>
        <w:t>flow</w:t>
      </w:r>
      <w:proofErr w:type="spellEnd"/>
      <w:r w:rsidRPr="00F3767B">
        <w:rPr>
          <w:vertAlign w:val="subscript"/>
        </w:rPr>
        <w:t xml:space="preserve"> path</w:t>
      </w:r>
      <w:r w:rsidRPr="00F3767B">
        <w:t xml:space="preserve">), between a pore at the top surface of the membrane and the outlet, divided by the depth of the medium, </w:t>
      </w:r>
      <w:proofErr w:type="spellStart"/>
      <w:r w:rsidRPr="00F3767B">
        <w:t>L</w:t>
      </w:r>
      <w:r w:rsidRPr="00F3767B">
        <w:rPr>
          <w:vertAlign w:val="subscript"/>
        </w:rPr>
        <w:t>membrane</w:t>
      </w:r>
      <w:proofErr w:type="spellEnd"/>
      <w:r w:rsidRPr="00F3767B">
        <w:t>. [18]</w:t>
      </w:r>
    </w:p>
    <w:p w14:paraId="488F0495" w14:textId="1CF55DB5" w:rsidR="00F77E59" w:rsidRPr="00F3767B" w:rsidRDefault="00F77E59" w:rsidP="00A3755B">
      <w:pPr>
        <w:spacing w:line="360" w:lineRule="auto"/>
        <w:jc w:val="both"/>
      </w:pPr>
      <w:r w:rsidRPr="00F3767B">
        <w:t xml:space="preserve">To measure the geometric tortuosity, 20 pores were randomly chosen from the top surface of the pore network and the shortest distance from each one of these pores to the outlet was calculated. </w:t>
      </w:r>
      <w:r w:rsidRPr="00F3767B">
        <w:lastRenderedPageBreak/>
        <w:t xml:space="preserve">The average of these distances was then divided by the depth of the network model, resulting in the geometric tortuosity value. For the hydraulic tortuosity analysis, the first step involved simulating steady-state incompressible flow within the pore network model of the membrane </w:t>
      </w:r>
      <w:r w:rsidR="00503A9E" w:rsidRPr="00F3767B">
        <w:t>[25]</w:t>
      </w:r>
      <w:r w:rsidRPr="00F3767B">
        <w:t xml:space="preserve">. Then, the flow travel time was calculated for each link in the network by dividing the link length by the flow velocity within that link. By considering the computed travel time and the flow direction within each link, the shortest flow path between the 20 pores on the top surface and the outlet was determined. Finally, the average flow path length was divided by the depth of the network model to derive the hydraulic tortuosity value. </w:t>
      </w:r>
      <w:r w:rsidR="00D55370" w:rsidRPr="00F3767B">
        <w:t xml:space="preserve">Supplementary Fig. </w:t>
      </w:r>
      <w:r w:rsidRPr="00F3767B">
        <w:t>1</w:t>
      </w:r>
      <w:r w:rsidR="00BC6838" w:rsidRPr="00F3767B">
        <w:t>0</w:t>
      </w:r>
      <w:r w:rsidRPr="00F3767B">
        <w:t xml:space="preserve">c shows the calculated geometric and hydraulic tortuosity values for membrane depths ranging from 8 </w:t>
      </w:r>
      <w:proofErr w:type="spellStart"/>
      <w:r w:rsidRPr="00F3767B">
        <w:t>μm</w:t>
      </w:r>
      <w:proofErr w:type="spellEnd"/>
      <w:r w:rsidRPr="00F3767B">
        <w:t xml:space="preserve"> (no fingers) to 100 </w:t>
      </w:r>
      <w:proofErr w:type="spellStart"/>
      <w:r w:rsidRPr="00F3767B">
        <w:t>μm</w:t>
      </w:r>
      <w:proofErr w:type="spellEnd"/>
      <w:r w:rsidRPr="00F3767B">
        <w:t>. As shown in this figure, both geometric and hydraulic tortuosity approach unity as the membrane depth increases.</w:t>
      </w:r>
    </w:p>
    <w:p w14:paraId="72F466FC" w14:textId="092E1958" w:rsidR="00F77E59" w:rsidRPr="00F3767B" w:rsidRDefault="00F77E59" w:rsidP="00A3755B">
      <w:pPr>
        <w:spacing w:line="360" w:lineRule="auto"/>
        <w:jc w:val="both"/>
      </w:pPr>
      <w:r w:rsidRPr="00F3767B">
        <w:br w:type="page"/>
      </w:r>
    </w:p>
    <w:p w14:paraId="481C858B" w14:textId="15D4D579" w:rsidR="00AB1F00" w:rsidRPr="00F3767B" w:rsidRDefault="00DF542A" w:rsidP="00A3755B">
      <w:pPr>
        <w:spacing w:before="240" w:after="240" w:line="360" w:lineRule="auto"/>
        <w:jc w:val="both"/>
        <w:rPr>
          <w:b/>
        </w:rPr>
      </w:pPr>
      <w:r w:rsidRPr="00F3767B">
        <w:rPr>
          <w:b/>
          <w:bCs/>
          <w:lang w:val="en-GB" w:bidi="hi-IN"/>
        </w:rPr>
        <w:lastRenderedPageBreak/>
        <w:t xml:space="preserve">2. </w:t>
      </w:r>
      <w:r w:rsidR="00AB1F00" w:rsidRPr="00F3767B">
        <w:rPr>
          <w:b/>
        </w:rPr>
        <w:t>Supplementa</w:t>
      </w:r>
      <w:r w:rsidR="00F77DDF" w:rsidRPr="00F3767B">
        <w:rPr>
          <w:b/>
        </w:rPr>
        <w:t>ry Discussion</w:t>
      </w:r>
    </w:p>
    <w:p w14:paraId="5EE736D0" w14:textId="7B2B5168" w:rsidR="009315F9" w:rsidRPr="00F3767B" w:rsidRDefault="009315F9" w:rsidP="00A3755B">
      <w:pPr>
        <w:spacing w:line="360" w:lineRule="auto"/>
        <w:jc w:val="both"/>
        <w:rPr>
          <w:b/>
        </w:rPr>
      </w:pPr>
      <w:r w:rsidRPr="00F3767B">
        <w:rPr>
          <w:b/>
        </w:rPr>
        <w:t>Nitrogen sorption experiments and results</w:t>
      </w:r>
      <w:r w:rsidR="004651A8" w:rsidRPr="00F3767B">
        <w:rPr>
          <w:b/>
        </w:rPr>
        <w:t xml:space="preserve">: </w:t>
      </w:r>
      <w:r w:rsidRPr="00F3767B">
        <w:t>To characterize the porosity of the seven supports studied, nitrogen adsorption-desorption measurements were performed and associated pore size distributions derived from BJH analysis (</w:t>
      </w:r>
      <w:r w:rsidR="00D55370" w:rsidRPr="00F3767B">
        <w:t xml:space="preserve">Supplementary Fig. </w:t>
      </w:r>
      <w:r w:rsidR="000C6FEE" w:rsidRPr="00F3767B">
        <w:t>1</w:t>
      </w:r>
      <w:r w:rsidRPr="00F3767B">
        <w:t>) [23]. All isotherms follow type IV(a) behavior according to IUPAC classification, typical for regular mesoporous materials, with variations in the types of hysteresis loops [27]. The single narrow hysteresis loops (likely type H1) of the G</w:t>
      </w:r>
      <w:r w:rsidRPr="00F3767B">
        <w:rPr>
          <w:vertAlign w:val="superscript"/>
        </w:rPr>
        <w:t>A</w:t>
      </w:r>
      <w:r w:rsidRPr="00F3767B">
        <w:t>,</w:t>
      </w:r>
      <w:r w:rsidRPr="00F3767B">
        <w:rPr>
          <w:vertAlign w:val="subscript"/>
        </w:rPr>
        <w:t xml:space="preserve"> </w:t>
      </w:r>
      <w:r w:rsidRPr="00F3767B">
        <w:t>G</w:t>
      </w:r>
      <w:r w:rsidRPr="00F3767B">
        <w:rPr>
          <w:vertAlign w:val="superscript"/>
        </w:rPr>
        <w:t>D</w:t>
      </w:r>
      <w:r w:rsidRPr="00F3767B">
        <w:t>, and TiO</w:t>
      </w:r>
      <w:r w:rsidRPr="00F3767B">
        <w:rPr>
          <w:vertAlign w:val="subscript"/>
        </w:rPr>
        <w:t>2</w:t>
      </w:r>
      <w:r w:rsidRPr="00F3767B">
        <w:t>-Film curves suggest a single pore size population without necking or constrictions. While the G</w:t>
      </w:r>
      <w:r w:rsidRPr="00F3767B">
        <w:rPr>
          <w:vertAlign w:val="superscript"/>
        </w:rPr>
        <w:t>D</w:t>
      </w:r>
      <w:r w:rsidRPr="00F3767B">
        <w:t xml:space="preserve"> and TiO</w:t>
      </w:r>
      <w:r w:rsidRPr="00F3767B">
        <w:rPr>
          <w:vertAlign w:val="subscript"/>
        </w:rPr>
        <w:t>2</w:t>
      </w:r>
      <w:r w:rsidRPr="00F3767B">
        <w:t>-Film curves (</w:t>
      </w:r>
      <w:r w:rsidR="00D55370" w:rsidRPr="00F3767B">
        <w:t xml:space="preserve">Supplementary Fig. </w:t>
      </w:r>
      <w:r w:rsidR="000C6FEE" w:rsidRPr="00F3767B">
        <w:t>1</w:t>
      </w:r>
      <w:r w:rsidRPr="00F3767B">
        <w:t>b,</w:t>
      </w:r>
      <w:r w:rsidR="00FF4A82" w:rsidRPr="00F3767B">
        <w:t xml:space="preserve"> </w:t>
      </w:r>
      <w:r w:rsidRPr="00F3767B">
        <w:t>d,</w:t>
      </w:r>
      <w:r w:rsidR="00FF4A82" w:rsidRPr="00F3767B">
        <w:t xml:space="preserve"> </w:t>
      </w:r>
      <w:r w:rsidRPr="00F3767B">
        <w:t>f) lack the high-pressure plateau typical of H1 hysteresis, the absorption and desorption curves lack the sharp intersection at medium pressure or the wide hysteresis pressure range of alternatives like H3, leaving H1 as the most likely assignment. The sorption curves fail to capture the large size (&gt;&gt;50 nm) of the TiO</w:t>
      </w:r>
      <w:r w:rsidRPr="00F3767B">
        <w:softHyphen/>
      </w:r>
      <w:r w:rsidRPr="00F3767B">
        <w:rPr>
          <w:vertAlign w:val="subscript"/>
        </w:rPr>
        <w:t>2</w:t>
      </w:r>
      <w:r w:rsidRPr="00F3767B">
        <w:t>-Film’s macropores, and instead only capture the relatively uniform mesopores of the top surface and wall structures. The wider hysteresis loop (type H2b) of TiO</w:t>
      </w:r>
      <w:r w:rsidR="00655D49" w:rsidRPr="00F3767B">
        <w:rPr>
          <w:vertAlign w:val="subscript"/>
        </w:rPr>
        <w:t>2</w:t>
      </w:r>
      <w:r w:rsidRPr="00F3767B">
        <w:t>-Hex suggests constriction in the pore necks or blocking of pores over a range of pore widths, which has also been observed in mesoporous silicas following hydrothermal treatment [27]. Variations in access to the hexagonal cylinder pore entrances could slow the desorption of nitrogen gas. Ta</w:t>
      </w:r>
      <w:r w:rsidR="001E24EC" w:rsidRPr="00F3767B">
        <w:rPr>
          <w:vertAlign w:val="subscript"/>
        </w:rPr>
        <w:t>2</w:t>
      </w:r>
      <w:r w:rsidRPr="00F3767B">
        <w:t>O</w:t>
      </w:r>
      <w:r w:rsidR="001E24EC" w:rsidRPr="00F3767B">
        <w:rPr>
          <w:vertAlign w:val="subscript"/>
        </w:rPr>
        <w:t>5</w:t>
      </w:r>
      <w:r w:rsidRPr="00F3767B">
        <w:t>-Hex shows a narrow hysteresis, which closes at a lower P/P</w:t>
      </w:r>
      <w:r w:rsidRPr="00F3767B">
        <w:rPr>
          <w:vertAlign w:val="subscript"/>
        </w:rPr>
        <w:t>o</w:t>
      </w:r>
      <w:r w:rsidRPr="00F3767B">
        <w:rPr>
          <w:vertAlign w:val="superscript"/>
        </w:rPr>
        <w:t xml:space="preserve"> </w:t>
      </w:r>
      <w:r w:rsidRPr="00F3767B">
        <w:t>compared to the other isotherms and lacks a saturation plateau at P/P</w:t>
      </w:r>
      <w:r w:rsidRPr="00F3767B">
        <w:rPr>
          <w:vertAlign w:val="subscript"/>
        </w:rPr>
        <w:t>o</w:t>
      </w:r>
      <w:r w:rsidRPr="00F3767B">
        <w:t>=1. This hysteresis is believed to exhibit H4 behavior at 0.45 &lt; P/P</w:t>
      </w:r>
      <w:r w:rsidRPr="00F3767B">
        <w:rPr>
          <w:vertAlign w:val="subscript"/>
        </w:rPr>
        <w:t>o</w:t>
      </w:r>
      <w:r w:rsidRPr="00F3767B">
        <w:t xml:space="preserve"> &lt; 0.85, while at higher pressures it exhibits H3 behavior. This compound hysteresis loop could be due to morphological imperfections, such as grain boundaries, resulting in slit-like rather than the dominant cylindrical pores, contributing to an H3 hysteresis [28].</w:t>
      </w:r>
    </w:p>
    <w:p w14:paraId="0BA36F21" w14:textId="47DF0A67" w:rsidR="009315F9" w:rsidRPr="00F3767B" w:rsidRDefault="009315F9" w:rsidP="00A3755B">
      <w:pPr>
        <w:spacing w:before="240" w:after="240" w:line="360" w:lineRule="auto"/>
        <w:jc w:val="both"/>
        <w:rPr>
          <w:b/>
        </w:rPr>
      </w:pPr>
      <w:r w:rsidRPr="00F3767B">
        <w:t xml:space="preserve">Pore volume was larger in gyroid structures as compared to hexagonal structures of the same oxides (Table 1). The measured pore volumes are consistent with the expected structures formed from BCP-SA, with the </w:t>
      </w:r>
      <w:proofErr w:type="spellStart"/>
      <w:r w:rsidRPr="00F3767B">
        <w:t>O-block+oxide</w:t>
      </w:r>
      <w:proofErr w:type="spellEnd"/>
      <w:r w:rsidRPr="00F3767B">
        <w:t xml:space="preserve"> minority network of the G</w:t>
      </w:r>
      <w:r w:rsidRPr="00F3767B">
        <w:rPr>
          <w:vertAlign w:val="superscript"/>
        </w:rPr>
        <w:t>A</w:t>
      </w:r>
      <w:r w:rsidRPr="00F3767B">
        <w:t xml:space="preserve"> structure only occupying ~15 vol% of the hybrid material, while occupying &gt;50 vol% in the case of the G</w:t>
      </w:r>
      <w:r w:rsidRPr="00F3767B">
        <w:rPr>
          <w:vertAlign w:val="superscript"/>
        </w:rPr>
        <w:t>D</w:t>
      </w:r>
      <w:r w:rsidRPr="00F3767B">
        <w:t xml:space="preserve"> and Hex structures (majority components). This results in the highest pore volume associated with the TiO</w:t>
      </w:r>
      <w:r w:rsidRPr="00F3767B">
        <w:rPr>
          <w:vertAlign w:val="subscript"/>
        </w:rPr>
        <w:t>2</w:t>
      </w:r>
      <w:r w:rsidRPr="00F3767B">
        <w:t>-G</w:t>
      </w:r>
      <w:r w:rsidRPr="00F3767B">
        <w:rPr>
          <w:vertAlign w:val="superscript"/>
        </w:rPr>
        <w:t>A</w:t>
      </w:r>
      <w:r w:rsidRPr="00F3767B">
        <w:t xml:space="preserve"> structure. BET derived surface areas follow the same trend, with the highest surface area of 123.8 m</w:t>
      </w:r>
      <w:r w:rsidRPr="00F3767B">
        <w:rPr>
          <w:vertAlign w:val="superscript"/>
        </w:rPr>
        <w:t>2</w:t>
      </w:r>
      <w:r w:rsidRPr="00F3767B">
        <w:t>/g associated with sample TiO</w:t>
      </w:r>
      <w:r w:rsidRPr="00F3767B">
        <w:rPr>
          <w:vertAlign w:val="subscript"/>
        </w:rPr>
        <w:t>2</w:t>
      </w:r>
      <w:r w:rsidRPr="00F3767B">
        <w:t>-G</w:t>
      </w:r>
      <w:r w:rsidRPr="00F3767B">
        <w:rPr>
          <w:vertAlign w:val="superscript"/>
        </w:rPr>
        <w:t>A</w:t>
      </w:r>
      <w:r w:rsidRPr="00F3767B">
        <w:t>, and the lowest of 11.7 m</w:t>
      </w:r>
      <w:r w:rsidRPr="00F3767B">
        <w:rPr>
          <w:vertAlign w:val="superscript"/>
        </w:rPr>
        <w:t>2</w:t>
      </w:r>
      <w:r w:rsidRPr="00F3767B">
        <w:t>/g associated with sample Ta</w:t>
      </w:r>
      <w:r w:rsidRPr="00F3767B">
        <w:rPr>
          <w:vertAlign w:val="subscript"/>
        </w:rPr>
        <w:t>2</w:t>
      </w:r>
      <w:r w:rsidRPr="00F3767B">
        <w:t>O</w:t>
      </w:r>
      <w:r w:rsidRPr="00F3767B">
        <w:rPr>
          <w:vertAlign w:val="subscript"/>
        </w:rPr>
        <w:t>5</w:t>
      </w:r>
      <w:r w:rsidRPr="00F3767B">
        <w:t>-Hex. Nitrogen sorption experiments do not capture the complete porosity of the TiO</w:t>
      </w:r>
      <w:r w:rsidRPr="00F3767B">
        <w:rPr>
          <w:vertAlign w:val="subscript"/>
        </w:rPr>
        <w:t>2</w:t>
      </w:r>
      <w:r w:rsidRPr="00F3767B">
        <w:t xml:space="preserve"> film and its 20-30 µm macropores, although the contribution to surface area from macropores is expected to be small. Based on the mass and dimensions of the measured TiO</w:t>
      </w:r>
      <w:r w:rsidRPr="00F3767B">
        <w:rPr>
          <w:vertAlign w:val="subscript"/>
        </w:rPr>
        <w:t>2</w:t>
      </w:r>
      <w:r w:rsidRPr="00F3767B">
        <w:t xml:space="preserve"> film catalyst (</w:t>
      </w:r>
      <w:r w:rsidR="00D55370" w:rsidRPr="00F3767B">
        <w:t xml:space="preserve">Supplementary Fig. </w:t>
      </w:r>
      <w:r w:rsidR="003D72CD" w:rsidRPr="00F3767B">
        <w:t>5</w:t>
      </w:r>
      <w:r w:rsidRPr="00F3767B">
        <w:t>), the density of the film is approximately 0.3 g/cm</w:t>
      </w:r>
      <w:r w:rsidRPr="00F3767B">
        <w:rPr>
          <w:vertAlign w:val="superscript"/>
        </w:rPr>
        <w:t>3</w:t>
      </w:r>
      <w:r w:rsidRPr="00F3767B">
        <w:t>, corresponding to a porosity of 93%. All results of the quantitative sorption/desorption analyses are summarized in Table 1.</w:t>
      </w:r>
    </w:p>
    <w:p w14:paraId="75607AF7" w14:textId="04142E9A" w:rsidR="00AB1F00" w:rsidRPr="00F3767B" w:rsidRDefault="00AB1F00" w:rsidP="00A3755B">
      <w:pPr>
        <w:spacing w:line="360" w:lineRule="auto"/>
        <w:jc w:val="both"/>
        <w:rPr>
          <w:rFonts w:eastAsia="Arial Unicode MS"/>
          <w:lang w:val="en-US"/>
        </w:rPr>
      </w:pPr>
      <w:r w:rsidRPr="00F3767B">
        <w:rPr>
          <w:b/>
        </w:rPr>
        <w:lastRenderedPageBreak/>
        <w:t>DRM product ratio and side-reaction</w:t>
      </w:r>
      <w:r w:rsidR="009315F9" w:rsidRPr="00F3767B">
        <w:rPr>
          <w:b/>
        </w:rPr>
        <w:t>s</w:t>
      </w:r>
      <w:r w:rsidR="004651A8" w:rsidRPr="00F3767B">
        <w:rPr>
          <w:b/>
        </w:rPr>
        <w:t xml:space="preserve">: </w:t>
      </w:r>
      <w:r w:rsidRPr="00F3767B">
        <w:rPr>
          <w:rFonts w:eastAsia="Arial Unicode MS"/>
          <w:lang w:val="en-US"/>
        </w:rPr>
        <w:t>Under 1%/1% CH</w:t>
      </w:r>
      <w:r w:rsidRPr="00F3767B">
        <w:rPr>
          <w:rFonts w:eastAsia="Arial Unicode MS"/>
          <w:vertAlign w:val="subscript"/>
          <w:lang w:val="en-US"/>
        </w:rPr>
        <w:t>4</w:t>
      </w:r>
      <w:r w:rsidRPr="00F3767B">
        <w:rPr>
          <w:rFonts w:eastAsia="Arial Unicode MS"/>
          <w:lang w:val="en-US"/>
        </w:rPr>
        <w:t>/CO</w:t>
      </w:r>
      <w:r w:rsidRPr="00F3767B">
        <w:rPr>
          <w:rFonts w:eastAsia="Arial Unicode MS"/>
          <w:vertAlign w:val="subscript"/>
          <w:lang w:val="en-US"/>
        </w:rPr>
        <w:t>2</w:t>
      </w:r>
      <w:r w:rsidRPr="00F3767B">
        <w:rPr>
          <w:rFonts w:eastAsia="Arial Unicode MS"/>
          <w:lang w:val="en-US"/>
        </w:rPr>
        <w:t xml:space="preserve"> flow, all catalyst materials exhibit a CO/H</w:t>
      </w:r>
      <w:r w:rsidRPr="00F3767B">
        <w:rPr>
          <w:rFonts w:eastAsia="Arial Unicode MS"/>
          <w:vertAlign w:val="subscript"/>
          <w:lang w:val="en-US"/>
        </w:rPr>
        <w:t>2</w:t>
      </w:r>
      <w:r w:rsidRPr="00F3767B">
        <w:rPr>
          <w:rFonts w:eastAsia="Arial Unicode MS"/>
          <w:lang w:val="en-US"/>
        </w:rPr>
        <w:t xml:space="preserve"> ratio between 0.65 and 0.9. In high-temperature DRM literature, an excess of H</w:t>
      </w:r>
      <w:r w:rsidRPr="00F3767B">
        <w:rPr>
          <w:rFonts w:eastAsia="Arial Unicode MS"/>
          <w:vertAlign w:val="subscript"/>
          <w:lang w:val="en-US"/>
        </w:rPr>
        <w:t>2</w:t>
      </w:r>
      <w:r w:rsidRPr="00F3767B">
        <w:rPr>
          <w:rFonts w:eastAsia="Arial Unicode MS"/>
          <w:lang w:val="en-US"/>
        </w:rPr>
        <w:t xml:space="preserve"> in the product stream had been ascribed to either methane decomposition (CH</w:t>
      </w:r>
      <w:r w:rsidRPr="00F3767B">
        <w:rPr>
          <w:rFonts w:eastAsia="Arial Unicode MS"/>
          <w:vertAlign w:val="subscript"/>
          <w:lang w:val="en-US"/>
        </w:rPr>
        <w:t>4</w:t>
      </w:r>
      <w:r w:rsidRPr="00F3767B">
        <w:rPr>
          <w:rFonts w:eastAsia="Arial Unicode MS"/>
          <w:lang w:val="en-US"/>
        </w:rPr>
        <w:t xml:space="preserve"> </w:t>
      </w:r>
      <w:r w:rsidRPr="00F3767B">
        <w:rPr>
          <w:rFonts w:eastAsia="Arial Unicode MS"/>
        </w:rPr>
        <w:sym w:font="Symbol" w:char="F0AE"/>
      </w:r>
      <w:r w:rsidRPr="00F3767B">
        <w:rPr>
          <w:rFonts w:eastAsia="Arial Unicode MS"/>
        </w:rPr>
        <w:t xml:space="preserve"> C + 2H</w:t>
      </w:r>
      <w:r w:rsidRPr="00F3767B">
        <w:rPr>
          <w:rFonts w:eastAsia="Arial Unicode MS"/>
          <w:vertAlign w:val="subscript"/>
        </w:rPr>
        <w:t>2</w:t>
      </w:r>
      <w:r w:rsidRPr="00F3767B">
        <w:rPr>
          <w:rFonts w:eastAsia="Arial Unicode MS"/>
        </w:rPr>
        <w:t xml:space="preserve"> ΔH = +75 kJ/mol) or steam reforming (</w:t>
      </w:r>
      <w:r w:rsidRPr="00F3767B">
        <w:rPr>
          <w:rFonts w:eastAsia="Arial Unicode MS"/>
          <w:lang w:val="en-US"/>
        </w:rPr>
        <w:t>CH</w:t>
      </w:r>
      <w:r w:rsidRPr="00F3767B">
        <w:rPr>
          <w:rFonts w:eastAsia="Arial Unicode MS"/>
          <w:vertAlign w:val="subscript"/>
          <w:lang w:val="en-US"/>
        </w:rPr>
        <w:t>4</w:t>
      </w:r>
      <w:r w:rsidRPr="00F3767B">
        <w:rPr>
          <w:rFonts w:eastAsia="Arial Unicode MS"/>
          <w:lang w:val="en-US"/>
        </w:rPr>
        <w:t xml:space="preserve"> + H</w:t>
      </w:r>
      <w:r w:rsidRPr="00F3767B">
        <w:rPr>
          <w:rFonts w:eastAsia="Arial Unicode MS"/>
          <w:vertAlign w:val="subscript"/>
          <w:lang w:val="en-US"/>
        </w:rPr>
        <w:t>2</w:t>
      </w:r>
      <w:r w:rsidRPr="00F3767B">
        <w:rPr>
          <w:rFonts w:eastAsia="Arial Unicode MS"/>
          <w:lang w:val="en-US"/>
        </w:rPr>
        <w:t xml:space="preserve">O </w:t>
      </w:r>
      <w:r w:rsidRPr="00F3767B">
        <w:rPr>
          <w:rFonts w:eastAsia="Arial Unicode MS"/>
        </w:rPr>
        <w:sym w:font="Symbol" w:char="F0AE"/>
      </w:r>
      <w:r w:rsidRPr="00F3767B">
        <w:rPr>
          <w:rFonts w:eastAsia="Arial Unicode MS"/>
        </w:rPr>
        <w:t xml:space="preserve"> 3H</w:t>
      </w:r>
      <w:r w:rsidRPr="00F3767B">
        <w:rPr>
          <w:rFonts w:eastAsia="Arial Unicode MS"/>
          <w:vertAlign w:val="subscript"/>
        </w:rPr>
        <w:t xml:space="preserve">2 </w:t>
      </w:r>
      <w:r w:rsidRPr="00F3767B">
        <w:rPr>
          <w:rFonts w:eastAsia="Arial Unicode MS"/>
        </w:rPr>
        <w:t xml:space="preserve">+ CO ΔH = +206 kJ/mol) </w:t>
      </w:r>
      <w:r w:rsidR="00503A9E" w:rsidRPr="00F3767B">
        <w:rPr>
          <w:rFonts w:eastAsia="Arial Unicode MS"/>
        </w:rPr>
        <w:t>[29]</w:t>
      </w:r>
      <w:r w:rsidRPr="00F3767B">
        <w:rPr>
          <w:rFonts w:eastAsia="Arial Unicode MS"/>
        </w:rPr>
        <w:t>. Water may be present in small amounts on the surface of the mesoporous materials, since these catalysts undergo no pre-heating or vacuum treatment before testing. Since little carbon accumulation is measured in any materials (</w:t>
      </w:r>
      <w:r w:rsidR="00D55370" w:rsidRPr="00F3767B">
        <w:rPr>
          <w:rFonts w:eastAsia="Arial Unicode MS"/>
        </w:rPr>
        <w:t xml:space="preserve">Supplementary Table </w:t>
      </w:r>
      <w:r w:rsidR="00BC690D" w:rsidRPr="00F3767B">
        <w:rPr>
          <w:rFonts w:eastAsia="Arial Unicode MS"/>
        </w:rPr>
        <w:t>2</w:t>
      </w:r>
      <w:r w:rsidRPr="00F3767B">
        <w:rPr>
          <w:rFonts w:eastAsia="Arial Unicode MS"/>
        </w:rPr>
        <w:t>), any carbon accumulated via methane decomposition may eventually be released as CO by reacting with lattice oxygen, or via carbon gasification by water (C + H</w:t>
      </w:r>
      <w:r w:rsidRPr="00F3767B">
        <w:rPr>
          <w:rFonts w:eastAsia="Arial Unicode MS"/>
          <w:vertAlign w:val="subscript"/>
        </w:rPr>
        <w:t>2</w:t>
      </w:r>
      <w:r w:rsidRPr="00F3767B">
        <w:rPr>
          <w:rFonts w:eastAsia="Arial Unicode MS"/>
        </w:rPr>
        <w:t xml:space="preserve">O </w:t>
      </w:r>
      <w:r w:rsidRPr="00F3767B">
        <w:rPr>
          <w:rFonts w:eastAsia="Arial Unicode MS"/>
        </w:rPr>
        <w:sym w:font="Symbol" w:char="F0AE"/>
      </w:r>
      <w:r w:rsidRPr="00F3767B">
        <w:rPr>
          <w:rFonts w:eastAsia="Arial Unicode MS"/>
        </w:rPr>
        <w:t xml:space="preserve"> H</w:t>
      </w:r>
      <w:r w:rsidRPr="00F3767B">
        <w:rPr>
          <w:rFonts w:eastAsia="Arial Unicode MS"/>
          <w:vertAlign w:val="subscript"/>
        </w:rPr>
        <w:t>2</w:t>
      </w:r>
      <w:r w:rsidRPr="00F3767B">
        <w:rPr>
          <w:rFonts w:eastAsia="Arial Unicode MS"/>
        </w:rPr>
        <w:t xml:space="preserve"> + CO ΔH = +131 kJ/mol) </w:t>
      </w:r>
      <w:r w:rsidR="00503A9E" w:rsidRPr="00F3767B">
        <w:rPr>
          <w:rFonts w:eastAsia="Arial Unicode MS"/>
        </w:rPr>
        <w:t>[29]</w:t>
      </w:r>
      <w:r w:rsidRPr="00F3767B">
        <w:rPr>
          <w:rFonts w:eastAsia="Arial Unicode MS"/>
        </w:rPr>
        <w:t>. In addition to water,</w:t>
      </w:r>
      <w:r w:rsidRPr="00F3767B">
        <w:t xml:space="preserve"> the lattice oxygen in semiconductor oxides could play a role. Previous studies have reported the generation of isotopic carbon monoxide in strontium titanate with isotopically labeled lattice oxygen and subsequently conducting DRM</w:t>
      </w:r>
      <w:r w:rsidRPr="00F3767B">
        <w:rPr>
          <w:rFonts w:eastAsia="Arial Unicode MS"/>
        </w:rPr>
        <w:t xml:space="preserve"> [14]</w:t>
      </w:r>
      <w:r w:rsidRPr="00F3767B">
        <w:t>. This suggests that lattice oxygen plays a role in the photocatalytic DRM process by reacting with CH</w:t>
      </w:r>
      <w:r w:rsidRPr="00F3767B">
        <w:rPr>
          <w:vertAlign w:val="subscript"/>
        </w:rPr>
        <w:t>4</w:t>
      </w:r>
      <w:r w:rsidRPr="00F3767B">
        <w:t xml:space="preserve"> to produce CO and H</w:t>
      </w:r>
      <w:r w:rsidRPr="00F3767B">
        <w:rPr>
          <w:vertAlign w:val="subscript"/>
        </w:rPr>
        <w:t>2</w:t>
      </w:r>
      <w:r w:rsidRPr="00F3767B">
        <w:t xml:space="preserve">. </w:t>
      </w:r>
      <w:r w:rsidRPr="00F3767B">
        <w:rPr>
          <w:color w:val="000000" w:themeColor="text1"/>
        </w:rPr>
        <w:t>Under steady-state conditions, this reaction is akin to the partial oxidation of methane by lattice oxygen (CH</w:t>
      </w:r>
      <w:r w:rsidRPr="00F3767B">
        <w:rPr>
          <w:color w:val="000000" w:themeColor="text1"/>
          <w:vertAlign w:val="subscript"/>
        </w:rPr>
        <w:t>4</w:t>
      </w:r>
      <w:r w:rsidRPr="00F3767B">
        <w:rPr>
          <w:color w:val="000000" w:themeColor="text1"/>
        </w:rPr>
        <w:t xml:space="preserve"> + </w:t>
      </w:r>
      <w:proofErr w:type="spellStart"/>
      <w:r w:rsidRPr="00F3767B">
        <w:rPr>
          <w:color w:val="000000" w:themeColor="text1"/>
        </w:rPr>
        <w:t>O</w:t>
      </w:r>
      <w:r w:rsidRPr="00F3767B">
        <w:rPr>
          <w:color w:val="000000" w:themeColor="text1"/>
          <w:vertAlign w:val="subscript"/>
        </w:rPr>
        <w:t>lattice</w:t>
      </w:r>
      <w:proofErr w:type="spellEnd"/>
      <w:r w:rsidRPr="00F3767B">
        <w:rPr>
          <w:color w:val="000000" w:themeColor="text1"/>
        </w:rPr>
        <w:t xml:space="preserve"> </w:t>
      </w:r>
      <w:r w:rsidRPr="00F3767B">
        <w:rPr>
          <w:rFonts w:eastAsia="Arial Unicode MS"/>
          <w:color w:val="000000" w:themeColor="text1"/>
        </w:rPr>
        <w:sym w:font="Symbol" w:char="F0AE"/>
      </w:r>
      <w:r w:rsidRPr="00F3767B">
        <w:rPr>
          <w:color w:val="000000" w:themeColor="text1"/>
        </w:rPr>
        <w:t xml:space="preserve"> CO + 2H</w:t>
      </w:r>
      <w:r w:rsidRPr="00F3767B">
        <w:rPr>
          <w:color w:val="000000" w:themeColor="text1"/>
          <w:vertAlign w:val="subscript"/>
        </w:rPr>
        <w:t>2</w:t>
      </w:r>
      <w:r w:rsidRPr="00F3767B">
        <w:rPr>
          <w:color w:val="000000" w:themeColor="text1"/>
        </w:rPr>
        <w:t>), where the oxygen consumption is balanced by the lattice oxygen generation via CO</w:t>
      </w:r>
      <w:r w:rsidRPr="00F3767B">
        <w:rPr>
          <w:color w:val="000000" w:themeColor="text1"/>
          <w:vertAlign w:val="subscript"/>
        </w:rPr>
        <w:t>2</w:t>
      </w:r>
      <w:r w:rsidRPr="00F3767B">
        <w:rPr>
          <w:color w:val="000000" w:themeColor="text1"/>
        </w:rPr>
        <w:t xml:space="preserve"> or CO dissociation. This creates a state of dynamic equilibrium between the consumption and generation rates; however,</w:t>
      </w:r>
      <w:r w:rsidRPr="00F3767B">
        <w:rPr>
          <w:color w:val="000000" w:themeColor="text1"/>
          <w:shd w:val="clear" w:color="auto" w:fill="F7F7F8"/>
        </w:rPr>
        <w:t xml:space="preserve"> </w:t>
      </w:r>
      <w:r w:rsidRPr="00F3767B">
        <w:rPr>
          <w:color w:val="000000" w:themeColor="text1"/>
        </w:rPr>
        <w:t>on the way to this steady state, a significant amount of lattice oxygen could be utilized early on (as the oxygen vacancy concentration at steady state may be higher than the starting material, making the oxygen vacancy creation appearing net positive at the onset of the experiment.) In such cases, the reaction would be lopsided to the partial oxidation of methane by lattice oxygen to produce excess hydrogen.</w:t>
      </w:r>
      <w:r w:rsidRPr="00F3767B">
        <w:rPr>
          <w:rFonts w:eastAsia="Arial Unicode MS"/>
          <w:color w:val="000000" w:themeColor="text1"/>
          <w:lang w:val="en-US"/>
        </w:rPr>
        <w:t xml:space="preserve"> </w:t>
      </w:r>
      <w:r w:rsidRPr="00F3767B">
        <w:rPr>
          <w:rFonts w:eastAsia="Arial Unicode MS"/>
        </w:rPr>
        <w:t xml:space="preserve">Further studies to disentangle side reactions within photocatalytic DRM is required to understand the competition between side-reactions to determine the origin of the observed stoichiometry ratio. </w:t>
      </w:r>
    </w:p>
    <w:p w14:paraId="115A53FD" w14:textId="77777777" w:rsidR="00AB1F00" w:rsidRPr="00F3767B" w:rsidRDefault="00AB1F00" w:rsidP="00A3755B">
      <w:pPr>
        <w:spacing w:before="240" w:after="240" w:line="360" w:lineRule="auto"/>
        <w:jc w:val="both"/>
        <w:rPr>
          <w:rFonts w:eastAsia="Arial Unicode MS"/>
        </w:rPr>
      </w:pPr>
      <w:r w:rsidRPr="00F3767B">
        <w:rPr>
          <w:rFonts w:eastAsia="Arial Unicode MS"/>
        </w:rPr>
        <w:t>Under a flow of 10%/10% CH</w:t>
      </w:r>
      <w:r w:rsidRPr="00F3767B">
        <w:rPr>
          <w:rFonts w:eastAsia="Arial Unicode MS"/>
          <w:vertAlign w:val="subscript"/>
        </w:rPr>
        <w:t>4</w:t>
      </w:r>
      <w:r w:rsidRPr="00F3767B">
        <w:rPr>
          <w:rFonts w:eastAsia="Arial Unicode MS"/>
        </w:rPr>
        <w:t>/CO</w:t>
      </w:r>
      <w:r w:rsidRPr="00F3767B">
        <w:rPr>
          <w:rFonts w:eastAsia="Arial Unicode MS"/>
          <w:vertAlign w:val="subscript"/>
        </w:rPr>
        <w:t>2</w:t>
      </w:r>
      <w:r w:rsidRPr="00F3767B">
        <w:rPr>
          <w:rFonts w:eastAsia="Arial Unicode MS"/>
        </w:rPr>
        <w:t xml:space="preserve"> the CO/H</w:t>
      </w:r>
      <w:r w:rsidRPr="00F3767B">
        <w:rPr>
          <w:rFonts w:eastAsia="Arial Unicode MS"/>
          <w:vertAlign w:val="subscript"/>
        </w:rPr>
        <w:t>2</w:t>
      </w:r>
      <w:r w:rsidRPr="00F3767B">
        <w:rPr>
          <w:rFonts w:eastAsia="Arial Unicode MS"/>
        </w:rPr>
        <w:t xml:space="preserve"> ratio is universally greater than 1, with TiO</w:t>
      </w:r>
      <w:r w:rsidRPr="00F3767B">
        <w:rPr>
          <w:rFonts w:eastAsia="Arial Unicode MS"/>
        </w:rPr>
        <w:softHyphen/>
      </w:r>
      <w:r w:rsidRPr="00F3767B">
        <w:rPr>
          <w:rFonts w:eastAsia="Arial Unicode MS"/>
          <w:vertAlign w:val="subscript"/>
        </w:rPr>
        <w:t>2</w:t>
      </w:r>
      <w:r w:rsidRPr="00F3767B">
        <w:rPr>
          <w:rFonts w:eastAsia="Arial Unicode MS"/>
        </w:rPr>
        <w:t xml:space="preserve"> materials diverging with increasing flow rate. In this regime, because the feed gas contains a significantly larger amount of oxygen via CO</w:t>
      </w:r>
      <w:r w:rsidRPr="00F3767B">
        <w:rPr>
          <w:rFonts w:eastAsia="Arial Unicode MS"/>
          <w:vertAlign w:val="subscript"/>
        </w:rPr>
        <w:t>2</w:t>
      </w:r>
      <w:r w:rsidRPr="00F3767B">
        <w:rPr>
          <w:rFonts w:eastAsia="Arial Unicode MS"/>
        </w:rPr>
        <w:t>, the situation is reversed from the 1%/1% case that is oxygen starved. Notably, the rich CO</w:t>
      </w:r>
      <w:r w:rsidRPr="00F3767B">
        <w:rPr>
          <w:rFonts w:eastAsia="Arial Unicode MS"/>
          <w:vertAlign w:val="subscript"/>
        </w:rPr>
        <w:t>2</w:t>
      </w:r>
      <w:r w:rsidRPr="00F3767B">
        <w:rPr>
          <w:rFonts w:eastAsia="Arial Unicode MS"/>
        </w:rPr>
        <w:t xml:space="preserve"> concentration becomes a source of oxygen to facilitate CO production via side-reactions like the Sabatier reaction</w:t>
      </w:r>
      <w:r w:rsidRPr="00F3767B">
        <w:rPr>
          <w:rFonts w:ascii="Cambria Math" w:eastAsia="Arial Unicode MS" w:hAnsi="Cambria Math" w:cs="Cambria Math"/>
        </w:rPr>
        <w:t xml:space="preserve"> </w:t>
      </w:r>
      <w:r w:rsidRPr="00F3767B">
        <w:rPr>
          <w:rFonts w:eastAsia="Arial Unicode MS"/>
        </w:rPr>
        <w:t>(Sabatier: CO</w:t>
      </w:r>
      <w:r w:rsidRPr="00F3767B">
        <w:rPr>
          <w:rFonts w:eastAsia="Arial Unicode MS"/>
          <w:vertAlign w:val="subscript"/>
        </w:rPr>
        <w:t>2</w:t>
      </w:r>
      <w:r w:rsidRPr="00F3767B">
        <w:rPr>
          <w:rFonts w:eastAsia="Arial Unicode MS"/>
        </w:rPr>
        <w:t xml:space="preserve"> + 4H</w:t>
      </w:r>
      <w:r w:rsidRPr="00F3767B">
        <w:rPr>
          <w:rFonts w:eastAsia="Arial Unicode MS"/>
          <w:vertAlign w:val="subscript"/>
        </w:rPr>
        <w:t>2</w:t>
      </w:r>
      <w:r w:rsidRPr="00F3767B">
        <w:rPr>
          <w:rFonts w:eastAsia="Arial Unicode MS"/>
        </w:rPr>
        <w:t xml:space="preserve"> </w:t>
      </w:r>
      <w:r w:rsidRPr="00F3767B">
        <w:rPr>
          <w:rFonts w:eastAsia="Arial Unicode MS"/>
        </w:rPr>
        <w:sym w:font="Symbol" w:char="F0AE"/>
      </w:r>
      <w:r w:rsidRPr="00F3767B">
        <w:rPr>
          <w:rFonts w:eastAsia="Arial Unicode MS"/>
        </w:rPr>
        <w:t xml:space="preserve"> CH</w:t>
      </w:r>
      <w:r w:rsidRPr="00F3767B">
        <w:rPr>
          <w:rFonts w:eastAsia="Arial Unicode MS"/>
          <w:vertAlign w:val="subscript"/>
        </w:rPr>
        <w:t>4</w:t>
      </w:r>
      <w:r w:rsidRPr="00F3767B">
        <w:rPr>
          <w:rFonts w:eastAsia="Arial Unicode MS"/>
        </w:rPr>
        <w:t xml:space="preserve"> + 2H</w:t>
      </w:r>
      <w:r w:rsidRPr="00F3767B">
        <w:rPr>
          <w:rFonts w:eastAsia="Arial Unicode MS"/>
          <w:vertAlign w:val="subscript"/>
        </w:rPr>
        <w:t>2</w:t>
      </w:r>
      <w:r w:rsidRPr="00F3767B">
        <w:rPr>
          <w:rFonts w:eastAsia="Arial Unicode MS"/>
        </w:rPr>
        <w:t>O ΔH = -165kJ/mol) or reverse water-gas-shift (</w:t>
      </w:r>
      <w:proofErr w:type="spellStart"/>
      <w:r w:rsidRPr="00F3767B">
        <w:rPr>
          <w:rFonts w:eastAsia="Arial Unicode MS"/>
        </w:rPr>
        <w:t>rWGS</w:t>
      </w:r>
      <w:proofErr w:type="spellEnd"/>
      <w:r w:rsidRPr="00F3767B">
        <w:rPr>
          <w:rFonts w:eastAsia="Arial Unicode MS"/>
        </w:rPr>
        <w:t>: CO</w:t>
      </w:r>
      <w:r w:rsidRPr="00F3767B">
        <w:rPr>
          <w:rFonts w:ascii="Cambria Math" w:eastAsia="Arial Unicode MS" w:hAnsi="Cambria Math" w:cs="Cambria Math"/>
        </w:rPr>
        <w:t>₂</w:t>
      </w:r>
      <w:r w:rsidRPr="00F3767B">
        <w:rPr>
          <w:rFonts w:eastAsia="Arial Unicode MS"/>
        </w:rPr>
        <w:t xml:space="preserve"> + H</w:t>
      </w:r>
      <w:r w:rsidRPr="00F3767B">
        <w:rPr>
          <w:rFonts w:ascii="Cambria Math" w:eastAsia="Arial Unicode MS" w:hAnsi="Cambria Math" w:cs="Cambria Math"/>
        </w:rPr>
        <w:t>₂</w:t>
      </w:r>
      <w:r w:rsidRPr="00F3767B">
        <w:rPr>
          <w:rFonts w:eastAsia="Arial Unicode MS"/>
        </w:rPr>
        <w:t xml:space="preserve"> </w:t>
      </w:r>
      <w:r w:rsidRPr="00F3767B">
        <w:rPr>
          <w:rFonts w:eastAsia="Arial Unicode MS"/>
        </w:rPr>
        <w:sym w:font="Symbol" w:char="F0AE"/>
      </w:r>
      <w:r w:rsidRPr="00F3767B">
        <w:rPr>
          <w:rFonts w:eastAsia="Arial Unicode MS"/>
        </w:rPr>
        <w:t xml:space="preserve"> CO + H</w:t>
      </w:r>
      <w:r w:rsidRPr="00F3767B">
        <w:rPr>
          <w:rFonts w:ascii="Cambria Math" w:eastAsia="Arial Unicode MS" w:hAnsi="Cambria Math" w:cs="Cambria Math"/>
        </w:rPr>
        <w:t>₂</w:t>
      </w:r>
      <w:r w:rsidRPr="00F3767B">
        <w:rPr>
          <w:rFonts w:eastAsia="Arial Unicode MS"/>
        </w:rPr>
        <w:t xml:space="preserve">O ΔH = +41kJ/mol). </w:t>
      </w:r>
    </w:p>
    <w:p w14:paraId="17FE106E" w14:textId="5C8697A3" w:rsidR="00AB1F00" w:rsidRPr="00F3767B" w:rsidRDefault="00AB1F00" w:rsidP="00A3755B">
      <w:pPr>
        <w:spacing w:before="240" w:after="240" w:line="360" w:lineRule="auto"/>
        <w:jc w:val="both"/>
        <w:rPr>
          <w:rFonts w:eastAsia="Arial Unicode MS"/>
        </w:rPr>
      </w:pPr>
      <w:r w:rsidRPr="00F3767B">
        <w:rPr>
          <w:rFonts w:eastAsia="Arial Unicode MS"/>
        </w:rPr>
        <w:t>To examine which reaction is more prevalent, a subset of the catalysts was measured under illumination with a 5%/5% CO</w:t>
      </w:r>
      <w:r w:rsidRPr="00F3767B">
        <w:rPr>
          <w:rFonts w:eastAsia="Arial Unicode MS"/>
          <w:vertAlign w:val="subscript"/>
        </w:rPr>
        <w:t>2</w:t>
      </w:r>
      <w:r w:rsidRPr="00F3767B">
        <w:rPr>
          <w:rFonts w:eastAsia="Arial Unicode MS"/>
        </w:rPr>
        <w:t>/H</w:t>
      </w:r>
      <w:r w:rsidRPr="00F3767B">
        <w:rPr>
          <w:rFonts w:eastAsia="Arial Unicode MS"/>
          <w:vertAlign w:val="subscript"/>
        </w:rPr>
        <w:t>2</w:t>
      </w:r>
      <w:r w:rsidRPr="00F3767B">
        <w:rPr>
          <w:rFonts w:eastAsia="Arial Unicode MS"/>
        </w:rPr>
        <w:t xml:space="preserve"> feed gas. As shown in </w:t>
      </w:r>
      <w:r w:rsidR="00D55370" w:rsidRPr="00F3767B">
        <w:rPr>
          <w:rFonts w:eastAsia="Arial Unicode MS"/>
        </w:rPr>
        <w:t xml:space="preserve">Supplementary Table </w:t>
      </w:r>
      <w:r w:rsidR="00BF5C8F" w:rsidRPr="00F3767B">
        <w:rPr>
          <w:rFonts w:eastAsia="Arial Unicode MS"/>
        </w:rPr>
        <w:t>4</w:t>
      </w:r>
      <w:r w:rsidRPr="00F3767B">
        <w:rPr>
          <w:rFonts w:eastAsia="Arial Unicode MS"/>
        </w:rPr>
        <w:t xml:space="preserve">, the Sabatier reaction appears to be more active over these materials than </w:t>
      </w:r>
      <w:proofErr w:type="spellStart"/>
      <w:r w:rsidRPr="00F3767B">
        <w:rPr>
          <w:rFonts w:eastAsia="Arial Unicode MS"/>
        </w:rPr>
        <w:t>rWGS</w:t>
      </w:r>
      <w:proofErr w:type="spellEnd"/>
      <w:r w:rsidRPr="00F3767B">
        <w:rPr>
          <w:rFonts w:eastAsia="Arial Unicode MS"/>
        </w:rPr>
        <w:t xml:space="preserve">, where the Sabatier reaction </w:t>
      </w:r>
      <w:r w:rsidRPr="00F3767B">
        <w:rPr>
          <w:rFonts w:eastAsia="Arial Unicode MS"/>
        </w:rPr>
        <w:lastRenderedPageBreak/>
        <w:t>would consume four equivalents of H</w:t>
      </w:r>
      <w:r w:rsidRPr="00F3767B">
        <w:rPr>
          <w:rFonts w:eastAsia="Arial Unicode MS"/>
          <w:vertAlign w:val="subscript"/>
        </w:rPr>
        <w:t>2</w:t>
      </w:r>
      <w:r w:rsidRPr="00F3767B">
        <w:rPr>
          <w:rFonts w:eastAsia="Arial Unicode MS"/>
        </w:rPr>
        <w:t xml:space="preserve"> to produce CH</w:t>
      </w:r>
      <w:r w:rsidRPr="00F3767B">
        <w:rPr>
          <w:rFonts w:eastAsia="Arial Unicode MS"/>
          <w:vertAlign w:val="subscript"/>
        </w:rPr>
        <w:t>4</w:t>
      </w:r>
      <w:r w:rsidRPr="00F3767B">
        <w:rPr>
          <w:rFonts w:eastAsia="Arial Unicode MS"/>
        </w:rPr>
        <w:t xml:space="preserve"> and H</w:t>
      </w:r>
      <w:r w:rsidRPr="00F3767B">
        <w:rPr>
          <w:rFonts w:eastAsia="Arial Unicode MS"/>
          <w:vertAlign w:val="subscript"/>
        </w:rPr>
        <w:t>2</w:t>
      </w:r>
      <w:r w:rsidRPr="00F3767B">
        <w:rPr>
          <w:rFonts w:eastAsia="Arial Unicode MS"/>
        </w:rPr>
        <w:t>O, leading to an increased CO/H</w:t>
      </w:r>
      <w:r w:rsidRPr="00F3767B">
        <w:rPr>
          <w:rFonts w:eastAsia="Arial Unicode MS"/>
          <w:vertAlign w:val="subscript"/>
        </w:rPr>
        <w:t>2</w:t>
      </w:r>
      <w:r w:rsidRPr="00F3767B">
        <w:rPr>
          <w:rFonts w:eastAsia="Arial Unicode MS"/>
        </w:rPr>
        <w:t xml:space="preserve"> ratio. The TiO</w:t>
      </w:r>
      <w:r w:rsidRPr="00F3767B">
        <w:rPr>
          <w:rFonts w:eastAsia="Arial Unicode MS"/>
          <w:vertAlign w:val="subscript"/>
        </w:rPr>
        <w:t>2</w:t>
      </w:r>
      <w:r w:rsidRPr="00F3767B">
        <w:rPr>
          <w:rFonts w:eastAsia="Arial Unicode MS"/>
        </w:rPr>
        <w:t>-G</w:t>
      </w:r>
      <w:r w:rsidRPr="00F3767B">
        <w:rPr>
          <w:rFonts w:eastAsia="Arial Unicode MS"/>
          <w:vertAlign w:val="superscript"/>
        </w:rPr>
        <w:t>A</w:t>
      </w:r>
      <w:r w:rsidRPr="00F3767B">
        <w:rPr>
          <w:rFonts w:eastAsia="Arial Unicode MS"/>
        </w:rPr>
        <w:t xml:space="preserve"> catalyst was notably more active for both Sabatier and </w:t>
      </w:r>
      <w:proofErr w:type="spellStart"/>
      <w:r w:rsidRPr="00F3767B">
        <w:rPr>
          <w:rFonts w:eastAsia="Arial Unicode MS"/>
        </w:rPr>
        <w:t>rWGS</w:t>
      </w:r>
      <w:proofErr w:type="spellEnd"/>
      <w:r w:rsidRPr="00F3767B">
        <w:rPr>
          <w:rFonts w:eastAsia="Arial Unicode MS"/>
        </w:rPr>
        <w:t xml:space="preserve"> than the Ta</w:t>
      </w:r>
      <w:r w:rsidRPr="00F3767B">
        <w:rPr>
          <w:rFonts w:eastAsia="Arial Unicode MS"/>
          <w:vertAlign w:val="subscript"/>
        </w:rPr>
        <w:t>2</w:t>
      </w:r>
      <w:r w:rsidRPr="00F3767B">
        <w:rPr>
          <w:rFonts w:eastAsia="Arial Unicode MS"/>
        </w:rPr>
        <w:t>O</w:t>
      </w:r>
      <w:r w:rsidRPr="00F3767B">
        <w:rPr>
          <w:rFonts w:eastAsia="Arial Unicode MS"/>
          <w:vertAlign w:val="subscript"/>
        </w:rPr>
        <w:t>5</w:t>
      </w:r>
      <w:r w:rsidRPr="00F3767B">
        <w:rPr>
          <w:rFonts w:eastAsia="Arial Unicode MS"/>
        </w:rPr>
        <w:t>-G</w:t>
      </w:r>
      <w:r w:rsidRPr="00F3767B">
        <w:rPr>
          <w:rFonts w:eastAsia="Arial Unicode MS"/>
          <w:vertAlign w:val="superscript"/>
        </w:rPr>
        <w:t>A</w:t>
      </w:r>
      <w:r w:rsidRPr="00F3767B">
        <w:rPr>
          <w:rFonts w:eastAsia="Arial Unicode MS"/>
        </w:rPr>
        <w:t xml:space="preserve"> catalyst, with increasing yield for increasing flow rate. This may explain the high CO/H</w:t>
      </w:r>
      <w:r w:rsidRPr="00F3767B">
        <w:rPr>
          <w:rFonts w:eastAsia="Arial Unicode MS"/>
          <w:vertAlign w:val="subscript"/>
        </w:rPr>
        <w:t>2</w:t>
      </w:r>
      <w:r w:rsidRPr="00F3767B">
        <w:rPr>
          <w:rFonts w:eastAsia="Arial Unicode MS"/>
        </w:rPr>
        <w:t xml:space="preserve"> ratio of TiO</w:t>
      </w:r>
      <w:r w:rsidRPr="00F3767B">
        <w:rPr>
          <w:rFonts w:eastAsia="Arial Unicode MS"/>
          <w:vertAlign w:val="subscript"/>
        </w:rPr>
        <w:t>2</w:t>
      </w:r>
      <w:r w:rsidRPr="00F3767B">
        <w:rPr>
          <w:rFonts w:eastAsia="Arial Unicode MS"/>
        </w:rPr>
        <w:t>-G</w:t>
      </w:r>
      <w:r w:rsidRPr="00F3767B">
        <w:rPr>
          <w:rFonts w:eastAsia="Arial Unicode MS"/>
          <w:vertAlign w:val="superscript"/>
        </w:rPr>
        <w:t>A</w:t>
      </w:r>
      <w:r w:rsidRPr="00F3767B">
        <w:rPr>
          <w:rFonts w:eastAsia="Arial Unicode MS"/>
        </w:rPr>
        <w:t xml:space="preserve"> in particular, which exhibits increasing CO/H</w:t>
      </w:r>
      <w:r w:rsidRPr="00F3767B">
        <w:rPr>
          <w:rFonts w:eastAsia="Arial Unicode MS"/>
          <w:vertAlign w:val="subscript"/>
        </w:rPr>
        <w:t>2</w:t>
      </w:r>
      <w:r w:rsidRPr="00F3767B">
        <w:rPr>
          <w:rFonts w:eastAsia="Arial Unicode MS"/>
        </w:rPr>
        <w:t xml:space="preserve"> ratio with flow rate and diverges more than other catalysts in the study.  The Hex catalysts were more active than both gyroids for Sabatier, with less feed rate dependence. During photo-DRM, the relative concentration of each gas species and the residence time of products likely modifies the prevalence of these side-reactions. But considering that both Sabatier and </w:t>
      </w:r>
      <w:proofErr w:type="spellStart"/>
      <w:r w:rsidRPr="00F3767B">
        <w:rPr>
          <w:rFonts w:eastAsia="Arial Unicode MS"/>
        </w:rPr>
        <w:t>rWGS</w:t>
      </w:r>
      <w:proofErr w:type="spellEnd"/>
      <w:r w:rsidRPr="00F3767B">
        <w:rPr>
          <w:rFonts w:eastAsia="Arial Unicode MS"/>
        </w:rPr>
        <w:t xml:space="preserve"> are active over these materials, they may explain CO/H</w:t>
      </w:r>
      <w:r w:rsidRPr="00F3767B">
        <w:rPr>
          <w:rFonts w:eastAsia="Arial Unicode MS"/>
          <w:vertAlign w:val="subscript"/>
        </w:rPr>
        <w:t>2</w:t>
      </w:r>
      <w:r w:rsidRPr="00F3767B">
        <w:rPr>
          <w:rFonts w:eastAsia="Arial Unicode MS"/>
        </w:rPr>
        <w:t xml:space="preserve"> ratios greater than 1. In thermal DRM, it is common for the CO/H2 ratio to exceed 1, reaching values as high as 2 or 3 </w:t>
      </w:r>
      <w:r w:rsidR="00B02943" w:rsidRPr="00F3767B">
        <w:rPr>
          <w:rFonts w:eastAsia="Arial Unicode MS"/>
        </w:rPr>
        <w:t>[26,30]</w:t>
      </w:r>
      <w:r w:rsidRPr="00F3767B">
        <w:rPr>
          <w:rFonts w:eastAsia="Arial Unicode MS"/>
        </w:rPr>
        <w:t>. Therefore, it is not surprising for the CO/H2 ratio to exceed 1 in photo-DRM. What is noteworthy is that in the high-flow regime the ratio remains in the range of 1 to 1.4, with the most active catalyst, TiO</w:t>
      </w:r>
      <w:r w:rsidRPr="00F3767B">
        <w:rPr>
          <w:rFonts w:eastAsia="Arial Unicode MS"/>
          <w:vertAlign w:val="subscript"/>
        </w:rPr>
        <w:t>2</w:t>
      </w:r>
      <w:r w:rsidR="003239C3" w:rsidRPr="00F3767B">
        <w:rPr>
          <w:rFonts w:eastAsia="Arial Unicode MS"/>
        </w:rPr>
        <w:t>-Film</w:t>
      </w:r>
      <w:r w:rsidRPr="00F3767B">
        <w:rPr>
          <w:rFonts w:eastAsia="Arial Unicode MS"/>
        </w:rPr>
        <w:t>, exhibiting near 1:1 CO/H</w:t>
      </w:r>
      <w:r w:rsidRPr="00F3767B">
        <w:rPr>
          <w:rFonts w:eastAsia="Arial Unicode MS"/>
          <w:vertAlign w:val="subscript"/>
        </w:rPr>
        <w:t>2</w:t>
      </w:r>
      <w:r w:rsidRPr="00F3767B">
        <w:rPr>
          <w:rFonts w:eastAsia="Arial Unicode MS"/>
        </w:rPr>
        <w:t xml:space="preserve"> stoichiometry. This is believed to be due to the presence of macro size asymmetric pore structures, which have a high dispersion capacity. While the mentioned side reactions consume the generated H</w:t>
      </w:r>
      <w:r w:rsidRPr="00F3767B">
        <w:rPr>
          <w:rFonts w:eastAsia="Arial Unicode MS"/>
          <w:vertAlign w:val="subscript"/>
        </w:rPr>
        <w:t>2</w:t>
      </w:r>
      <w:r w:rsidRPr="00F3767B">
        <w:rPr>
          <w:rFonts w:eastAsia="Arial Unicode MS"/>
        </w:rPr>
        <w:t>, they can be suppressed by intentionally lowering the local partial pressure of H</w:t>
      </w:r>
      <w:r w:rsidRPr="00F3767B">
        <w:rPr>
          <w:rFonts w:eastAsia="Arial Unicode MS"/>
          <w:vertAlign w:val="subscript"/>
        </w:rPr>
        <w:t>2</w:t>
      </w:r>
      <w:r w:rsidRPr="00F3767B">
        <w:rPr>
          <w:rFonts w:eastAsia="Arial Unicode MS"/>
        </w:rPr>
        <w:t>. In the case of TiO</w:t>
      </w:r>
      <w:r w:rsidRPr="00F3767B">
        <w:rPr>
          <w:rFonts w:eastAsia="Arial Unicode MS"/>
          <w:vertAlign w:val="subscript"/>
        </w:rPr>
        <w:t>2</w:t>
      </w:r>
      <w:r w:rsidR="00F46624" w:rsidRPr="00F3767B">
        <w:rPr>
          <w:rFonts w:eastAsia="Arial Unicode MS"/>
        </w:rPr>
        <w:t>-Film</w:t>
      </w:r>
      <w:r w:rsidRPr="00F3767B">
        <w:rPr>
          <w:rFonts w:eastAsia="Arial Unicode MS"/>
        </w:rPr>
        <w:t>, the hydrogen generated in nano-sized pores is gradually released into micro-sized pores, leading to a rapid decrease in partial pressure and the inhibition of side reactions. The observed CO/H</w:t>
      </w:r>
      <w:r w:rsidRPr="00F3767B">
        <w:rPr>
          <w:rFonts w:eastAsia="Arial Unicode MS"/>
          <w:vertAlign w:val="subscript"/>
        </w:rPr>
        <w:t>2</w:t>
      </w:r>
      <w:r w:rsidRPr="00F3767B">
        <w:rPr>
          <w:rFonts w:eastAsia="Arial Unicode MS"/>
        </w:rPr>
        <w:t xml:space="preserve"> ratio of TiO</w:t>
      </w:r>
      <w:r w:rsidRPr="00F3767B">
        <w:rPr>
          <w:rFonts w:eastAsia="Arial Unicode MS"/>
          <w:vertAlign w:val="subscript"/>
        </w:rPr>
        <w:t>2</w:t>
      </w:r>
      <w:r w:rsidR="00F46624" w:rsidRPr="00F3767B">
        <w:rPr>
          <w:rFonts w:eastAsia="Arial Unicode MS"/>
        </w:rPr>
        <w:t>-Film</w:t>
      </w:r>
      <w:r w:rsidRPr="00F3767B">
        <w:rPr>
          <w:rFonts w:eastAsia="Arial Unicode MS"/>
        </w:rPr>
        <w:t xml:space="preserve"> highlights not just the benefit of the asymmetric pore structure on the product stoichiometry, but also the </w:t>
      </w:r>
      <w:r w:rsidR="00F46624" w:rsidRPr="00F3767B">
        <w:rPr>
          <w:rFonts w:eastAsia="Arial Unicode MS"/>
        </w:rPr>
        <w:t>potential</w:t>
      </w:r>
      <w:r w:rsidRPr="00F3767B">
        <w:rPr>
          <w:rFonts w:eastAsia="Arial Unicode MS"/>
        </w:rPr>
        <w:t xml:space="preserve"> to tune the catalytic environment via pore connectivity to either enhance or suppress</w:t>
      </w:r>
      <w:r w:rsidR="00F46624" w:rsidRPr="00F3767B">
        <w:rPr>
          <w:rFonts w:eastAsia="Arial Unicode MS"/>
        </w:rPr>
        <w:t xml:space="preserve"> the</w:t>
      </w:r>
      <w:r w:rsidRPr="00F3767B">
        <w:rPr>
          <w:rFonts w:eastAsia="Arial Unicode MS"/>
        </w:rPr>
        <w:t xml:space="preserve"> local partial pressure through rational design of </w:t>
      </w:r>
      <w:r w:rsidR="00F46624" w:rsidRPr="00F3767B">
        <w:rPr>
          <w:rFonts w:eastAsia="Arial Unicode MS"/>
        </w:rPr>
        <w:t xml:space="preserve">the </w:t>
      </w:r>
      <w:r w:rsidRPr="00F3767B">
        <w:rPr>
          <w:rFonts w:eastAsia="Arial Unicode MS"/>
        </w:rPr>
        <w:t>pore network.</w:t>
      </w:r>
    </w:p>
    <w:p w14:paraId="1D612492" w14:textId="419E35CB" w:rsidR="00047B66" w:rsidRPr="00F3767B" w:rsidRDefault="00047B66" w:rsidP="00A3755B">
      <w:pPr>
        <w:spacing w:line="240" w:lineRule="auto"/>
        <w:jc w:val="both"/>
        <w:rPr>
          <w:rFonts w:eastAsia="Arial Unicode MS"/>
        </w:rPr>
      </w:pPr>
      <w:r w:rsidRPr="00F3767B">
        <w:rPr>
          <w:rFonts w:eastAsia="Arial Unicode MS"/>
        </w:rPr>
        <w:br w:type="page"/>
      </w:r>
    </w:p>
    <w:p w14:paraId="69D7B010" w14:textId="210E35FC" w:rsidR="00047B66" w:rsidRPr="00F3767B" w:rsidRDefault="00DF542A" w:rsidP="00AB1F00">
      <w:pPr>
        <w:spacing w:before="240" w:after="240" w:line="480" w:lineRule="auto"/>
        <w:rPr>
          <w:b/>
        </w:rPr>
      </w:pPr>
      <w:r w:rsidRPr="00F3767B">
        <w:rPr>
          <w:b/>
        </w:rPr>
        <w:lastRenderedPageBreak/>
        <w:t xml:space="preserve">3. </w:t>
      </w:r>
      <w:r w:rsidR="00F77DDF" w:rsidRPr="00F3767B">
        <w:rPr>
          <w:b/>
        </w:rPr>
        <w:t xml:space="preserve">Supplementary </w:t>
      </w:r>
      <w:r w:rsidRPr="00F3767B">
        <w:rPr>
          <w:b/>
        </w:rPr>
        <w:t>Tables and Figures</w:t>
      </w:r>
    </w:p>
    <w:p w14:paraId="07F4D0EA" w14:textId="3939D2C6" w:rsidR="00DF542A" w:rsidRPr="00F3767B" w:rsidRDefault="00F77DDF" w:rsidP="00AB1F00">
      <w:pPr>
        <w:spacing w:before="240" w:after="240" w:line="480" w:lineRule="auto"/>
        <w:rPr>
          <w:b/>
        </w:rPr>
      </w:pPr>
      <w:r w:rsidRPr="00F3767B">
        <w:rPr>
          <w:b/>
        </w:rPr>
        <w:t xml:space="preserve">Supplementary </w:t>
      </w:r>
      <w:r w:rsidR="00DF542A" w:rsidRPr="00F3767B">
        <w:rPr>
          <w:b/>
        </w:rPr>
        <w:t>Tables</w:t>
      </w:r>
    </w:p>
    <w:p w14:paraId="514B67D5" w14:textId="77777777" w:rsidR="00A3755B" w:rsidRPr="00F3767B" w:rsidRDefault="00A3755B" w:rsidP="00AB1F00">
      <w:pPr>
        <w:spacing w:before="240" w:after="240" w:line="480" w:lineRule="auto"/>
        <w:rPr>
          <w:b/>
        </w:rPr>
      </w:pPr>
    </w:p>
    <w:p w14:paraId="40DB2B2A" w14:textId="32743DB4" w:rsidR="00AB1F00" w:rsidRPr="00F3767B" w:rsidRDefault="00D55370" w:rsidP="00AB1F00">
      <w:pPr>
        <w:spacing w:before="240" w:after="240" w:line="480" w:lineRule="auto"/>
      </w:pPr>
      <w:r w:rsidRPr="00F3767B">
        <w:rPr>
          <w:b/>
        </w:rPr>
        <w:t xml:space="preserve">Supplementary Table </w:t>
      </w:r>
      <w:r w:rsidR="00AB1F00" w:rsidRPr="00F3767B">
        <w:rPr>
          <w:b/>
        </w:rPr>
        <w:t xml:space="preserve">1: </w:t>
      </w:r>
      <w:r w:rsidR="00AB1F00" w:rsidRPr="00F3767B">
        <w:t>Triblock terpolymer structural information for ISO-1, ISO-2, and ISV-1.</w:t>
      </w:r>
    </w:p>
    <w:p w14:paraId="0D644D87" w14:textId="77777777" w:rsidR="004651A8" w:rsidRPr="00F3767B" w:rsidRDefault="004651A8" w:rsidP="00AB1F00">
      <w:pPr>
        <w:spacing w:before="240" w:after="240" w:line="480" w:lineRule="auto"/>
        <w:rPr>
          <w:noProof/>
        </w:rPr>
      </w:pPr>
    </w:p>
    <w:p w14:paraId="3313CDEA" w14:textId="306FF50A" w:rsidR="00AB1F00" w:rsidRPr="00F3767B" w:rsidRDefault="001D3238" w:rsidP="00A24830">
      <w:pPr>
        <w:spacing w:before="240" w:after="240" w:line="480" w:lineRule="auto"/>
        <w:jc w:val="center"/>
      </w:pPr>
      <w:r w:rsidRPr="00F3767B">
        <w:rPr>
          <w:noProof/>
        </w:rPr>
        <w:drawing>
          <wp:inline distT="0" distB="0" distL="0" distR="0" wp14:anchorId="06B09744" wp14:editId="01C34BE3">
            <wp:extent cx="5881370" cy="2061328"/>
            <wp:effectExtent l="0" t="0" r="5080" b="0"/>
            <wp:docPr id="19037623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10640" cy="2071587"/>
                    </a:xfrm>
                    <a:prstGeom prst="rect">
                      <a:avLst/>
                    </a:prstGeom>
                    <a:noFill/>
                  </pic:spPr>
                </pic:pic>
              </a:graphicData>
            </a:graphic>
          </wp:inline>
        </w:drawing>
      </w:r>
    </w:p>
    <w:p w14:paraId="37D9167D" w14:textId="77777777" w:rsidR="00B10531" w:rsidRPr="00F3767B" w:rsidRDefault="00AB1F00" w:rsidP="00B10531">
      <w:pPr>
        <w:spacing w:before="240" w:after="240" w:line="360" w:lineRule="auto"/>
      </w:pPr>
      <w:r w:rsidRPr="00F3767B">
        <w:br w:type="page"/>
      </w:r>
    </w:p>
    <w:p w14:paraId="1D354902" w14:textId="77777777" w:rsidR="00B10531" w:rsidRPr="00F3767B" w:rsidRDefault="00B10531" w:rsidP="00B10531">
      <w:pPr>
        <w:spacing w:before="240" w:after="240" w:line="360" w:lineRule="auto"/>
      </w:pPr>
    </w:p>
    <w:p w14:paraId="21EDDF9D" w14:textId="13F700F1" w:rsidR="004651A8" w:rsidRPr="00F3767B" w:rsidRDefault="00D55370" w:rsidP="004651A8">
      <w:pPr>
        <w:spacing w:before="240" w:after="240" w:line="360" w:lineRule="auto"/>
        <w:jc w:val="both"/>
      </w:pPr>
      <w:r w:rsidRPr="00F3767B">
        <w:rPr>
          <w:b/>
          <w:bCs/>
        </w:rPr>
        <w:t xml:space="preserve">Supplementary Table </w:t>
      </w:r>
      <w:r w:rsidR="00BC690D" w:rsidRPr="00F3767B">
        <w:rPr>
          <w:b/>
          <w:bCs/>
        </w:rPr>
        <w:t>2</w:t>
      </w:r>
      <w:r w:rsidR="00B10531" w:rsidRPr="00F3767B">
        <w:t xml:space="preserve">: Quantitative XPS results for metal oxide elements, rhodium, and carbon. The presence of around 10% carbon was also detected in the control sample (not used for catalysis). Carbon results may therefore </w:t>
      </w:r>
      <w:proofErr w:type="gramStart"/>
      <w:r w:rsidR="00B10531" w:rsidRPr="00F3767B">
        <w:t>to a large extent reflect</w:t>
      </w:r>
      <w:proofErr w:type="gramEnd"/>
      <w:r w:rsidR="00B10531" w:rsidRPr="00F3767B">
        <w:t xml:space="preserve"> environmental contamination rather than accumulation during catalysis.</w:t>
      </w:r>
    </w:p>
    <w:p w14:paraId="1080EF01" w14:textId="12B0C122" w:rsidR="00B10531" w:rsidRPr="00F3767B" w:rsidRDefault="00B10531" w:rsidP="00A3755B">
      <w:pPr>
        <w:spacing w:before="240" w:after="240" w:line="360" w:lineRule="auto"/>
        <w:jc w:val="both"/>
      </w:pPr>
      <w:r w:rsidRPr="00F3767B">
        <w:t xml:space="preserve"> </w:t>
      </w:r>
    </w:p>
    <w:p w14:paraId="3D5DA74B" w14:textId="023E5FEB" w:rsidR="00B10531" w:rsidRPr="00F3767B" w:rsidRDefault="009C43CB" w:rsidP="00B10531">
      <w:pPr>
        <w:spacing w:before="240" w:after="240" w:line="360" w:lineRule="auto"/>
        <w:jc w:val="center"/>
      </w:pPr>
      <w:r>
        <w:rPr>
          <w:noProof/>
        </w:rPr>
        <w:drawing>
          <wp:inline distT="0" distB="0" distL="0" distR="0" wp14:anchorId="34835109" wp14:editId="59AB45BC">
            <wp:extent cx="5971779" cy="3669665"/>
            <wp:effectExtent l="0" t="0" r="0" b="6985"/>
            <wp:docPr id="15434447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4818" cy="3671533"/>
                    </a:xfrm>
                    <a:prstGeom prst="rect">
                      <a:avLst/>
                    </a:prstGeom>
                    <a:noFill/>
                  </pic:spPr>
                </pic:pic>
              </a:graphicData>
            </a:graphic>
          </wp:inline>
        </w:drawing>
      </w:r>
    </w:p>
    <w:p w14:paraId="26E40D9E" w14:textId="77777777" w:rsidR="00B10531" w:rsidRPr="00F3767B" w:rsidRDefault="00B10531" w:rsidP="00B10531">
      <w:pPr>
        <w:spacing w:before="240" w:after="240" w:line="360" w:lineRule="auto"/>
        <w:jc w:val="both"/>
      </w:pPr>
      <w:r w:rsidRPr="00F3767B">
        <w:br w:type="page"/>
      </w:r>
    </w:p>
    <w:p w14:paraId="204327EB" w14:textId="77777777" w:rsidR="00B10531" w:rsidRPr="00F3767B" w:rsidRDefault="00B10531" w:rsidP="00B10531">
      <w:pPr>
        <w:spacing w:before="240" w:after="240" w:line="360" w:lineRule="auto"/>
        <w:jc w:val="both"/>
      </w:pPr>
    </w:p>
    <w:p w14:paraId="3FA51617" w14:textId="43C45F72" w:rsidR="00ED1BA6" w:rsidRPr="00F3767B" w:rsidRDefault="00D55370" w:rsidP="00B10531">
      <w:pPr>
        <w:spacing w:before="240" w:after="240" w:line="360" w:lineRule="auto"/>
        <w:jc w:val="both"/>
      </w:pPr>
      <w:r w:rsidRPr="00F3767B">
        <w:rPr>
          <w:b/>
          <w:bCs/>
        </w:rPr>
        <w:t xml:space="preserve">Supplementary Table </w:t>
      </w:r>
      <w:r w:rsidR="009B5158" w:rsidRPr="00F3767B">
        <w:rPr>
          <w:b/>
          <w:bCs/>
        </w:rPr>
        <w:t>3</w:t>
      </w:r>
      <w:r w:rsidR="00B10531" w:rsidRPr="00F3767B">
        <w:rPr>
          <w:b/>
          <w:bCs/>
        </w:rPr>
        <w:t xml:space="preserve">: </w:t>
      </w:r>
      <w:r w:rsidR="00B10531" w:rsidRPr="00F3767B">
        <w:t>Comparison of results from this work (top section – highest production; middle section – highest conversion) with published photo-thermal and photocatalytic DRM results.</w:t>
      </w:r>
    </w:p>
    <w:p w14:paraId="78B1026B" w14:textId="5F8E7A6B" w:rsidR="00B10531" w:rsidRPr="00F3767B" w:rsidRDefault="002C34E3" w:rsidP="00A24830">
      <w:pPr>
        <w:spacing w:before="240" w:after="240" w:line="360" w:lineRule="auto"/>
        <w:jc w:val="center"/>
      </w:pPr>
      <w:r w:rsidRPr="00F3767B">
        <w:rPr>
          <w:noProof/>
        </w:rPr>
        <w:drawing>
          <wp:inline distT="0" distB="0" distL="0" distR="0" wp14:anchorId="3F8E26F3" wp14:editId="5565D5E9">
            <wp:extent cx="5313825" cy="5697855"/>
            <wp:effectExtent l="0" t="0" r="1270" b="0"/>
            <wp:docPr id="10192484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40066" cy="5725992"/>
                    </a:xfrm>
                    <a:prstGeom prst="rect">
                      <a:avLst/>
                    </a:prstGeom>
                    <a:noFill/>
                  </pic:spPr>
                </pic:pic>
              </a:graphicData>
            </a:graphic>
          </wp:inline>
        </w:drawing>
      </w:r>
    </w:p>
    <w:p w14:paraId="39B6CADE" w14:textId="2B8F4FD3" w:rsidR="00B10531" w:rsidRPr="00F3767B" w:rsidRDefault="00B10531" w:rsidP="00B10531">
      <w:pPr>
        <w:spacing w:before="240" w:after="240" w:line="360" w:lineRule="auto"/>
        <w:jc w:val="both"/>
      </w:pPr>
    </w:p>
    <w:p w14:paraId="34917433" w14:textId="77777777" w:rsidR="00B10531" w:rsidRPr="00F3767B" w:rsidRDefault="00B10531" w:rsidP="00B10531">
      <w:pPr>
        <w:spacing w:before="240" w:after="240" w:line="480" w:lineRule="auto"/>
        <w:jc w:val="center"/>
      </w:pPr>
    </w:p>
    <w:p w14:paraId="7DC6218A" w14:textId="285A8CA3" w:rsidR="00B10531" w:rsidRPr="00F3767B" w:rsidRDefault="00B10531" w:rsidP="00F94B38">
      <w:pPr>
        <w:spacing w:before="240" w:after="240" w:line="360" w:lineRule="auto"/>
      </w:pPr>
      <w:r w:rsidRPr="00F3767B">
        <w:br w:type="page"/>
      </w:r>
      <w:r w:rsidR="00D55370" w:rsidRPr="00F3767B">
        <w:rPr>
          <w:b/>
          <w:bCs/>
        </w:rPr>
        <w:lastRenderedPageBreak/>
        <w:t xml:space="preserve">Supplementary Table </w:t>
      </w:r>
      <w:r w:rsidR="00BF5C8F" w:rsidRPr="00F3767B">
        <w:rPr>
          <w:b/>
          <w:bCs/>
        </w:rPr>
        <w:t>4</w:t>
      </w:r>
      <w:r w:rsidRPr="00F3767B">
        <w:rPr>
          <w:b/>
          <w:bCs/>
        </w:rPr>
        <w:t xml:space="preserve">: </w:t>
      </w:r>
      <w:r w:rsidRPr="00F3767B">
        <w:t>Products produced by selected photocatalysts under a 5% CO</w:t>
      </w:r>
      <w:r w:rsidRPr="00F3767B">
        <w:rPr>
          <w:vertAlign w:val="subscript"/>
        </w:rPr>
        <w:t>2</w:t>
      </w:r>
      <w:r w:rsidRPr="00F3767B">
        <w:t xml:space="preserve"> / 5% H</w:t>
      </w:r>
      <w:r w:rsidRPr="00F3767B">
        <w:rPr>
          <w:vertAlign w:val="subscript"/>
        </w:rPr>
        <w:t>2</w:t>
      </w:r>
      <w:r w:rsidRPr="00F3767B">
        <w:t xml:space="preserve"> (balance N</w:t>
      </w:r>
      <w:r w:rsidRPr="00F3767B">
        <w:rPr>
          <w:vertAlign w:val="subscript"/>
        </w:rPr>
        <w:t>2</w:t>
      </w:r>
      <w:r w:rsidRPr="00F3767B">
        <w:t>) flow to investigate Sabatier (CO</w:t>
      </w:r>
      <w:r w:rsidRPr="00F3767B">
        <w:rPr>
          <w:vertAlign w:val="subscript"/>
        </w:rPr>
        <w:t>2</w:t>
      </w:r>
      <w:r w:rsidRPr="00F3767B">
        <w:t xml:space="preserve"> + 4H</w:t>
      </w:r>
      <w:r w:rsidRPr="00F3767B">
        <w:rPr>
          <w:vertAlign w:val="subscript"/>
        </w:rPr>
        <w:t>2</w:t>
      </w:r>
      <w:r w:rsidRPr="00F3767B">
        <w:t xml:space="preserve"> </w:t>
      </w:r>
      <w:r w:rsidRPr="00F3767B">
        <w:sym w:font="Wingdings" w:char="F0E8"/>
      </w:r>
      <w:r w:rsidRPr="00F3767B">
        <w:t xml:space="preserve"> CH</w:t>
      </w:r>
      <w:r w:rsidRPr="00F3767B">
        <w:rPr>
          <w:vertAlign w:val="subscript"/>
        </w:rPr>
        <w:t>4</w:t>
      </w:r>
      <w:r w:rsidRPr="00F3767B">
        <w:t xml:space="preserve"> + 2H</w:t>
      </w:r>
      <w:r w:rsidRPr="00F3767B">
        <w:rPr>
          <w:vertAlign w:val="subscript"/>
        </w:rPr>
        <w:t>2</w:t>
      </w:r>
      <w:r w:rsidRPr="00F3767B">
        <w:t>O) or reverse water gas shift (CO</w:t>
      </w:r>
      <w:r w:rsidRPr="00F3767B">
        <w:rPr>
          <w:vertAlign w:val="subscript"/>
        </w:rPr>
        <w:t>2</w:t>
      </w:r>
      <w:r w:rsidRPr="00F3767B">
        <w:t xml:space="preserve"> + H</w:t>
      </w:r>
      <w:r w:rsidRPr="00F3767B">
        <w:rPr>
          <w:vertAlign w:val="subscript"/>
        </w:rPr>
        <w:t>2</w:t>
      </w:r>
      <w:r w:rsidRPr="00F3767B">
        <w:t xml:space="preserve"> </w:t>
      </w:r>
      <w:r w:rsidRPr="00F3767B">
        <w:sym w:font="Wingdings" w:char="F0E8"/>
      </w:r>
      <w:r w:rsidRPr="00F3767B">
        <w:t xml:space="preserve"> CO + H</w:t>
      </w:r>
      <w:r w:rsidRPr="00F3767B">
        <w:rPr>
          <w:vertAlign w:val="subscript"/>
        </w:rPr>
        <w:t>2</w:t>
      </w:r>
      <w:r w:rsidRPr="00F3767B">
        <w:t>O) activity. Both reactions lead to an excess of CO over H</w:t>
      </w:r>
      <w:r w:rsidRPr="00F3767B">
        <w:rPr>
          <w:vertAlign w:val="subscript"/>
        </w:rPr>
        <w:t>2</w:t>
      </w:r>
      <w:r w:rsidRPr="00F3767B">
        <w:t xml:space="preserve"> in the product stream.</w:t>
      </w:r>
    </w:p>
    <w:p w14:paraId="6C9BA7BD" w14:textId="77777777" w:rsidR="004651A8" w:rsidRPr="00F3767B" w:rsidRDefault="004651A8" w:rsidP="00A3755B">
      <w:pPr>
        <w:spacing w:before="240" w:after="240" w:line="360" w:lineRule="auto"/>
        <w:jc w:val="both"/>
      </w:pPr>
    </w:p>
    <w:p w14:paraId="3501A03F" w14:textId="77777777" w:rsidR="00B10531" w:rsidRPr="00F3767B" w:rsidRDefault="00B10531" w:rsidP="00B10531">
      <w:pPr>
        <w:spacing w:before="240" w:after="240" w:line="360" w:lineRule="auto"/>
        <w:jc w:val="center"/>
      </w:pPr>
      <w:r w:rsidRPr="00F3767B">
        <w:rPr>
          <w:noProof/>
        </w:rPr>
        <w:drawing>
          <wp:inline distT="0" distB="0" distL="0" distR="0" wp14:anchorId="1FB3C4C9" wp14:editId="4E911974">
            <wp:extent cx="5943600" cy="3158490"/>
            <wp:effectExtent l="0" t="0" r="0" b="3810"/>
            <wp:docPr id="335043312" name="Picture 335043312" descr="A table of numbers and symbo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238047" name="Picture 1" descr="A table of numbers and symbols&#10;&#10;Description automatically generated with medium confidence"/>
                    <pic:cNvPicPr/>
                  </pic:nvPicPr>
                  <pic:blipFill>
                    <a:blip r:embed="rId10"/>
                    <a:stretch>
                      <a:fillRect/>
                    </a:stretch>
                  </pic:blipFill>
                  <pic:spPr>
                    <a:xfrm>
                      <a:off x="0" y="0"/>
                      <a:ext cx="5943600" cy="3158490"/>
                    </a:xfrm>
                    <a:prstGeom prst="rect">
                      <a:avLst/>
                    </a:prstGeom>
                  </pic:spPr>
                </pic:pic>
              </a:graphicData>
            </a:graphic>
          </wp:inline>
        </w:drawing>
      </w:r>
    </w:p>
    <w:p w14:paraId="1A6D6722" w14:textId="77777777" w:rsidR="00B10531" w:rsidRPr="00F3767B" w:rsidRDefault="00B10531" w:rsidP="00B10531">
      <w:pPr>
        <w:spacing w:line="360" w:lineRule="auto"/>
        <w:rPr>
          <w:b/>
          <w:bCs/>
          <w:lang w:val="en-GB" w:bidi="hi-IN"/>
        </w:rPr>
      </w:pPr>
    </w:p>
    <w:p w14:paraId="721A3972" w14:textId="77777777" w:rsidR="00B10531" w:rsidRPr="00F3767B" w:rsidRDefault="00B10531" w:rsidP="00B10531">
      <w:pPr>
        <w:spacing w:line="360" w:lineRule="auto"/>
        <w:rPr>
          <w:b/>
          <w:bCs/>
          <w:lang w:val="en-GB" w:bidi="hi-IN"/>
        </w:rPr>
      </w:pPr>
    </w:p>
    <w:p w14:paraId="731AD029" w14:textId="77777777" w:rsidR="00B10531" w:rsidRPr="00F3767B" w:rsidRDefault="00B10531" w:rsidP="00B10531">
      <w:pPr>
        <w:spacing w:line="360" w:lineRule="auto"/>
        <w:rPr>
          <w:b/>
          <w:bCs/>
          <w:lang w:val="en-GB" w:bidi="hi-IN"/>
        </w:rPr>
      </w:pPr>
      <w:r w:rsidRPr="00F3767B">
        <w:rPr>
          <w:b/>
          <w:bCs/>
          <w:lang w:val="en-GB" w:bidi="hi-IN"/>
        </w:rPr>
        <w:br w:type="page"/>
      </w:r>
    </w:p>
    <w:p w14:paraId="4B23A24B" w14:textId="60239F2C" w:rsidR="00B10531" w:rsidRPr="00F3767B" w:rsidRDefault="00DF542A" w:rsidP="00B10531">
      <w:pPr>
        <w:rPr>
          <w:b/>
          <w:bCs/>
        </w:rPr>
      </w:pPr>
      <w:r w:rsidRPr="00F3767B">
        <w:rPr>
          <w:b/>
          <w:bCs/>
        </w:rPr>
        <w:lastRenderedPageBreak/>
        <w:t>Supporting Figures</w:t>
      </w:r>
    </w:p>
    <w:p w14:paraId="0E18D726" w14:textId="77777777" w:rsidR="00A3755B" w:rsidRPr="00F3767B" w:rsidRDefault="00A3755B" w:rsidP="00B10531">
      <w:pPr>
        <w:rPr>
          <w:b/>
          <w:bCs/>
        </w:rPr>
      </w:pPr>
    </w:p>
    <w:p w14:paraId="6C20E560" w14:textId="77777777" w:rsidR="00A3755B" w:rsidRPr="00F3767B" w:rsidRDefault="00A3755B" w:rsidP="00B10531">
      <w:pPr>
        <w:rPr>
          <w:b/>
          <w:bCs/>
        </w:rPr>
      </w:pPr>
    </w:p>
    <w:p w14:paraId="41CF292E" w14:textId="77777777" w:rsidR="00AB1F00" w:rsidRPr="00F3767B" w:rsidRDefault="00AB1F00" w:rsidP="00AB1F00">
      <w:pPr>
        <w:spacing w:before="240" w:after="240" w:line="360" w:lineRule="auto"/>
        <w:jc w:val="center"/>
      </w:pPr>
      <w:r w:rsidRPr="00F3767B">
        <w:rPr>
          <w:noProof/>
        </w:rPr>
        <w:drawing>
          <wp:inline distT="0" distB="0" distL="0" distR="0" wp14:anchorId="030F25D1" wp14:editId="772A8084">
            <wp:extent cx="6218931" cy="2442258"/>
            <wp:effectExtent l="0" t="0" r="0" b="0"/>
            <wp:docPr id="1237495581" name="Picture 1237495581" descr="A collage of images of different typ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018939" name="Picture 1" descr="A collage of images of different types of cells&#10;&#10;Description automatically generated"/>
                    <pic:cNvPicPr/>
                  </pic:nvPicPr>
                  <pic:blipFill rotWithShape="1">
                    <a:blip r:embed="rId11">
                      <a:extLst>
                        <a:ext uri="{28A0092B-C50C-407E-A947-70E740481C1C}">
                          <a14:useLocalDpi xmlns:a14="http://schemas.microsoft.com/office/drawing/2010/main" val="0"/>
                        </a:ext>
                      </a:extLst>
                    </a:blip>
                    <a:srcRect b="52465"/>
                    <a:stretch/>
                  </pic:blipFill>
                  <pic:spPr bwMode="auto">
                    <a:xfrm>
                      <a:off x="0" y="0"/>
                      <a:ext cx="6296521" cy="2472729"/>
                    </a:xfrm>
                    <a:prstGeom prst="rect">
                      <a:avLst/>
                    </a:prstGeom>
                    <a:ln>
                      <a:noFill/>
                    </a:ln>
                    <a:extLst>
                      <a:ext uri="{53640926-AAD7-44D8-BBD7-CCE9431645EC}">
                        <a14:shadowObscured xmlns:a14="http://schemas.microsoft.com/office/drawing/2010/main"/>
                      </a:ext>
                    </a:extLst>
                  </pic:spPr>
                </pic:pic>
              </a:graphicData>
            </a:graphic>
          </wp:inline>
        </w:drawing>
      </w:r>
    </w:p>
    <w:p w14:paraId="436BA2A7" w14:textId="36F71D9D" w:rsidR="00AB1F00" w:rsidRPr="00F3767B" w:rsidRDefault="00D55370" w:rsidP="00A3755B">
      <w:pPr>
        <w:spacing w:before="240" w:after="240" w:line="360" w:lineRule="auto"/>
        <w:jc w:val="both"/>
      </w:pPr>
      <w:r w:rsidRPr="00F3767B">
        <w:rPr>
          <w:b/>
          <w:bCs/>
        </w:rPr>
        <w:t xml:space="preserve">Supplementary Fig. </w:t>
      </w:r>
      <w:r w:rsidR="000C6FEE" w:rsidRPr="00F3767B">
        <w:rPr>
          <w:b/>
          <w:bCs/>
        </w:rPr>
        <w:t>1</w:t>
      </w:r>
      <w:r w:rsidR="00AB1F00" w:rsidRPr="00F3767B">
        <w:t xml:space="preserve">: </w:t>
      </w:r>
      <w:r w:rsidR="00B86759" w:rsidRPr="00B7686E">
        <w:t>(a-g)</w:t>
      </w:r>
      <w:r w:rsidR="00B86759" w:rsidRPr="00F3767B">
        <w:rPr>
          <w:color w:val="FF0000"/>
        </w:rPr>
        <w:t xml:space="preserve"> </w:t>
      </w:r>
      <w:r w:rsidR="00AB1F00" w:rsidRPr="00F3767B">
        <w:t xml:space="preserve">Nitrogen adsorption-desorption isotherms of the seven oxide supports </w:t>
      </w:r>
      <w:r w:rsidR="00D13356" w:rsidRPr="00F3767B">
        <w:t xml:space="preserve">(as labeled) </w:t>
      </w:r>
      <w:r w:rsidR="00AB1F00" w:rsidRPr="00F3767B">
        <w:t xml:space="preserve">with insets showing the associated pore size distributions derived from BJH analysis. </w:t>
      </w:r>
    </w:p>
    <w:p w14:paraId="00B0D2ED" w14:textId="77777777" w:rsidR="00AB1F00" w:rsidRPr="00F3767B" w:rsidRDefault="00AB1F00" w:rsidP="00AB1F00">
      <w:r w:rsidRPr="00F3767B">
        <w:br w:type="page"/>
      </w:r>
    </w:p>
    <w:p w14:paraId="2C2DAF08" w14:textId="77777777" w:rsidR="00B10531" w:rsidRPr="00F3767B" w:rsidRDefault="00B10531" w:rsidP="00AB1F00"/>
    <w:p w14:paraId="1A987763" w14:textId="77777777" w:rsidR="00AB1F00" w:rsidRPr="00F3767B" w:rsidRDefault="00AB1F00" w:rsidP="00AB1F00">
      <w:pPr>
        <w:spacing w:before="240" w:after="240" w:line="360" w:lineRule="auto"/>
        <w:jc w:val="center"/>
        <w:rPr>
          <w:b/>
          <w:bCs/>
        </w:rPr>
      </w:pPr>
      <w:r w:rsidRPr="00F3767B">
        <w:rPr>
          <w:b/>
          <w:bCs/>
          <w:noProof/>
        </w:rPr>
        <w:drawing>
          <wp:inline distT="0" distB="0" distL="0" distR="0" wp14:anchorId="34912DA2" wp14:editId="40907CFD">
            <wp:extent cx="4398380" cy="3121628"/>
            <wp:effectExtent l="0" t="0" r="2540" b="3175"/>
            <wp:docPr id="640737646" name="Picture 1" descr="A graph of different types of energ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737646" name="Picture 1" descr="A graph of different types of energy&#10;&#10;Description automatically generated"/>
                    <pic:cNvPicPr/>
                  </pic:nvPicPr>
                  <pic:blipFill>
                    <a:blip r:embed="rId12"/>
                    <a:stretch>
                      <a:fillRect/>
                    </a:stretch>
                  </pic:blipFill>
                  <pic:spPr>
                    <a:xfrm>
                      <a:off x="0" y="0"/>
                      <a:ext cx="4413647" cy="3132463"/>
                    </a:xfrm>
                    <a:prstGeom prst="rect">
                      <a:avLst/>
                    </a:prstGeom>
                  </pic:spPr>
                </pic:pic>
              </a:graphicData>
            </a:graphic>
          </wp:inline>
        </w:drawing>
      </w:r>
    </w:p>
    <w:p w14:paraId="6628C7A9" w14:textId="78FE7E3C" w:rsidR="005C7658" w:rsidRPr="00F3767B" w:rsidRDefault="00D55370" w:rsidP="00A3755B">
      <w:pPr>
        <w:spacing w:before="240" w:after="240" w:line="360" w:lineRule="auto"/>
        <w:jc w:val="both"/>
      </w:pPr>
      <w:r w:rsidRPr="00F3767B">
        <w:rPr>
          <w:b/>
          <w:bCs/>
        </w:rPr>
        <w:t xml:space="preserve">Supplementary Fig. </w:t>
      </w:r>
      <w:r w:rsidR="000C6FEE" w:rsidRPr="00F3767B">
        <w:rPr>
          <w:b/>
          <w:bCs/>
        </w:rPr>
        <w:t>2</w:t>
      </w:r>
      <w:r w:rsidR="00AB1F00" w:rsidRPr="00F3767B">
        <w:rPr>
          <w:b/>
          <w:bCs/>
        </w:rPr>
        <w:t>:</w:t>
      </w:r>
      <w:r w:rsidR="00AB1F00" w:rsidRPr="00F3767B">
        <w:t xml:space="preserve"> XRD patterns for </w:t>
      </w:r>
      <w:r w:rsidR="00B86759" w:rsidRPr="00F3767B">
        <w:t xml:space="preserve">(a) </w:t>
      </w:r>
      <w:r w:rsidR="002B26E6" w:rsidRPr="00F3767B">
        <w:t>TiO</w:t>
      </w:r>
      <w:r w:rsidR="002B26E6" w:rsidRPr="00F3767B">
        <w:rPr>
          <w:vertAlign w:val="subscript"/>
        </w:rPr>
        <w:t>2</w:t>
      </w:r>
      <w:r w:rsidR="002B26E6" w:rsidRPr="00F3767B">
        <w:t xml:space="preserve"> and </w:t>
      </w:r>
      <w:r w:rsidR="00B86759" w:rsidRPr="00F3767B">
        <w:t xml:space="preserve">(b) </w:t>
      </w:r>
      <w:r w:rsidR="002B26E6" w:rsidRPr="00F3767B">
        <w:t>Ta</w:t>
      </w:r>
      <w:r w:rsidR="002B26E6" w:rsidRPr="00F3767B">
        <w:rPr>
          <w:vertAlign w:val="subscript"/>
        </w:rPr>
        <w:t>2</w:t>
      </w:r>
      <w:r w:rsidR="002B26E6" w:rsidRPr="00F3767B">
        <w:t>O</w:t>
      </w:r>
      <w:r w:rsidR="002B26E6" w:rsidRPr="00F3767B">
        <w:rPr>
          <w:vertAlign w:val="subscript"/>
        </w:rPr>
        <w:t>5</w:t>
      </w:r>
      <w:r w:rsidR="002B26E6" w:rsidRPr="00F3767B">
        <w:t xml:space="preserve"> </w:t>
      </w:r>
      <w:r w:rsidR="00AB1F00" w:rsidRPr="00F3767B">
        <w:t xml:space="preserve">catalysts decorated with Rh particles. XRD reference pattern peak locations and relative intensities are indicated by drop lines at the bottom of each panel, corresponding to tantalum oxide (PDF: 01-071-0639), anatase titania (PDF: 01-086-1157), and rhodium (PDF: 00-005-0685). </w:t>
      </w:r>
      <w:r w:rsidR="00B86759" w:rsidRPr="00F3767B">
        <w:t>(b,</w:t>
      </w:r>
      <w:r w:rsidR="00EB7D3B" w:rsidRPr="00F3767B">
        <w:t xml:space="preserve"> </w:t>
      </w:r>
      <w:r w:rsidR="00B86759" w:rsidRPr="00F3767B">
        <w:t xml:space="preserve">d) </w:t>
      </w:r>
      <w:r w:rsidR="00AB1F00" w:rsidRPr="00F3767B">
        <w:t>XPS spectra for catalysts after photocatalytic evaluation, as well as one TiO</w:t>
      </w:r>
      <w:r w:rsidR="00AB1F00" w:rsidRPr="00F3767B">
        <w:softHyphen/>
      </w:r>
      <w:r w:rsidR="00AB1F00" w:rsidRPr="00F3767B">
        <w:rPr>
          <w:vertAlign w:val="subscript"/>
        </w:rPr>
        <w:t>2</w:t>
      </w:r>
      <w:r w:rsidR="00AB1F00" w:rsidRPr="00F3767B">
        <w:t xml:space="preserve"> G</w:t>
      </w:r>
      <w:r w:rsidR="00AB1F00" w:rsidRPr="00F3767B">
        <w:rPr>
          <w:vertAlign w:val="superscript"/>
        </w:rPr>
        <w:t>A</w:t>
      </w:r>
      <w:r w:rsidR="00AB1F00" w:rsidRPr="00F3767B">
        <w:t xml:space="preserve"> catalyst before evaluation with RhCl</w:t>
      </w:r>
      <w:r w:rsidR="00AB1F00" w:rsidRPr="00F3767B">
        <w:rPr>
          <w:vertAlign w:val="subscript"/>
        </w:rPr>
        <w:t>3</w:t>
      </w:r>
      <w:r w:rsidR="00AB1F00" w:rsidRPr="00F3767B">
        <w:t xml:space="preserve"> present before reduction to Rh. Results of quantitative XPS analysis are summarized in </w:t>
      </w:r>
      <w:r w:rsidRPr="00F3767B">
        <w:t xml:space="preserve">Supplementary Table </w:t>
      </w:r>
      <w:r w:rsidR="00BC690D" w:rsidRPr="00F3767B">
        <w:t>2</w:t>
      </w:r>
      <w:r w:rsidR="00AB1F00" w:rsidRPr="00F3767B">
        <w:t>.</w:t>
      </w:r>
    </w:p>
    <w:p w14:paraId="1BF6A883" w14:textId="77777777" w:rsidR="005C7658" w:rsidRPr="00F3767B" w:rsidRDefault="005C7658">
      <w:pPr>
        <w:spacing w:line="240" w:lineRule="auto"/>
        <w:rPr>
          <w:sz w:val="20"/>
          <w:szCs w:val="20"/>
        </w:rPr>
      </w:pPr>
      <w:r w:rsidRPr="00F3767B">
        <w:rPr>
          <w:sz w:val="20"/>
          <w:szCs w:val="20"/>
        </w:rPr>
        <w:br w:type="page"/>
      </w:r>
    </w:p>
    <w:p w14:paraId="5BBC82E2" w14:textId="5FF21EBB" w:rsidR="00AB1F00" w:rsidRPr="00F3767B" w:rsidRDefault="00AB1F00" w:rsidP="00AB1F00">
      <w:pPr>
        <w:spacing w:before="240" w:after="240" w:line="360" w:lineRule="auto"/>
        <w:jc w:val="center"/>
      </w:pPr>
    </w:p>
    <w:p w14:paraId="109FC0AE" w14:textId="77777777" w:rsidR="00AB1F00" w:rsidRPr="00F3767B" w:rsidRDefault="00AB1F00" w:rsidP="00AB1F00">
      <w:r w:rsidRPr="00F3767B">
        <w:rPr>
          <w:noProof/>
        </w:rPr>
        <w:drawing>
          <wp:inline distT="0" distB="0" distL="0" distR="0" wp14:anchorId="2212ACFC" wp14:editId="4182FA71">
            <wp:extent cx="5943600" cy="2461895"/>
            <wp:effectExtent l="0" t="0" r="0" b="0"/>
            <wp:docPr id="1837594005" name="Picture 1837594005" descr="A picture containing text, diagram, line,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321389" name="Picture 1" descr="A picture containing text, diagram, line, plot&#10;&#10;Description automatically generated"/>
                    <pic:cNvPicPr/>
                  </pic:nvPicPr>
                  <pic:blipFill>
                    <a:blip r:embed="rId13"/>
                    <a:stretch>
                      <a:fillRect/>
                    </a:stretch>
                  </pic:blipFill>
                  <pic:spPr>
                    <a:xfrm>
                      <a:off x="0" y="0"/>
                      <a:ext cx="5943600" cy="2461895"/>
                    </a:xfrm>
                    <a:prstGeom prst="rect">
                      <a:avLst/>
                    </a:prstGeom>
                  </pic:spPr>
                </pic:pic>
              </a:graphicData>
            </a:graphic>
          </wp:inline>
        </w:drawing>
      </w:r>
    </w:p>
    <w:p w14:paraId="08B477D1" w14:textId="77777777" w:rsidR="00A3755B" w:rsidRPr="00F3767B" w:rsidRDefault="00A3755B" w:rsidP="00A3755B">
      <w:pPr>
        <w:spacing w:before="240" w:after="240" w:line="360" w:lineRule="auto"/>
        <w:jc w:val="both"/>
        <w:rPr>
          <w:b/>
          <w:bCs/>
        </w:rPr>
      </w:pPr>
    </w:p>
    <w:p w14:paraId="5BAF9EF6" w14:textId="563DC87E" w:rsidR="00AB1F00" w:rsidRPr="00F3767B" w:rsidRDefault="00D55370" w:rsidP="00A3755B">
      <w:pPr>
        <w:spacing w:before="240" w:after="240" w:line="360" w:lineRule="auto"/>
        <w:jc w:val="both"/>
      </w:pPr>
      <w:r w:rsidRPr="00F3767B">
        <w:rPr>
          <w:b/>
          <w:bCs/>
        </w:rPr>
        <w:t xml:space="preserve">Supplementary Fig. </w:t>
      </w:r>
      <w:r w:rsidR="00BC690D" w:rsidRPr="00F3767B">
        <w:rPr>
          <w:b/>
          <w:bCs/>
        </w:rPr>
        <w:t>3</w:t>
      </w:r>
      <w:r w:rsidR="00AB1F00" w:rsidRPr="00F3767B">
        <w:t xml:space="preserve">: UV-vis data together with fits for calculations of the band gap for each material. All supports were found to have approximately 3eV band gaps. Trendlines are tangential to the steepest slope of each curve, according to convention. </w:t>
      </w:r>
    </w:p>
    <w:p w14:paraId="7B7235B4" w14:textId="77777777" w:rsidR="00AB1F00" w:rsidRPr="00F3767B" w:rsidRDefault="00AB1F00" w:rsidP="00AB1F00">
      <w:pPr>
        <w:spacing w:before="240" w:after="240" w:line="480" w:lineRule="auto"/>
      </w:pPr>
    </w:p>
    <w:p w14:paraId="4D06F646" w14:textId="77777777" w:rsidR="00B10531" w:rsidRPr="00F3767B" w:rsidRDefault="00AB1F00" w:rsidP="00AB1F00">
      <w:pPr>
        <w:spacing w:before="240" w:after="240" w:line="360" w:lineRule="auto"/>
        <w:jc w:val="both"/>
      </w:pPr>
      <w:r w:rsidRPr="00F3767B">
        <w:br w:type="page"/>
      </w:r>
    </w:p>
    <w:p w14:paraId="5D6CFC39" w14:textId="77777777" w:rsidR="00B10531" w:rsidRPr="00F3767B" w:rsidRDefault="00B10531" w:rsidP="00AB1F00">
      <w:pPr>
        <w:spacing w:before="240" w:after="240" w:line="360" w:lineRule="auto"/>
        <w:jc w:val="both"/>
      </w:pPr>
    </w:p>
    <w:p w14:paraId="678341A2" w14:textId="776AF604" w:rsidR="00AB1F00" w:rsidRPr="00F3767B" w:rsidRDefault="00AB1F00" w:rsidP="00AB1F00">
      <w:pPr>
        <w:spacing w:before="240" w:after="240" w:line="360" w:lineRule="auto"/>
        <w:jc w:val="both"/>
      </w:pPr>
      <w:r w:rsidRPr="00F3767B">
        <w:rPr>
          <w:noProof/>
        </w:rPr>
        <w:drawing>
          <wp:inline distT="0" distB="0" distL="0" distR="0" wp14:anchorId="58CE920C" wp14:editId="07C5BDC4">
            <wp:extent cx="5943600" cy="2401570"/>
            <wp:effectExtent l="0" t="0" r="0" b="0"/>
            <wp:docPr id="1144033917" name="Picture 5" descr="A close up of a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033917" name="Picture 5" descr="A close up of a tube&#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2401570"/>
                    </a:xfrm>
                    <a:prstGeom prst="rect">
                      <a:avLst/>
                    </a:prstGeom>
                    <a:noFill/>
                    <a:ln>
                      <a:noFill/>
                    </a:ln>
                  </pic:spPr>
                </pic:pic>
              </a:graphicData>
            </a:graphic>
          </wp:inline>
        </w:drawing>
      </w:r>
    </w:p>
    <w:p w14:paraId="3179DECF" w14:textId="06AB45A9" w:rsidR="00AB1F00" w:rsidRPr="00F3767B" w:rsidRDefault="00D55370" w:rsidP="00AB1F00">
      <w:pPr>
        <w:spacing w:before="240" w:after="240" w:line="360" w:lineRule="auto"/>
        <w:jc w:val="both"/>
      </w:pPr>
      <w:r w:rsidRPr="00F3767B">
        <w:rPr>
          <w:b/>
        </w:rPr>
        <w:t xml:space="preserve">Supplementary Fig. </w:t>
      </w:r>
      <w:r w:rsidR="00D06001" w:rsidRPr="00F3767B">
        <w:rPr>
          <w:b/>
        </w:rPr>
        <w:t>4</w:t>
      </w:r>
      <w:r w:rsidR="00AB1F00" w:rsidRPr="00F3767B">
        <w:rPr>
          <w:b/>
        </w:rPr>
        <w:t xml:space="preserve">: </w:t>
      </w:r>
      <w:r w:rsidR="00B86759" w:rsidRPr="00F3767B">
        <w:rPr>
          <w:bCs/>
        </w:rPr>
        <w:t xml:space="preserve">(a) </w:t>
      </w:r>
      <w:r w:rsidR="00AB1F00" w:rsidRPr="00F3767B">
        <w:t xml:space="preserve">The quartz glass reactor used for testing of catalysts with periodic gyroid and hexagonal mesostructure. Side view, test gas flow direction is marked by long red arrows, while illumination direction is marked by wide yellow arrow. Top view, illumination was perpendicular to the 4mm diameter circular cross-section of catalyst powder, corresponding to a 0.125 cm² illuminated area. Catalyst powder is held in position by glass wool. </w:t>
      </w:r>
      <w:r w:rsidR="00B86759" w:rsidRPr="00F3767B">
        <w:t xml:space="preserve">(b) </w:t>
      </w:r>
      <w:r w:rsidR="00AB1F00" w:rsidRPr="00F3767B">
        <w:t xml:space="preserve">The top-loading reactor for testing asymmetric thin films, constructed of brass with a central quartz window. A catalytic film is placed in the 3mm diameter outlet, suspended by glass wool. Films tested were typically 2-2.5 mm square. </w:t>
      </w:r>
    </w:p>
    <w:p w14:paraId="2B6587D0" w14:textId="77777777" w:rsidR="00AB1F00" w:rsidRPr="00F3767B" w:rsidRDefault="00AB1F00" w:rsidP="00AB1F00">
      <w:r w:rsidRPr="00F3767B">
        <w:br w:type="page"/>
      </w:r>
    </w:p>
    <w:p w14:paraId="30502A40" w14:textId="77777777" w:rsidR="00B10531" w:rsidRPr="00F3767B" w:rsidRDefault="00B10531" w:rsidP="00AB1F00"/>
    <w:p w14:paraId="5248C42C" w14:textId="77777777" w:rsidR="00A3755B" w:rsidRPr="00F3767B" w:rsidRDefault="00A3755B" w:rsidP="00AB1F00"/>
    <w:p w14:paraId="059F22CE" w14:textId="77777777" w:rsidR="00AB1F00" w:rsidRPr="00F3767B" w:rsidRDefault="00AB1F00" w:rsidP="00AB1F00">
      <w:pPr>
        <w:ind w:firstLine="720"/>
        <w:rPr>
          <w:b/>
          <w:bCs/>
        </w:rPr>
      </w:pPr>
      <w:r w:rsidRPr="00F3767B">
        <w:rPr>
          <w:noProof/>
        </w:rPr>
        <w:drawing>
          <wp:inline distT="0" distB="0" distL="0" distR="0" wp14:anchorId="61AF394C" wp14:editId="1A35F320">
            <wp:extent cx="2956902" cy="1944233"/>
            <wp:effectExtent l="0" t="0" r="0" b="0"/>
            <wp:docPr id="1951683919" name="Picture 1951683919" descr="A close-up of a machin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226831" name="Picture 1" descr="A close-up of a machine&#10;&#10;Description automatically generated with low confidence"/>
                    <pic:cNvPicPr>
                      <a:picLocks noChangeAspect="1" noChangeArrowheads="1"/>
                    </pic:cNvPicPr>
                  </pic:nvPicPr>
                  <pic:blipFill rotWithShape="1">
                    <a:blip r:embed="rId15">
                      <a:extLst>
                        <a:ext uri="{28A0092B-C50C-407E-A947-70E740481C1C}">
                          <a14:useLocalDpi xmlns:a14="http://schemas.microsoft.com/office/drawing/2010/main" val="0"/>
                        </a:ext>
                      </a:extLst>
                    </a:blip>
                    <a:srcRect l="5721" t="15643" r="7627" b="8369"/>
                    <a:stretch/>
                  </pic:blipFill>
                  <pic:spPr bwMode="auto">
                    <a:xfrm rot="10800000">
                      <a:off x="0" y="0"/>
                      <a:ext cx="2961743" cy="1947416"/>
                    </a:xfrm>
                    <a:prstGeom prst="rect">
                      <a:avLst/>
                    </a:prstGeom>
                    <a:noFill/>
                    <a:ln>
                      <a:noFill/>
                    </a:ln>
                    <a:extLst>
                      <a:ext uri="{53640926-AAD7-44D8-BBD7-CCE9431645EC}">
                        <a14:shadowObscured xmlns:a14="http://schemas.microsoft.com/office/drawing/2010/main"/>
                      </a:ext>
                    </a:extLst>
                  </pic:spPr>
                </pic:pic>
              </a:graphicData>
            </a:graphic>
          </wp:inline>
        </w:drawing>
      </w:r>
      <w:r w:rsidRPr="00F3767B">
        <w:rPr>
          <w:noProof/>
        </w:rPr>
        <w:drawing>
          <wp:inline distT="0" distB="0" distL="0" distR="0" wp14:anchorId="22BCD64A" wp14:editId="4175892F">
            <wp:extent cx="1950700" cy="1783011"/>
            <wp:effectExtent l="7620" t="0" r="635" b="635"/>
            <wp:docPr id="347809284" name="Picture 347809284" descr="A hand holding a measuring devi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836636" name="Picture 2" descr="A hand holding a measuring device&#10;&#10;Description automatically generated with low confidence"/>
                    <pic:cNvPicPr>
                      <a:picLocks noChangeAspect="1" noChangeArrowheads="1"/>
                    </pic:cNvPicPr>
                  </pic:nvPicPr>
                  <pic:blipFill rotWithShape="1">
                    <a:blip r:embed="rId16">
                      <a:extLst>
                        <a:ext uri="{28A0092B-C50C-407E-A947-70E740481C1C}">
                          <a14:useLocalDpi xmlns:a14="http://schemas.microsoft.com/office/drawing/2010/main" val="0"/>
                        </a:ext>
                      </a:extLst>
                    </a:blip>
                    <a:srcRect l="23117" t="21409" r="30338" b="21849"/>
                    <a:stretch/>
                  </pic:blipFill>
                  <pic:spPr bwMode="auto">
                    <a:xfrm rot="5400000">
                      <a:off x="0" y="0"/>
                      <a:ext cx="1955953" cy="1787813"/>
                    </a:xfrm>
                    <a:prstGeom prst="rect">
                      <a:avLst/>
                    </a:prstGeom>
                    <a:noFill/>
                    <a:ln>
                      <a:noFill/>
                    </a:ln>
                    <a:extLst>
                      <a:ext uri="{53640926-AAD7-44D8-BBD7-CCE9431645EC}">
                        <a14:shadowObscured xmlns:a14="http://schemas.microsoft.com/office/drawing/2010/main"/>
                      </a:ext>
                    </a:extLst>
                  </pic:spPr>
                </pic:pic>
              </a:graphicData>
            </a:graphic>
          </wp:inline>
        </w:drawing>
      </w:r>
    </w:p>
    <w:p w14:paraId="39E0777E" w14:textId="77777777" w:rsidR="00A3755B" w:rsidRPr="00F3767B" w:rsidRDefault="00A3755B" w:rsidP="00A3755B">
      <w:pPr>
        <w:spacing w:before="240" w:after="240" w:line="360" w:lineRule="auto"/>
        <w:jc w:val="both"/>
        <w:rPr>
          <w:b/>
          <w:bCs/>
        </w:rPr>
      </w:pPr>
    </w:p>
    <w:p w14:paraId="4506EC03" w14:textId="0F4168D2" w:rsidR="00AB1F00" w:rsidRPr="00F3767B" w:rsidRDefault="00D55370" w:rsidP="00A3755B">
      <w:pPr>
        <w:spacing w:before="240" w:after="240" w:line="360" w:lineRule="auto"/>
        <w:jc w:val="both"/>
        <w:rPr>
          <w:b/>
        </w:rPr>
      </w:pPr>
      <w:r w:rsidRPr="00F3767B">
        <w:rPr>
          <w:b/>
          <w:bCs/>
        </w:rPr>
        <w:t xml:space="preserve">Supplementary Fig. </w:t>
      </w:r>
      <w:r w:rsidR="00D06001" w:rsidRPr="00F3767B">
        <w:rPr>
          <w:b/>
          <w:bCs/>
        </w:rPr>
        <w:t>5</w:t>
      </w:r>
      <w:r w:rsidR="00AB1F00" w:rsidRPr="00F3767B">
        <w:rPr>
          <w:b/>
          <w:bCs/>
        </w:rPr>
        <w:t xml:space="preserve">: </w:t>
      </w:r>
      <w:r w:rsidR="00B86759" w:rsidRPr="00F3767B">
        <w:t xml:space="preserve">(Left) </w:t>
      </w:r>
      <w:r w:rsidR="00AB1F00" w:rsidRPr="00F3767B">
        <w:t>Mass of the TiO</w:t>
      </w:r>
      <w:r w:rsidR="00AB1F00" w:rsidRPr="00F3767B">
        <w:softHyphen/>
      </w:r>
      <w:r w:rsidR="00AB1F00" w:rsidRPr="00F3767B">
        <w:rPr>
          <w:vertAlign w:val="subscript"/>
        </w:rPr>
        <w:t>2</w:t>
      </w:r>
      <w:r w:rsidR="00AB1F00" w:rsidRPr="00F3767B">
        <w:t xml:space="preserve"> film sample, taken with a Perkin-Elmer AD-2Z </w:t>
      </w:r>
      <w:proofErr w:type="spellStart"/>
      <w:r w:rsidR="00AB1F00" w:rsidRPr="00F3767B">
        <w:t>autobalance</w:t>
      </w:r>
      <w:proofErr w:type="spellEnd"/>
      <w:r w:rsidR="00AB1F00" w:rsidRPr="00F3767B">
        <w:t xml:space="preserve">. The reported value (0.145 mg) is an average of five measurements. </w:t>
      </w:r>
      <w:r w:rsidR="00B86759" w:rsidRPr="00F3767B">
        <w:t xml:space="preserve">(Right) </w:t>
      </w:r>
      <w:r w:rsidR="00AB1F00" w:rsidRPr="00F3767B">
        <w:t>The size of the TiO</w:t>
      </w:r>
      <w:r w:rsidR="00AB1F00" w:rsidRPr="00F3767B">
        <w:rPr>
          <w:vertAlign w:val="subscript"/>
        </w:rPr>
        <w:t>2</w:t>
      </w:r>
      <w:r w:rsidR="00AB1F00" w:rsidRPr="00F3767B">
        <w:t xml:space="preserve"> film sample, approximately 2.4 x 2 mm, for an area of 0.048 cm</w:t>
      </w:r>
      <w:r w:rsidR="00AB1F00" w:rsidRPr="00F3767B">
        <w:rPr>
          <w:vertAlign w:val="superscript"/>
        </w:rPr>
        <w:t>2</w:t>
      </w:r>
      <w:r w:rsidR="00AB1F00" w:rsidRPr="00F3767B">
        <w:t>. The single piece was loaded into the top-loading reactor (</w:t>
      </w:r>
      <w:r w:rsidRPr="00F3767B">
        <w:t xml:space="preserve">Supplementary Fig. </w:t>
      </w:r>
      <w:r w:rsidR="00D06001" w:rsidRPr="00F3767B">
        <w:t>4</w:t>
      </w:r>
      <w:r w:rsidR="00AB1F00" w:rsidRPr="00F3767B">
        <w:t xml:space="preserve">b) for testing. </w:t>
      </w:r>
      <w:r w:rsidR="00AB1F00" w:rsidRPr="00F3767B">
        <w:rPr>
          <w:b/>
        </w:rPr>
        <w:br w:type="page"/>
      </w:r>
    </w:p>
    <w:p w14:paraId="40283A15" w14:textId="77777777" w:rsidR="0075782C" w:rsidRPr="00F3767B" w:rsidRDefault="0075782C" w:rsidP="0075782C"/>
    <w:p w14:paraId="62490F98" w14:textId="77777777" w:rsidR="0075782C" w:rsidRPr="00F3767B" w:rsidRDefault="0075782C" w:rsidP="0075782C">
      <w:pPr>
        <w:spacing w:before="240" w:after="240" w:line="480" w:lineRule="auto"/>
      </w:pPr>
      <w:r w:rsidRPr="00F3767B">
        <w:rPr>
          <w:noProof/>
        </w:rPr>
        <w:drawing>
          <wp:inline distT="0" distB="0" distL="0" distR="0" wp14:anchorId="0AB47DE1" wp14:editId="494DD171">
            <wp:extent cx="5927959" cy="3681454"/>
            <wp:effectExtent l="0" t="0" r="0" b="0"/>
            <wp:docPr id="787564281" name="Picture 787564281" descr="A graph of a wave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116696" name="Picture 1545116696" descr="A graph of a wave graph&#10;&#10;Description automatically generated with medium confidenc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35835" cy="3686345"/>
                    </a:xfrm>
                    <a:prstGeom prst="rect">
                      <a:avLst/>
                    </a:prstGeom>
                    <a:noFill/>
                  </pic:spPr>
                </pic:pic>
              </a:graphicData>
            </a:graphic>
          </wp:inline>
        </w:drawing>
      </w:r>
    </w:p>
    <w:p w14:paraId="27E81D80" w14:textId="65D42B33" w:rsidR="0075782C" w:rsidRPr="00F3767B" w:rsidRDefault="00D55370" w:rsidP="00A3755B">
      <w:pPr>
        <w:spacing w:before="240" w:after="240" w:line="360" w:lineRule="auto"/>
        <w:jc w:val="both"/>
      </w:pPr>
      <w:r w:rsidRPr="00F3767B">
        <w:rPr>
          <w:b/>
        </w:rPr>
        <w:t xml:space="preserve">Supplementary Fig. </w:t>
      </w:r>
      <w:r w:rsidR="0075782C" w:rsidRPr="00F3767B">
        <w:rPr>
          <w:b/>
        </w:rPr>
        <w:t xml:space="preserve">6: </w:t>
      </w:r>
      <w:r w:rsidR="0075782C" w:rsidRPr="00F3767B">
        <w:t xml:space="preserve">Spectrum of 300W Xe lamp used for catalytic testing (6258 300W Xe Ozone Free). </w:t>
      </w:r>
      <w:r w:rsidR="00503A9E" w:rsidRPr="00F3767B">
        <w:t>[3</w:t>
      </w:r>
      <w:r w:rsidR="002C34E3" w:rsidRPr="00F3767B">
        <w:t>6</w:t>
      </w:r>
      <w:r w:rsidR="00503A9E" w:rsidRPr="00F3767B">
        <w:t>]</w:t>
      </w:r>
    </w:p>
    <w:p w14:paraId="0EC084D4" w14:textId="77777777" w:rsidR="0075782C" w:rsidRPr="00F3767B" w:rsidRDefault="0075782C" w:rsidP="0075782C">
      <w:r w:rsidRPr="00F3767B">
        <w:br w:type="page"/>
      </w:r>
    </w:p>
    <w:p w14:paraId="24207670" w14:textId="77777777" w:rsidR="00047B66" w:rsidRPr="00F3767B" w:rsidRDefault="00047B66" w:rsidP="00047B66">
      <w:pPr>
        <w:spacing w:line="360" w:lineRule="auto"/>
      </w:pPr>
    </w:p>
    <w:p w14:paraId="0C6C6E2C" w14:textId="77777777" w:rsidR="00047B66" w:rsidRPr="00F3767B" w:rsidRDefault="00047B66" w:rsidP="00047B66">
      <w:pPr>
        <w:spacing w:line="360" w:lineRule="auto"/>
      </w:pPr>
      <w:r w:rsidRPr="00F3767B">
        <w:rPr>
          <w:b/>
          <w:noProof/>
        </w:rPr>
        <w:drawing>
          <wp:inline distT="0" distB="0" distL="0" distR="0" wp14:anchorId="11117083" wp14:editId="65160DE8">
            <wp:extent cx="5943600" cy="2850515"/>
            <wp:effectExtent l="0" t="0" r="0" b="6985"/>
            <wp:docPr id="218724602" name="Picture 21872460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377841" name="Picture 1" descr="A screenshot of a computer&#10;&#10;Description automatically generated"/>
                    <pic:cNvPicPr/>
                  </pic:nvPicPr>
                  <pic:blipFill>
                    <a:blip r:embed="rId18"/>
                    <a:stretch>
                      <a:fillRect/>
                    </a:stretch>
                  </pic:blipFill>
                  <pic:spPr>
                    <a:xfrm>
                      <a:off x="0" y="0"/>
                      <a:ext cx="5943600" cy="2850515"/>
                    </a:xfrm>
                    <a:prstGeom prst="rect">
                      <a:avLst/>
                    </a:prstGeom>
                  </pic:spPr>
                </pic:pic>
              </a:graphicData>
            </a:graphic>
          </wp:inline>
        </w:drawing>
      </w:r>
    </w:p>
    <w:p w14:paraId="36CB4C67" w14:textId="77777777" w:rsidR="00047B66" w:rsidRPr="00F3767B" w:rsidRDefault="00047B66" w:rsidP="00047B66">
      <w:pPr>
        <w:spacing w:line="360" w:lineRule="auto"/>
        <w:rPr>
          <w:b/>
        </w:rPr>
      </w:pPr>
    </w:p>
    <w:p w14:paraId="303ECAA9" w14:textId="59A52E4A" w:rsidR="00047B66" w:rsidRPr="00F3767B" w:rsidRDefault="00D55370" w:rsidP="00A3755B">
      <w:pPr>
        <w:spacing w:line="360" w:lineRule="auto"/>
        <w:jc w:val="both"/>
      </w:pPr>
      <w:r w:rsidRPr="00F3767B">
        <w:rPr>
          <w:b/>
        </w:rPr>
        <w:t xml:space="preserve">Supplementary Fig. </w:t>
      </w:r>
      <w:r w:rsidR="00047B66" w:rsidRPr="00F3767B">
        <w:rPr>
          <w:b/>
        </w:rPr>
        <w:t>7</w:t>
      </w:r>
      <w:r w:rsidR="00047B66" w:rsidRPr="00F3767B">
        <w:t xml:space="preserve">: </w:t>
      </w:r>
      <w:r w:rsidR="00B86759" w:rsidRPr="00F3767B">
        <w:t xml:space="preserve">(Top) </w:t>
      </w:r>
      <w:r w:rsidR="00047B66" w:rsidRPr="00F3767B">
        <w:t>Raw data for the asymmetric TiO</w:t>
      </w:r>
      <w:r w:rsidR="00047B66" w:rsidRPr="00F3767B">
        <w:rPr>
          <w:vertAlign w:val="subscript"/>
        </w:rPr>
        <w:t>2</w:t>
      </w:r>
      <w:r w:rsidR="00047B66" w:rsidRPr="00F3767B">
        <w:t xml:space="preserve"> film (0.145 mg) at 21.4 mmol / </w:t>
      </w:r>
      <w:proofErr w:type="spellStart"/>
      <w:r w:rsidR="00047B66" w:rsidRPr="00F3767B">
        <w:t>hr</w:t>
      </w:r>
      <w:proofErr w:type="spellEnd"/>
      <w:r w:rsidR="00047B66" w:rsidRPr="00F3767B">
        <w:t xml:space="preserve"> CH</w:t>
      </w:r>
      <w:r w:rsidR="00047B66" w:rsidRPr="00F3767B">
        <w:rPr>
          <w:vertAlign w:val="subscript"/>
        </w:rPr>
        <w:t>4</w:t>
      </w:r>
      <w:r w:rsidR="00047B66" w:rsidRPr="00F3767B">
        <w:t>/CO</w:t>
      </w:r>
      <w:r w:rsidR="00047B66" w:rsidRPr="00F3767B">
        <w:rPr>
          <w:vertAlign w:val="subscript"/>
        </w:rPr>
        <w:t>2</w:t>
      </w:r>
      <w:r w:rsidR="00047B66" w:rsidRPr="00F3767B">
        <w:t xml:space="preserve"> flow rate (80 mL/min of 10%/10%/80% CH</w:t>
      </w:r>
      <w:r w:rsidR="00047B66" w:rsidRPr="00F3767B">
        <w:rPr>
          <w:vertAlign w:val="subscript"/>
        </w:rPr>
        <w:t>4</w:t>
      </w:r>
      <w:r w:rsidR="00047B66" w:rsidRPr="00F3767B">
        <w:t>/CO</w:t>
      </w:r>
      <w:r w:rsidR="00047B66" w:rsidRPr="00F3767B">
        <w:rPr>
          <w:vertAlign w:val="subscript"/>
        </w:rPr>
        <w:t>2</w:t>
      </w:r>
      <w:r w:rsidR="00047B66" w:rsidRPr="00F3767B">
        <w:t>/</w:t>
      </w:r>
      <w:proofErr w:type="spellStart"/>
      <w:r w:rsidR="00047B66" w:rsidRPr="00F3767B">
        <w:t>Ar</w:t>
      </w:r>
      <w:proofErr w:type="spellEnd"/>
      <w:r w:rsidR="00047B66" w:rsidRPr="00F3767B">
        <w:t xml:space="preserve"> gas), corresponding to 9.7% conversion of reactants to products, with 1.81% H</w:t>
      </w:r>
      <w:r w:rsidR="00047B66" w:rsidRPr="00F3767B">
        <w:rPr>
          <w:vertAlign w:val="subscript"/>
        </w:rPr>
        <w:t>2</w:t>
      </w:r>
      <w:r w:rsidR="00047B66" w:rsidRPr="00F3767B">
        <w:t xml:space="preserve"> and 1.99% CO detected, for an average production of 28,563 mmol / (</w:t>
      </w:r>
      <w:proofErr w:type="spellStart"/>
      <w:r w:rsidR="00047B66" w:rsidRPr="00F3767B">
        <w:t>hr·g</w:t>
      </w:r>
      <w:proofErr w:type="spellEnd"/>
      <w:r w:rsidR="00047B66" w:rsidRPr="00F3767B">
        <w:t xml:space="preserve">). Calibration curves for </w:t>
      </w:r>
      <w:r w:rsidR="00B86759" w:rsidRPr="00F3767B">
        <w:t xml:space="preserve">(bottom left) </w:t>
      </w:r>
      <w:r w:rsidR="00047B66" w:rsidRPr="00F3767B">
        <w:t xml:space="preserve">carbon monoxide and </w:t>
      </w:r>
      <w:r w:rsidR="00B86759" w:rsidRPr="00F3767B">
        <w:t xml:space="preserve">(bottom right) </w:t>
      </w:r>
      <w:r w:rsidR="00047B66" w:rsidRPr="00F3767B">
        <w:t>hydrogen, based on MESA VGM-3 &amp; VGM-7 calibration gases, as well as a 1%/2%/98% CO/H</w:t>
      </w:r>
      <w:r w:rsidR="00047B66" w:rsidRPr="00F3767B">
        <w:rPr>
          <w:vertAlign w:val="subscript"/>
        </w:rPr>
        <w:t>2</w:t>
      </w:r>
      <w:r w:rsidR="00047B66" w:rsidRPr="00F3767B">
        <w:t>/</w:t>
      </w:r>
      <w:proofErr w:type="spellStart"/>
      <w:r w:rsidR="00047B66" w:rsidRPr="00F3767B">
        <w:t>Ar</w:t>
      </w:r>
      <w:proofErr w:type="spellEnd"/>
      <w:r w:rsidR="00047B66" w:rsidRPr="00F3767B">
        <w:t xml:space="preserve"> cylinder from Airgas. </w:t>
      </w:r>
    </w:p>
    <w:p w14:paraId="3DABF7C2" w14:textId="77777777" w:rsidR="00047B66" w:rsidRPr="00F3767B" w:rsidRDefault="00047B66" w:rsidP="00047B66">
      <w:pPr>
        <w:spacing w:line="360" w:lineRule="auto"/>
      </w:pPr>
    </w:p>
    <w:p w14:paraId="73F1748E" w14:textId="77777777" w:rsidR="00047B66" w:rsidRPr="00F3767B" w:rsidRDefault="00047B66" w:rsidP="00047B66">
      <w:pPr>
        <w:spacing w:line="240" w:lineRule="auto"/>
      </w:pPr>
      <w:r w:rsidRPr="00F3767B">
        <w:br w:type="page"/>
      </w:r>
    </w:p>
    <w:p w14:paraId="0F24106A" w14:textId="77777777" w:rsidR="00B10531" w:rsidRPr="00F3767B" w:rsidRDefault="00B10531" w:rsidP="00AB1F00">
      <w:pPr>
        <w:spacing w:before="240" w:after="240" w:line="360" w:lineRule="auto"/>
      </w:pPr>
    </w:p>
    <w:p w14:paraId="35990B41" w14:textId="77777777" w:rsidR="00AB1F00" w:rsidRPr="00F3767B" w:rsidRDefault="00AB1F00" w:rsidP="00AB1F00">
      <w:pPr>
        <w:spacing w:before="240" w:after="240" w:line="360" w:lineRule="auto"/>
        <w:jc w:val="center"/>
        <w:rPr>
          <w:b/>
        </w:rPr>
      </w:pPr>
      <w:r w:rsidRPr="00F3767B">
        <w:rPr>
          <w:b/>
          <w:noProof/>
        </w:rPr>
        <w:drawing>
          <wp:inline distT="0" distB="0" distL="0" distR="0" wp14:anchorId="551CA1AC" wp14:editId="467315E8">
            <wp:extent cx="5144158" cy="2644815"/>
            <wp:effectExtent l="0" t="0" r="0" b="0"/>
            <wp:docPr id="231931753" name="Picture 231931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9">
                      <a:extLst>
                        <a:ext uri="{28A0092B-C50C-407E-A947-70E740481C1C}">
                          <a14:useLocalDpi xmlns:a14="http://schemas.microsoft.com/office/drawing/2010/main" val="0"/>
                        </a:ext>
                      </a:extLst>
                    </a:blip>
                    <a:srcRect t="22535" b="10149"/>
                    <a:stretch/>
                  </pic:blipFill>
                  <pic:spPr bwMode="auto">
                    <a:xfrm>
                      <a:off x="0" y="0"/>
                      <a:ext cx="5144770" cy="2645130"/>
                    </a:xfrm>
                    <a:prstGeom prst="rect">
                      <a:avLst/>
                    </a:prstGeom>
                    <a:noFill/>
                    <a:ln>
                      <a:noFill/>
                    </a:ln>
                    <a:extLst>
                      <a:ext uri="{53640926-AAD7-44D8-BBD7-CCE9431645EC}">
                        <a14:shadowObscured xmlns:a14="http://schemas.microsoft.com/office/drawing/2010/main"/>
                      </a:ext>
                    </a:extLst>
                  </pic:spPr>
                </pic:pic>
              </a:graphicData>
            </a:graphic>
          </wp:inline>
        </w:drawing>
      </w:r>
    </w:p>
    <w:p w14:paraId="4B518020" w14:textId="30EDA586" w:rsidR="00AB1F00" w:rsidRPr="00F3767B" w:rsidRDefault="00D55370" w:rsidP="00AB1F00">
      <w:pPr>
        <w:spacing w:before="240" w:after="240" w:line="360" w:lineRule="auto"/>
        <w:jc w:val="both"/>
        <w:rPr>
          <w:b/>
        </w:rPr>
      </w:pPr>
      <w:r w:rsidRPr="00F3767B">
        <w:rPr>
          <w:b/>
        </w:rPr>
        <w:t xml:space="preserve">Supplementary Fig. </w:t>
      </w:r>
      <w:r w:rsidR="00AB1F00" w:rsidRPr="00F3767B">
        <w:rPr>
          <w:b/>
        </w:rPr>
        <w:t xml:space="preserve">8: </w:t>
      </w:r>
      <w:r w:rsidR="00AB1F00" w:rsidRPr="00F3767B">
        <w:t>DRM results over 72hr of continuous operation of 7.5mg of Ta</w:t>
      </w:r>
      <w:r w:rsidR="00AB1F00" w:rsidRPr="00F3767B">
        <w:rPr>
          <w:vertAlign w:val="subscript"/>
        </w:rPr>
        <w:t>2</w:t>
      </w:r>
      <w:r w:rsidR="00AB1F00" w:rsidRPr="00F3767B">
        <w:t>O</w:t>
      </w:r>
      <w:r w:rsidR="00AB1F00" w:rsidRPr="00F3767B">
        <w:rPr>
          <w:vertAlign w:val="subscript"/>
        </w:rPr>
        <w:t>5</w:t>
      </w:r>
      <w:r w:rsidR="00AB1F00" w:rsidRPr="00F3767B">
        <w:t>-G</w:t>
      </w:r>
      <w:r w:rsidR="00AB1F00" w:rsidRPr="00F3767B">
        <w:rPr>
          <w:vertAlign w:val="superscript"/>
        </w:rPr>
        <w:t>A</w:t>
      </w:r>
      <w:r w:rsidR="00AB1F00" w:rsidRPr="00F3767B">
        <w:t xml:space="preserve"> catalyst under 18.5 mmol / </w:t>
      </w:r>
      <w:proofErr w:type="spellStart"/>
      <w:r w:rsidR="00AB1F00" w:rsidRPr="00F3767B">
        <w:t>hr</w:t>
      </w:r>
      <w:proofErr w:type="spellEnd"/>
      <w:r w:rsidR="00AB1F00" w:rsidRPr="00F3767B">
        <w:t xml:space="preserve"> feed rate (70 mL/min 10/10/80 CO₂/CH₄/</w:t>
      </w:r>
      <w:proofErr w:type="spellStart"/>
      <w:r w:rsidR="00AB1F00" w:rsidRPr="00F3767B">
        <w:t>Ar</w:t>
      </w:r>
      <w:proofErr w:type="spellEnd"/>
      <w:r w:rsidR="00AB1F00" w:rsidRPr="00F3767B">
        <w:t>). 30.074 mol of CO/H</w:t>
      </w:r>
      <w:r w:rsidR="00AB1F00" w:rsidRPr="00F3767B">
        <w:rPr>
          <w:vertAlign w:val="subscript"/>
        </w:rPr>
        <w:t>2</w:t>
      </w:r>
      <w:r w:rsidR="00AB1F00" w:rsidRPr="00F3767B">
        <w:t xml:space="preserve"> were produced (average) over 72hr, over 1.09·10</w:t>
      </w:r>
      <w:r w:rsidR="00AB1F00" w:rsidRPr="00F3767B">
        <w:rPr>
          <w:vertAlign w:val="superscript"/>
        </w:rPr>
        <w:t>-5</w:t>
      </w:r>
      <w:r w:rsidR="00AB1F00" w:rsidRPr="00F3767B">
        <w:t xml:space="preserve"> mol Rh (15 </w:t>
      </w:r>
      <w:proofErr w:type="spellStart"/>
      <w:r w:rsidR="00AB1F00" w:rsidRPr="00F3767B">
        <w:t>wt</w:t>
      </w:r>
      <w:proofErr w:type="spellEnd"/>
      <w:r w:rsidR="00AB1F00" w:rsidRPr="00F3767B">
        <w:t xml:space="preserve">%), for a turnover frequency of 38,320 / </w:t>
      </w:r>
      <w:proofErr w:type="spellStart"/>
      <w:r w:rsidR="00AB1F00" w:rsidRPr="00F3767B">
        <w:t>hr</w:t>
      </w:r>
      <w:proofErr w:type="spellEnd"/>
      <w:r w:rsidR="00AB1F00" w:rsidRPr="00F3767B">
        <w:t xml:space="preserve"> or 10.6 / s. A separate G</w:t>
      </w:r>
      <w:r w:rsidR="00AB1F00" w:rsidRPr="00F3767B">
        <w:rPr>
          <w:vertAlign w:val="superscript"/>
        </w:rPr>
        <w:t>A</w:t>
      </w:r>
      <w:r w:rsidR="00AB1F00" w:rsidRPr="00F3767B">
        <w:t xml:space="preserve"> sample was used for this durability test than for the main data set (Figure 5), resulting in slightly different initial conversion values. </w:t>
      </w:r>
    </w:p>
    <w:p w14:paraId="10AD185B" w14:textId="77777777" w:rsidR="00AB1F00" w:rsidRPr="00F3767B" w:rsidRDefault="00AB1F00" w:rsidP="00AB1F00">
      <w:r w:rsidRPr="00F3767B">
        <w:br w:type="page"/>
      </w:r>
    </w:p>
    <w:p w14:paraId="2A4E6ACF" w14:textId="77777777" w:rsidR="00B10531" w:rsidRPr="00F3767B" w:rsidRDefault="00B10531" w:rsidP="00AB1F00"/>
    <w:p w14:paraId="5B8C0E88" w14:textId="77777777" w:rsidR="00AB1F00" w:rsidRPr="00F3767B" w:rsidRDefault="00AB1F00" w:rsidP="00AB1F00">
      <w:pPr>
        <w:spacing w:before="240" w:after="240" w:line="360" w:lineRule="auto"/>
        <w:jc w:val="center"/>
      </w:pPr>
      <w:r w:rsidRPr="00F3767B">
        <w:rPr>
          <w:noProof/>
        </w:rPr>
        <w:drawing>
          <wp:inline distT="0" distB="0" distL="0" distR="0" wp14:anchorId="481C37A1" wp14:editId="7D8EE6DD">
            <wp:extent cx="5943600" cy="2345055"/>
            <wp:effectExtent l="0" t="0" r="0" b="0"/>
            <wp:docPr id="1554796211" name="Picture 1554796211" descr="A diagram of a variety of different types of graph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946799" name="Picture 1" descr="A diagram of a variety of different types of graphs&#10;&#10;Description automatically generated with medium confidence"/>
                    <pic:cNvPicPr/>
                  </pic:nvPicPr>
                  <pic:blipFill>
                    <a:blip r:embed="rId20"/>
                    <a:stretch>
                      <a:fillRect/>
                    </a:stretch>
                  </pic:blipFill>
                  <pic:spPr>
                    <a:xfrm>
                      <a:off x="0" y="0"/>
                      <a:ext cx="5943600" cy="2345055"/>
                    </a:xfrm>
                    <a:prstGeom prst="rect">
                      <a:avLst/>
                    </a:prstGeom>
                  </pic:spPr>
                </pic:pic>
              </a:graphicData>
            </a:graphic>
          </wp:inline>
        </w:drawing>
      </w:r>
    </w:p>
    <w:p w14:paraId="27166F71" w14:textId="27F3DAF3" w:rsidR="00AB1F00" w:rsidRPr="00F3767B" w:rsidRDefault="00D55370" w:rsidP="00A3755B">
      <w:pPr>
        <w:spacing w:before="240" w:after="240" w:line="360" w:lineRule="auto"/>
        <w:jc w:val="both"/>
      </w:pPr>
      <w:r w:rsidRPr="00F3767B">
        <w:rPr>
          <w:b/>
        </w:rPr>
        <w:t xml:space="preserve">Supplementary Fig. </w:t>
      </w:r>
      <w:r w:rsidR="00AB1F00" w:rsidRPr="00F3767B">
        <w:rPr>
          <w:b/>
        </w:rPr>
        <w:t>9</w:t>
      </w:r>
      <w:r w:rsidR="00AB1F00" w:rsidRPr="00F3767B">
        <w:t xml:space="preserve">: Reproduction of Figure </w:t>
      </w:r>
      <w:r w:rsidR="008D3396" w:rsidRPr="00F3767B">
        <w:t>4</w:t>
      </w:r>
      <w:r w:rsidR="00AB1F00" w:rsidRPr="00F3767B">
        <w:t xml:space="preserve"> with a non-mesoporous commercial “bulk” Ta</w:t>
      </w:r>
      <w:r w:rsidR="00AB1F00" w:rsidRPr="00F3767B">
        <w:rPr>
          <w:vertAlign w:val="subscript"/>
        </w:rPr>
        <w:t>2</w:t>
      </w:r>
      <w:r w:rsidR="00AB1F00" w:rsidRPr="00F3767B">
        <w:t>O</w:t>
      </w:r>
      <w:r w:rsidR="00AB1F00" w:rsidRPr="00F3767B">
        <w:rPr>
          <w:vertAlign w:val="subscript"/>
        </w:rPr>
        <w:t>5</w:t>
      </w:r>
      <w:r w:rsidR="00AB1F00" w:rsidRPr="00F3767B">
        <w:t xml:space="preserve"> powder (5.36 m</w:t>
      </w:r>
      <w:r w:rsidR="00AB1F00" w:rsidRPr="00F3767B">
        <w:rPr>
          <w:vertAlign w:val="superscript"/>
        </w:rPr>
        <w:t>2</w:t>
      </w:r>
      <w:r w:rsidR="00AB1F00" w:rsidRPr="00F3767B">
        <w:t>/g surface area) and non-mesoporous anatase “bulk” TiO</w:t>
      </w:r>
      <w:r w:rsidR="00AB1F00" w:rsidRPr="00F3767B">
        <w:rPr>
          <w:vertAlign w:val="subscript"/>
        </w:rPr>
        <w:t>2</w:t>
      </w:r>
      <w:r w:rsidR="00AB1F00" w:rsidRPr="00F3767B">
        <w:t xml:space="preserve"> powder (7.13 m</w:t>
      </w:r>
      <w:r w:rsidR="00AB1F00" w:rsidRPr="00F3767B">
        <w:rPr>
          <w:vertAlign w:val="superscript"/>
        </w:rPr>
        <w:t>2</w:t>
      </w:r>
      <w:r w:rsidR="00AB1F00" w:rsidRPr="00F3767B">
        <w:t xml:space="preserve">/g surface area) decorated with Rh nanoparticles for comparison. Advantages of mesoporous catalysts are most clear in panel c, where even when normalized by surface area, all mesoporous catalysts outperform non-structured counterparts, corroborating that the performance improvement of mesoporous materials lies in improving transport of species through the catalyst, rather than simply increasing surface area. </w:t>
      </w:r>
    </w:p>
    <w:p w14:paraId="2C6A5D6E" w14:textId="77777777" w:rsidR="00B10531" w:rsidRPr="00F3767B" w:rsidRDefault="00B10531" w:rsidP="00AB1F00">
      <w:pPr>
        <w:spacing w:line="360" w:lineRule="auto"/>
      </w:pPr>
    </w:p>
    <w:p w14:paraId="0084F205" w14:textId="77777777" w:rsidR="00B10531" w:rsidRPr="00F3767B" w:rsidRDefault="00AB1F00" w:rsidP="00AB1F00">
      <w:pPr>
        <w:spacing w:line="360" w:lineRule="auto"/>
      </w:pPr>
      <w:r w:rsidRPr="00F3767B">
        <w:br w:type="page"/>
      </w:r>
    </w:p>
    <w:p w14:paraId="217FA37F" w14:textId="77777777" w:rsidR="00AB1F00" w:rsidRPr="00F3767B" w:rsidRDefault="00AB1F00" w:rsidP="00AB1F00">
      <w:pPr>
        <w:spacing w:before="240" w:after="240" w:line="360" w:lineRule="auto"/>
      </w:pPr>
    </w:p>
    <w:p w14:paraId="38B00F89" w14:textId="77777777" w:rsidR="00AB1F00" w:rsidRPr="00F3767B" w:rsidRDefault="00AB1F00" w:rsidP="00AB1F00">
      <w:pPr>
        <w:spacing w:before="240" w:after="240" w:line="360" w:lineRule="auto"/>
      </w:pPr>
      <w:r w:rsidRPr="00F3767B">
        <w:rPr>
          <w:rFonts w:ascii="Cambria" w:hAnsi="Cambria"/>
          <w:noProof/>
        </w:rPr>
        <w:drawing>
          <wp:inline distT="0" distB="0" distL="0" distR="0" wp14:anchorId="21580F0E" wp14:editId="4A464FD2">
            <wp:extent cx="4480560" cy="4870611"/>
            <wp:effectExtent l="0" t="0" r="2540" b="6350"/>
            <wp:docPr id="18713753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375377" name=""/>
                    <pic:cNvPicPr/>
                  </pic:nvPicPr>
                  <pic:blipFill>
                    <a:blip r:embed="rId21"/>
                    <a:stretch>
                      <a:fillRect/>
                    </a:stretch>
                  </pic:blipFill>
                  <pic:spPr>
                    <a:xfrm>
                      <a:off x="0" y="0"/>
                      <a:ext cx="4480560" cy="4870611"/>
                    </a:xfrm>
                    <a:prstGeom prst="rect">
                      <a:avLst/>
                    </a:prstGeom>
                  </pic:spPr>
                </pic:pic>
              </a:graphicData>
            </a:graphic>
          </wp:inline>
        </w:drawing>
      </w:r>
    </w:p>
    <w:p w14:paraId="5550D0C9" w14:textId="520064D4" w:rsidR="00AB1F00" w:rsidRPr="00F3767B" w:rsidRDefault="00D55370" w:rsidP="00A3755B">
      <w:pPr>
        <w:spacing w:before="240" w:after="240" w:line="360" w:lineRule="auto"/>
        <w:jc w:val="both"/>
      </w:pPr>
      <w:r w:rsidRPr="00F3767B">
        <w:rPr>
          <w:b/>
        </w:rPr>
        <w:t xml:space="preserve">Supplementary Fig. </w:t>
      </w:r>
      <w:r w:rsidR="00AB1F00" w:rsidRPr="00F3767B">
        <w:rPr>
          <w:b/>
        </w:rPr>
        <w:t>1</w:t>
      </w:r>
      <w:r w:rsidR="00BF5C8F" w:rsidRPr="00F3767B">
        <w:rPr>
          <w:b/>
        </w:rPr>
        <w:t>0</w:t>
      </w:r>
      <w:r w:rsidR="00AB1F00" w:rsidRPr="00F3767B">
        <w:t xml:space="preserve">: </w:t>
      </w:r>
      <w:r w:rsidR="00B86759" w:rsidRPr="00F3767B">
        <w:t>(</w:t>
      </w:r>
      <w:proofErr w:type="spellStart"/>
      <w:proofErr w:type="gramStart"/>
      <w:r w:rsidR="00B86759" w:rsidRPr="00F3767B">
        <w:t>a,b</w:t>
      </w:r>
      <w:proofErr w:type="spellEnd"/>
      <w:proofErr w:type="gramEnd"/>
      <w:r w:rsidR="00B86759" w:rsidRPr="00F3767B">
        <w:t xml:space="preserve">) </w:t>
      </w:r>
      <w:r w:rsidR="00AB1F00" w:rsidRPr="00F3767B">
        <w:t>Additional views of the simulated asymmetric TiO</w:t>
      </w:r>
      <w:r w:rsidR="00AB1F00" w:rsidRPr="00F3767B">
        <w:rPr>
          <w:vertAlign w:val="subscript"/>
        </w:rPr>
        <w:t>2</w:t>
      </w:r>
      <w:r w:rsidR="00AB1F00" w:rsidRPr="00F3767B">
        <w:t xml:space="preserve">-Film structure are provided. Auxiliary links and axis nodes of the macropores are shown in red. </w:t>
      </w:r>
      <w:r w:rsidR="00B86759" w:rsidRPr="00F3767B">
        <w:t xml:space="preserve">(b) </w:t>
      </w:r>
      <w:r w:rsidR="00AB1F00" w:rsidRPr="00F3767B">
        <w:t xml:space="preserve">A view of the bottom macroporous film structure is given. </w:t>
      </w:r>
      <w:r w:rsidR="00B86759" w:rsidRPr="00F3767B">
        <w:t xml:space="preserve">(c) </w:t>
      </w:r>
      <w:r w:rsidR="00AB1F00" w:rsidRPr="00F3767B">
        <w:t>Geometric and hydraulic tortuosity values measured using stochastic pore network models (SPNMs) with cross-sectional area of 20×20 μm</w:t>
      </w:r>
      <w:r w:rsidR="00AB1F00" w:rsidRPr="00F3767B">
        <w:rPr>
          <w:vertAlign w:val="superscript"/>
        </w:rPr>
        <w:t>2</w:t>
      </w:r>
      <w:r w:rsidR="00AB1F00" w:rsidRPr="00F3767B">
        <w:t xml:space="preserve"> and depths of 8, 25, 50, 75 and 100 </w:t>
      </w:r>
      <w:proofErr w:type="spellStart"/>
      <w:r w:rsidR="00AB1F00" w:rsidRPr="00F3767B">
        <w:t>μm</w:t>
      </w:r>
      <w:proofErr w:type="spellEnd"/>
      <w:r w:rsidR="00AB1F00" w:rsidRPr="00F3767B">
        <w:t xml:space="preserve">. The 8 </w:t>
      </w:r>
      <w:proofErr w:type="spellStart"/>
      <w:r w:rsidR="00AB1F00" w:rsidRPr="00F3767B">
        <w:t>μm</w:t>
      </w:r>
      <w:proofErr w:type="spellEnd"/>
      <w:r w:rsidR="00AB1F00" w:rsidRPr="00F3767B">
        <w:t xml:space="preserve"> pore network only includes the upper mesoporous layer, whereas the remaining SPNMs incorporate an increasingly thicker layer containing macroporous channels (“fingers”). </w:t>
      </w:r>
    </w:p>
    <w:p w14:paraId="6AE3468A" w14:textId="77777777" w:rsidR="00B10531" w:rsidRPr="00F3767B" w:rsidRDefault="00B10531" w:rsidP="00AB1F00">
      <w:pPr>
        <w:spacing w:before="240" w:after="240" w:line="360" w:lineRule="auto"/>
      </w:pPr>
    </w:p>
    <w:p w14:paraId="6DDAD66B" w14:textId="7151BD3D" w:rsidR="00B10531" w:rsidRPr="00F3767B" w:rsidRDefault="00B10531">
      <w:pPr>
        <w:spacing w:line="240" w:lineRule="auto"/>
      </w:pPr>
      <w:r w:rsidRPr="00F3767B">
        <w:br w:type="page"/>
      </w:r>
    </w:p>
    <w:p w14:paraId="67D5CC50" w14:textId="77777777" w:rsidR="00B10531" w:rsidRPr="00F3767B" w:rsidRDefault="00B10531" w:rsidP="00AB1F00">
      <w:pPr>
        <w:spacing w:before="240" w:after="240" w:line="360" w:lineRule="auto"/>
      </w:pPr>
    </w:p>
    <w:p w14:paraId="3FE20817" w14:textId="77777777" w:rsidR="004651A8" w:rsidRPr="00F3767B" w:rsidRDefault="00AB1F00" w:rsidP="004651A8">
      <w:pPr>
        <w:spacing w:before="240" w:after="240" w:line="360" w:lineRule="auto"/>
        <w:jc w:val="both"/>
        <w:rPr>
          <w:b/>
        </w:rPr>
      </w:pPr>
      <w:r w:rsidRPr="00F3767B">
        <w:rPr>
          <w:noProof/>
        </w:rPr>
        <w:drawing>
          <wp:inline distT="0" distB="0" distL="0" distR="0" wp14:anchorId="0671186D" wp14:editId="3BC2C366">
            <wp:extent cx="5943600" cy="2405380"/>
            <wp:effectExtent l="0" t="0" r="0" b="0"/>
            <wp:docPr id="247870170" name="Picture 247870170" descr="A diagram of a graph and 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082296" name="Picture 1" descr="A diagram of a graph and a diagram of a graph&#10;&#10;Description automatically generated with medium confidence"/>
                    <pic:cNvPicPr/>
                  </pic:nvPicPr>
                  <pic:blipFill>
                    <a:blip r:embed="rId22"/>
                    <a:stretch>
                      <a:fillRect/>
                    </a:stretch>
                  </pic:blipFill>
                  <pic:spPr>
                    <a:xfrm>
                      <a:off x="0" y="0"/>
                      <a:ext cx="5943600" cy="2405380"/>
                    </a:xfrm>
                    <a:prstGeom prst="rect">
                      <a:avLst/>
                    </a:prstGeom>
                  </pic:spPr>
                </pic:pic>
              </a:graphicData>
            </a:graphic>
          </wp:inline>
        </w:drawing>
      </w:r>
    </w:p>
    <w:p w14:paraId="21112EFF" w14:textId="634F9DD7" w:rsidR="00AB1F00" w:rsidRPr="00F3767B" w:rsidRDefault="00D55370" w:rsidP="004651A8">
      <w:pPr>
        <w:spacing w:before="240" w:after="240" w:line="360" w:lineRule="auto"/>
        <w:jc w:val="both"/>
      </w:pPr>
      <w:r w:rsidRPr="00F3767B">
        <w:rPr>
          <w:b/>
        </w:rPr>
        <w:t xml:space="preserve">Supplementary Fig. </w:t>
      </w:r>
      <w:r w:rsidR="00AB1F00" w:rsidRPr="00F3767B">
        <w:rPr>
          <w:b/>
        </w:rPr>
        <w:t>1</w:t>
      </w:r>
      <w:r w:rsidR="00BA65F7" w:rsidRPr="00F3767B">
        <w:rPr>
          <w:b/>
        </w:rPr>
        <w:t>1</w:t>
      </w:r>
      <w:r w:rsidR="00AB1F00" w:rsidRPr="00F3767B">
        <w:rPr>
          <w:b/>
        </w:rPr>
        <w:t xml:space="preserve">: </w:t>
      </w:r>
      <w:r w:rsidR="00AB1F00" w:rsidRPr="00F3767B">
        <w:t>Calculation of Thiele modulus versus particle size for periodically structured catalyst materials with either gyroid or hexagonal mesostructured (as indicated), at the maximum surface-area-normalized production rate. 50 µm pellet sizes were used for catalytic testing, which is well within the regime of good diffusion into catalyst pellet pore spaces. For this calculation, D</w:t>
      </w:r>
      <w:r w:rsidR="00AB1F00" w:rsidRPr="00F3767B">
        <w:rPr>
          <w:vertAlign w:val="subscript"/>
        </w:rPr>
        <w:t>CH4/CO2</w:t>
      </w:r>
      <w:r w:rsidR="00AB1F00" w:rsidRPr="00F3767B">
        <w:t xml:space="preserve"> = 0.19 cm</w:t>
      </w:r>
      <w:r w:rsidR="00AB1F00" w:rsidRPr="00F3767B">
        <w:rPr>
          <w:vertAlign w:val="superscript"/>
        </w:rPr>
        <w:t>2</w:t>
      </w:r>
      <w:r w:rsidR="00AB1F00" w:rsidRPr="00F3767B">
        <w:t xml:space="preserve">/s, constrictivity (δ) was assumed to be 1. Tortuosity (τ) values are taken from the structure simulations (Figure </w:t>
      </w:r>
      <w:r w:rsidR="00D644E5" w:rsidRPr="00F3767B">
        <w:t>5</w:t>
      </w:r>
      <w:r w:rsidR="00AB1F00" w:rsidRPr="00F3767B">
        <w:t xml:space="preserve">). All other values are derived from the main text. </w:t>
      </w:r>
      <w:r w:rsidR="00503A9E" w:rsidRPr="00F3767B">
        <w:t>[3</w:t>
      </w:r>
      <w:r w:rsidR="002C34E3" w:rsidRPr="00F3767B">
        <w:t>7</w:t>
      </w:r>
      <w:r w:rsidR="00503A9E" w:rsidRPr="00F3767B">
        <w:t>]</w:t>
      </w:r>
    </w:p>
    <w:p w14:paraId="2B44BCBD" w14:textId="77777777" w:rsidR="00AB1F00" w:rsidRPr="00F3767B" w:rsidRDefault="00AB1F00" w:rsidP="00AB1F00">
      <w:pPr>
        <w:spacing w:before="240" w:after="240" w:line="360" w:lineRule="auto"/>
      </w:pPr>
    </w:p>
    <w:p w14:paraId="070958CF" w14:textId="77777777" w:rsidR="00AB1F00" w:rsidRPr="00F3767B" w:rsidRDefault="00AB1F00" w:rsidP="00AB1F00">
      <w:r w:rsidRPr="00F3767B">
        <w:br w:type="page"/>
      </w:r>
    </w:p>
    <w:p w14:paraId="406E6F96" w14:textId="36F965B8" w:rsidR="00B10531" w:rsidRPr="00F3767B" w:rsidRDefault="00B10531" w:rsidP="00AB1F00"/>
    <w:p w14:paraId="0AC7521E" w14:textId="77777777" w:rsidR="00AB1F00" w:rsidRPr="00F3767B" w:rsidRDefault="00AB1F00" w:rsidP="00AB1F00">
      <w:r w:rsidRPr="00F3767B">
        <w:rPr>
          <w:noProof/>
        </w:rPr>
        <w:drawing>
          <wp:inline distT="0" distB="0" distL="0" distR="0" wp14:anchorId="14B88F43" wp14:editId="075CA8A7">
            <wp:extent cx="5943600" cy="2441575"/>
            <wp:effectExtent l="0" t="0" r="0" b="0"/>
            <wp:docPr id="285459513" name="Picture 285459513" descr="A graph of 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085300" name="Picture 1" descr="A graph of a graph of a function&#10;&#10;Description automatically generated with medium confidence"/>
                    <pic:cNvPicPr/>
                  </pic:nvPicPr>
                  <pic:blipFill>
                    <a:blip r:embed="rId23"/>
                    <a:stretch>
                      <a:fillRect/>
                    </a:stretch>
                  </pic:blipFill>
                  <pic:spPr>
                    <a:xfrm>
                      <a:off x="0" y="0"/>
                      <a:ext cx="5943600" cy="2441575"/>
                    </a:xfrm>
                    <a:prstGeom prst="rect">
                      <a:avLst/>
                    </a:prstGeom>
                  </pic:spPr>
                </pic:pic>
              </a:graphicData>
            </a:graphic>
          </wp:inline>
        </w:drawing>
      </w:r>
    </w:p>
    <w:p w14:paraId="1BA5F615" w14:textId="4363374B" w:rsidR="00AB1F00" w:rsidRPr="00B74A7B" w:rsidRDefault="00D55370" w:rsidP="00A3755B">
      <w:pPr>
        <w:spacing w:before="240" w:after="240" w:line="360" w:lineRule="auto"/>
        <w:jc w:val="both"/>
      </w:pPr>
      <w:r w:rsidRPr="00F3767B">
        <w:rPr>
          <w:b/>
        </w:rPr>
        <w:t xml:space="preserve">Supplementary Fig. </w:t>
      </w:r>
      <w:r w:rsidR="00AB1F00" w:rsidRPr="00F3767B">
        <w:rPr>
          <w:b/>
        </w:rPr>
        <w:t>1</w:t>
      </w:r>
      <w:r w:rsidR="00BA65F7" w:rsidRPr="00F3767B">
        <w:rPr>
          <w:b/>
        </w:rPr>
        <w:t>2</w:t>
      </w:r>
      <w:r w:rsidR="00AB1F00" w:rsidRPr="00F3767B">
        <w:rPr>
          <w:bCs/>
        </w:rPr>
        <w:t>: A comparison of Ta</w:t>
      </w:r>
      <w:r w:rsidR="00AB1F00" w:rsidRPr="00F3767B">
        <w:rPr>
          <w:bCs/>
          <w:vertAlign w:val="subscript"/>
        </w:rPr>
        <w:t>2</w:t>
      </w:r>
      <w:r w:rsidR="00AB1F00" w:rsidRPr="00F3767B">
        <w:rPr>
          <w:bCs/>
        </w:rPr>
        <w:t>O</w:t>
      </w:r>
      <w:r w:rsidR="00AB1F00" w:rsidRPr="00F3767B">
        <w:rPr>
          <w:bCs/>
          <w:vertAlign w:val="subscript"/>
        </w:rPr>
        <w:t>5</w:t>
      </w:r>
      <w:r w:rsidR="00AB1F00" w:rsidRPr="00F3767B">
        <w:rPr>
          <w:bCs/>
        </w:rPr>
        <w:t>-Hex catalysts in the quartz powder reactor (</w:t>
      </w:r>
      <w:r w:rsidRPr="00F3767B">
        <w:rPr>
          <w:bCs/>
        </w:rPr>
        <w:t xml:space="preserve">Supplementary Fig. </w:t>
      </w:r>
      <w:r w:rsidR="00D06001" w:rsidRPr="00F3767B">
        <w:rPr>
          <w:bCs/>
        </w:rPr>
        <w:t>4</w:t>
      </w:r>
      <w:r w:rsidR="00AB1F00" w:rsidRPr="00F3767B">
        <w:rPr>
          <w:bCs/>
        </w:rPr>
        <w:t>a) or the top-loading film reactor (</w:t>
      </w:r>
      <w:r w:rsidRPr="00F3767B">
        <w:rPr>
          <w:bCs/>
        </w:rPr>
        <w:t xml:space="preserve">Supplementary Fig. </w:t>
      </w:r>
      <w:r w:rsidR="00D06001" w:rsidRPr="00F3767B">
        <w:rPr>
          <w:bCs/>
        </w:rPr>
        <w:t>4</w:t>
      </w:r>
      <w:r w:rsidR="00AB1F00" w:rsidRPr="00F3767B">
        <w:rPr>
          <w:bCs/>
        </w:rPr>
        <w:t>b). Performance in the film reactor is uniformly lower due to a smaller cross-sectional area (0.07 cm</w:t>
      </w:r>
      <w:r w:rsidR="00AB1F00" w:rsidRPr="00F3767B">
        <w:rPr>
          <w:bCs/>
          <w:vertAlign w:val="superscript"/>
        </w:rPr>
        <w:t>2</w:t>
      </w:r>
      <w:r w:rsidR="00AB1F00" w:rsidRPr="00F3767B">
        <w:rPr>
          <w:bCs/>
        </w:rPr>
        <w:t xml:space="preserve"> for the film reactor, 0.125 cm</w:t>
      </w:r>
      <w:r w:rsidR="00AB1F00" w:rsidRPr="00F3767B">
        <w:rPr>
          <w:bCs/>
          <w:vertAlign w:val="superscript"/>
        </w:rPr>
        <w:t>2</w:t>
      </w:r>
      <w:r w:rsidR="00AB1F00" w:rsidRPr="00F3767B">
        <w:rPr>
          <w:bCs/>
        </w:rPr>
        <w:t xml:space="preserve"> for the powder reactor) and perhaps less efficient illumination due to a thicker quartz window. This comparison suggests that record thin-film performance is due to material architecture changes, rather than reactor geometry differences.</w:t>
      </w:r>
    </w:p>
    <w:p w14:paraId="7CC4B355" w14:textId="77777777" w:rsidR="007B2C57" w:rsidRDefault="007B2C57"/>
    <w:sectPr w:rsidR="007B2C57">
      <w:footerReference w:type="even" r:id="rId24"/>
      <w:footerReference w:type="default" r:id="rId2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92615D" w14:textId="77777777" w:rsidR="005C06DA" w:rsidRDefault="005C06DA">
      <w:pPr>
        <w:spacing w:line="240" w:lineRule="auto"/>
      </w:pPr>
      <w:r>
        <w:separator/>
      </w:r>
    </w:p>
  </w:endnote>
  <w:endnote w:type="continuationSeparator" w:id="0">
    <w:p w14:paraId="6D7714CF" w14:textId="77777777" w:rsidR="005C06DA" w:rsidRDefault="005C06D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2301896"/>
      <w:docPartObj>
        <w:docPartGallery w:val="Page Numbers (Bottom of Page)"/>
        <w:docPartUnique/>
      </w:docPartObj>
    </w:sdtPr>
    <w:sdtContent>
      <w:p w14:paraId="08BEC1B3" w14:textId="77777777" w:rsidR="007B2C57" w:rsidRDefault="00000000" w:rsidP="005217E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91997E4" w14:textId="77777777" w:rsidR="007B2C57" w:rsidRDefault="007B2C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33806627"/>
      <w:docPartObj>
        <w:docPartGallery w:val="Page Numbers (Bottom of Page)"/>
        <w:docPartUnique/>
      </w:docPartObj>
    </w:sdtPr>
    <w:sdtContent>
      <w:p w14:paraId="36490D1B" w14:textId="77777777" w:rsidR="007B2C57" w:rsidRDefault="00000000" w:rsidP="005217E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B88A5B1" w14:textId="77777777" w:rsidR="007B2C57" w:rsidRDefault="007B2C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35E9BB" w14:textId="77777777" w:rsidR="005C06DA" w:rsidRDefault="005C06DA">
      <w:pPr>
        <w:spacing w:line="240" w:lineRule="auto"/>
      </w:pPr>
      <w:r>
        <w:separator/>
      </w:r>
    </w:p>
  </w:footnote>
  <w:footnote w:type="continuationSeparator" w:id="0">
    <w:p w14:paraId="3FCD5BC3" w14:textId="77777777" w:rsidR="005C06DA" w:rsidRDefault="005C06D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BB2559"/>
    <w:multiLevelType w:val="hybridMultilevel"/>
    <w:tmpl w:val="20D4DE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ABE13D1"/>
    <w:multiLevelType w:val="hybridMultilevel"/>
    <w:tmpl w:val="94366A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8743642">
    <w:abstractNumId w:val="1"/>
  </w:num>
  <w:num w:numId="2" w16cid:durableId="1991698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F00"/>
    <w:rsid w:val="000019CC"/>
    <w:rsid w:val="000205A2"/>
    <w:rsid w:val="00047B66"/>
    <w:rsid w:val="000708EF"/>
    <w:rsid w:val="000C6D1E"/>
    <w:rsid w:val="000C6FEE"/>
    <w:rsid w:val="000D65A0"/>
    <w:rsid w:val="000E1C2F"/>
    <w:rsid w:val="00121CDE"/>
    <w:rsid w:val="001661C7"/>
    <w:rsid w:val="00194C6A"/>
    <w:rsid w:val="001D3238"/>
    <w:rsid w:val="001E24EC"/>
    <w:rsid w:val="00283DEE"/>
    <w:rsid w:val="002A07BC"/>
    <w:rsid w:val="002B26E6"/>
    <w:rsid w:val="002C34E3"/>
    <w:rsid w:val="002C5E18"/>
    <w:rsid w:val="003066E8"/>
    <w:rsid w:val="003239C3"/>
    <w:rsid w:val="003D72CD"/>
    <w:rsid w:val="003E40C1"/>
    <w:rsid w:val="004651A8"/>
    <w:rsid w:val="004C2C7D"/>
    <w:rsid w:val="00500587"/>
    <w:rsid w:val="00503A9E"/>
    <w:rsid w:val="00522033"/>
    <w:rsid w:val="00525CA9"/>
    <w:rsid w:val="0055295A"/>
    <w:rsid w:val="00581B2C"/>
    <w:rsid w:val="005825BE"/>
    <w:rsid w:val="005C06DA"/>
    <w:rsid w:val="005C7658"/>
    <w:rsid w:val="00616390"/>
    <w:rsid w:val="00655D49"/>
    <w:rsid w:val="006B7ACF"/>
    <w:rsid w:val="006C659E"/>
    <w:rsid w:val="00722448"/>
    <w:rsid w:val="007530FF"/>
    <w:rsid w:val="0075782C"/>
    <w:rsid w:val="007A2A1E"/>
    <w:rsid w:val="007B2C57"/>
    <w:rsid w:val="007E0FB9"/>
    <w:rsid w:val="00852C10"/>
    <w:rsid w:val="008A117C"/>
    <w:rsid w:val="008A618A"/>
    <w:rsid w:val="008D3396"/>
    <w:rsid w:val="008D6EA0"/>
    <w:rsid w:val="00900890"/>
    <w:rsid w:val="009315F9"/>
    <w:rsid w:val="00931AC9"/>
    <w:rsid w:val="0098664F"/>
    <w:rsid w:val="009921D7"/>
    <w:rsid w:val="009A4556"/>
    <w:rsid w:val="009B5158"/>
    <w:rsid w:val="009C2DE0"/>
    <w:rsid w:val="009C43CB"/>
    <w:rsid w:val="00A24830"/>
    <w:rsid w:val="00A3755B"/>
    <w:rsid w:val="00A45184"/>
    <w:rsid w:val="00A661C6"/>
    <w:rsid w:val="00AB1F00"/>
    <w:rsid w:val="00AC20C3"/>
    <w:rsid w:val="00B02943"/>
    <w:rsid w:val="00B10531"/>
    <w:rsid w:val="00B7686E"/>
    <w:rsid w:val="00B86759"/>
    <w:rsid w:val="00B97C1A"/>
    <w:rsid w:val="00BA65F7"/>
    <w:rsid w:val="00BC64E8"/>
    <w:rsid w:val="00BC6838"/>
    <w:rsid w:val="00BC690D"/>
    <w:rsid w:val="00BF5C8F"/>
    <w:rsid w:val="00C25B91"/>
    <w:rsid w:val="00C260AC"/>
    <w:rsid w:val="00C636FE"/>
    <w:rsid w:val="00CB14A6"/>
    <w:rsid w:val="00D06001"/>
    <w:rsid w:val="00D103FF"/>
    <w:rsid w:val="00D13356"/>
    <w:rsid w:val="00D55370"/>
    <w:rsid w:val="00D644E5"/>
    <w:rsid w:val="00D74105"/>
    <w:rsid w:val="00D80B6C"/>
    <w:rsid w:val="00DE2A07"/>
    <w:rsid w:val="00DE71DF"/>
    <w:rsid w:val="00DF542A"/>
    <w:rsid w:val="00E01EB5"/>
    <w:rsid w:val="00E151CB"/>
    <w:rsid w:val="00E31C62"/>
    <w:rsid w:val="00E44A61"/>
    <w:rsid w:val="00EB7D3B"/>
    <w:rsid w:val="00ED1BA6"/>
    <w:rsid w:val="00EE713A"/>
    <w:rsid w:val="00F13F8B"/>
    <w:rsid w:val="00F309C9"/>
    <w:rsid w:val="00F3767B"/>
    <w:rsid w:val="00F46624"/>
    <w:rsid w:val="00F77DDF"/>
    <w:rsid w:val="00F77E59"/>
    <w:rsid w:val="00F94B38"/>
    <w:rsid w:val="00FA040B"/>
    <w:rsid w:val="00FD5126"/>
    <w:rsid w:val="00FF4A8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39887"/>
  <w14:defaultImageDpi w14:val="32767"/>
  <w15:chartTrackingRefBased/>
  <w15:docId w15:val="{8ECF7127-38C0-9146-99A5-991C09498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B1F00"/>
    <w:pPr>
      <w:spacing w:line="276" w:lineRule="auto"/>
    </w:pPr>
    <w:rPr>
      <w:rFonts w:ascii="Arial" w:eastAsia="Arial" w:hAnsi="Arial" w:cs="Arial"/>
      <w:kern w:val="0"/>
      <w:sz w:val="22"/>
      <w:szCs w:val="22"/>
      <w:lang w:val="en"/>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B1F00"/>
    <w:pPr>
      <w:tabs>
        <w:tab w:val="center" w:pos="4680"/>
        <w:tab w:val="right" w:pos="9360"/>
      </w:tabs>
      <w:spacing w:line="240" w:lineRule="auto"/>
    </w:pPr>
  </w:style>
  <w:style w:type="character" w:customStyle="1" w:styleId="FooterChar">
    <w:name w:val="Footer Char"/>
    <w:basedOn w:val="DefaultParagraphFont"/>
    <w:link w:val="Footer"/>
    <w:uiPriority w:val="99"/>
    <w:rsid w:val="00AB1F00"/>
    <w:rPr>
      <w:rFonts w:ascii="Arial" w:eastAsia="Arial" w:hAnsi="Arial" w:cs="Arial"/>
      <w:kern w:val="0"/>
      <w:sz w:val="22"/>
      <w:szCs w:val="22"/>
      <w:lang w:val="en"/>
      <w14:ligatures w14:val="none"/>
    </w:rPr>
  </w:style>
  <w:style w:type="character" w:styleId="PageNumber">
    <w:name w:val="page number"/>
    <w:basedOn w:val="DefaultParagraphFont"/>
    <w:uiPriority w:val="99"/>
    <w:semiHidden/>
    <w:unhideWhenUsed/>
    <w:rsid w:val="00AB1F00"/>
  </w:style>
  <w:style w:type="paragraph" w:styleId="Revision">
    <w:name w:val="Revision"/>
    <w:hidden/>
    <w:uiPriority w:val="99"/>
    <w:semiHidden/>
    <w:rsid w:val="009315F9"/>
    <w:rPr>
      <w:rFonts w:ascii="Arial" w:eastAsia="Arial" w:hAnsi="Arial" w:cs="Arial"/>
      <w:kern w:val="0"/>
      <w:sz w:val="22"/>
      <w:szCs w:val="22"/>
      <w:lang w:val="en"/>
      <w14:ligatures w14:val="none"/>
    </w:rPr>
  </w:style>
  <w:style w:type="paragraph" w:styleId="ListParagraph">
    <w:name w:val="List Paragraph"/>
    <w:basedOn w:val="Normal"/>
    <w:uiPriority w:val="34"/>
    <w:qFormat/>
    <w:rsid w:val="009A4556"/>
    <w:pPr>
      <w:ind w:left="720"/>
      <w:contextualSpacing/>
    </w:pPr>
  </w:style>
  <w:style w:type="character" w:styleId="CommentReference">
    <w:name w:val="annotation reference"/>
    <w:basedOn w:val="DefaultParagraphFont"/>
    <w:uiPriority w:val="99"/>
    <w:semiHidden/>
    <w:unhideWhenUsed/>
    <w:rsid w:val="00E44A61"/>
    <w:rPr>
      <w:sz w:val="16"/>
      <w:szCs w:val="16"/>
    </w:rPr>
  </w:style>
  <w:style w:type="paragraph" w:styleId="CommentText">
    <w:name w:val="annotation text"/>
    <w:basedOn w:val="Normal"/>
    <w:link w:val="CommentTextChar"/>
    <w:uiPriority w:val="99"/>
    <w:semiHidden/>
    <w:unhideWhenUsed/>
    <w:rsid w:val="00E44A61"/>
    <w:pPr>
      <w:spacing w:line="240" w:lineRule="auto"/>
    </w:pPr>
    <w:rPr>
      <w:sz w:val="20"/>
      <w:szCs w:val="20"/>
    </w:rPr>
  </w:style>
  <w:style w:type="character" w:customStyle="1" w:styleId="CommentTextChar">
    <w:name w:val="Comment Text Char"/>
    <w:basedOn w:val="DefaultParagraphFont"/>
    <w:link w:val="CommentText"/>
    <w:uiPriority w:val="99"/>
    <w:semiHidden/>
    <w:rsid w:val="00E44A61"/>
    <w:rPr>
      <w:rFonts w:ascii="Arial" w:eastAsia="Arial" w:hAnsi="Arial" w:cs="Arial"/>
      <w:kern w:val="0"/>
      <w:sz w:val="20"/>
      <w:szCs w:val="20"/>
      <w:lang w:val="en"/>
      <w14:ligatures w14:val="none"/>
    </w:rPr>
  </w:style>
  <w:style w:type="paragraph" w:styleId="CommentSubject">
    <w:name w:val="annotation subject"/>
    <w:basedOn w:val="CommentText"/>
    <w:next w:val="CommentText"/>
    <w:link w:val="CommentSubjectChar"/>
    <w:uiPriority w:val="99"/>
    <w:semiHidden/>
    <w:unhideWhenUsed/>
    <w:rsid w:val="00E44A61"/>
    <w:rPr>
      <w:b/>
      <w:bCs/>
    </w:rPr>
  </w:style>
  <w:style w:type="character" w:customStyle="1" w:styleId="CommentSubjectChar">
    <w:name w:val="Comment Subject Char"/>
    <w:basedOn w:val="CommentTextChar"/>
    <w:link w:val="CommentSubject"/>
    <w:uiPriority w:val="99"/>
    <w:semiHidden/>
    <w:rsid w:val="00E44A61"/>
    <w:rPr>
      <w:rFonts w:ascii="Arial" w:eastAsia="Arial" w:hAnsi="Arial" w:cs="Arial"/>
      <w:b/>
      <w:bCs/>
      <w:kern w:val="0"/>
      <w:sz w:val="20"/>
      <w:szCs w:val="20"/>
      <w:lang w:val="e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0715799">
      <w:bodyDiv w:val="1"/>
      <w:marLeft w:val="0"/>
      <w:marRight w:val="0"/>
      <w:marTop w:val="0"/>
      <w:marBottom w:val="0"/>
      <w:divBdr>
        <w:top w:val="none" w:sz="0" w:space="0" w:color="auto"/>
        <w:left w:val="none" w:sz="0" w:space="0" w:color="auto"/>
        <w:bottom w:val="none" w:sz="0" w:space="0" w:color="auto"/>
        <w:right w:val="none" w:sz="0" w:space="0" w:color="auto"/>
      </w:divBdr>
    </w:div>
    <w:div w:id="826824240">
      <w:bodyDiv w:val="1"/>
      <w:marLeft w:val="0"/>
      <w:marRight w:val="0"/>
      <w:marTop w:val="0"/>
      <w:marBottom w:val="0"/>
      <w:divBdr>
        <w:top w:val="none" w:sz="0" w:space="0" w:color="auto"/>
        <w:left w:val="none" w:sz="0" w:space="0" w:color="auto"/>
        <w:bottom w:val="none" w:sz="0" w:space="0" w:color="auto"/>
        <w:right w:val="none" w:sz="0" w:space="0" w:color="auto"/>
      </w:divBdr>
    </w:div>
    <w:div w:id="1070156562">
      <w:bodyDiv w:val="1"/>
      <w:marLeft w:val="0"/>
      <w:marRight w:val="0"/>
      <w:marTop w:val="0"/>
      <w:marBottom w:val="0"/>
      <w:divBdr>
        <w:top w:val="none" w:sz="0" w:space="0" w:color="auto"/>
        <w:left w:val="none" w:sz="0" w:space="0" w:color="auto"/>
        <w:bottom w:val="none" w:sz="0" w:space="0" w:color="auto"/>
        <w:right w:val="none" w:sz="0" w:space="0" w:color="auto"/>
      </w:divBdr>
    </w:div>
    <w:div w:id="2094933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emf"/><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e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27</Pages>
  <Words>5246</Words>
  <Characters>29903</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Uli B. Wiesner</dc:creator>
  <cp:keywords/>
  <dc:description/>
  <cp:lastModifiedBy>William Lee Moore</cp:lastModifiedBy>
  <cp:revision>5</cp:revision>
  <dcterms:created xsi:type="dcterms:W3CDTF">2024-01-02T19:11:00Z</dcterms:created>
  <dcterms:modified xsi:type="dcterms:W3CDTF">2024-01-03T00:56:00Z</dcterms:modified>
</cp:coreProperties>
</file>