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7D66" w:rsidRDefault="00937D66" w:rsidP="00466B1C">
      <w:pPr>
        <w:spacing w:after="0" w:line="480" w:lineRule="auto"/>
        <w:rPr>
          <w:b/>
          <w:sz w:val="32"/>
          <w:szCs w:val="32"/>
          <w:lang w:val="en-US"/>
        </w:rPr>
      </w:pPr>
      <w:r>
        <w:rPr>
          <w:b/>
          <w:sz w:val="32"/>
          <w:szCs w:val="32"/>
          <w:lang w:val="en-US"/>
        </w:rPr>
        <w:t>Additional files to the manuscript:</w:t>
      </w:r>
    </w:p>
    <w:p w:rsidR="00A500E2" w:rsidRDefault="003E0AA8" w:rsidP="00466B1C">
      <w:pPr>
        <w:spacing w:after="0" w:line="480" w:lineRule="auto"/>
        <w:rPr>
          <w:b/>
          <w:sz w:val="32"/>
          <w:szCs w:val="32"/>
          <w:lang w:val="en-US"/>
        </w:rPr>
      </w:pPr>
      <w:r w:rsidRPr="003E0AA8">
        <w:rPr>
          <w:b/>
          <w:sz w:val="32"/>
          <w:szCs w:val="32"/>
          <w:lang w:val="en-US"/>
        </w:rPr>
        <w:t xml:space="preserve">Balancing pH and Yield: Exploring Itaconic Acid Production in </w:t>
      </w:r>
      <w:r w:rsidRPr="003E0AA8">
        <w:rPr>
          <w:b/>
          <w:i/>
          <w:sz w:val="32"/>
          <w:szCs w:val="32"/>
          <w:lang w:val="en-US"/>
        </w:rPr>
        <w:t>Ustilago cynodontis</w:t>
      </w:r>
      <w:r w:rsidRPr="003E0AA8">
        <w:rPr>
          <w:b/>
          <w:sz w:val="32"/>
          <w:szCs w:val="32"/>
          <w:lang w:val="en-US"/>
        </w:rPr>
        <w:t xml:space="preserve"> from an Economic Perspective</w:t>
      </w:r>
    </w:p>
    <w:p w:rsidR="003E0AA8" w:rsidRPr="00874547" w:rsidRDefault="003E0AA8" w:rsidP="00466B1C">
      <w:pPr>
        <w:spacing w:before="360" w:after="0" w:line="480" w:lineRule="auto"/>
        <w:jc w:val="both"/>
        <w:rPr>
          <w:rFonts w:cstheme="minorHAnsi"/>
          <w:iCs/>
          <w:lang w:val="en-US"/>
        </w:rPr>
      </w:pPr>
      <w:r w:rsidRPr="00874547">
        <w:rPr>
          <w:rFonts w:cstheme="minorHAnsi"/>
          <w:iCs/>
          <w:lang w:val="en-US"/>
        </w:rPr>
        <w:t>Philipp Ernst</w:t>
      </w:r>
      <w:r w:rsidRPr="00874547">
        <w:rPr>
          <w:rFonts w:cstheme="minorHAnsi"/>
          <w:iCs/>
          <w:vertAlign w:val="superscript"/>
          <w:lang w:val="en-US"/>
        </w:rPr>
        <w:t>1</w:t>
      </w:r>
      <w:r w:rsidRPr="00874547">
        <w:rPr>
          <w:rFonts w:cstheme="minorHAnsi"/>
          <w:iCs/>
          <w:lang w:val="en-US"/>
        </w:rPr>
        <w:t>, Katharina Maria Saur</w:t>
      </w:r>
      <w:r w:rsidRPr="00874547">
        <w:rPr>
          <w:rFonts w:cstheme="minorHAnsi"/>
          <w:iCs/>
          <w:vertAlign w:val="superscript"/>
          <w:lang w:val="en-US"/>
        </w:rPr>
        <w:t>2</w:t>
      </w:r>
      <w:r w:rsidRPr="00874547">
        <w:rPr>
          <w:rFonts w:cstheme="minorHAnsi"/>
          <w:iCs/>
          <w:lang w:val="en-US"/>
        </w:rPr>
        <w:t>, Robert Kiefel</w:t>
      </w:r>
      <w:r w:rsidRPr="00874547">
        <w:rPr>
          <w:rFonts w:cstheme="minorHAnsi"/>
          <w:iCs/>
          <w:vertAlign w:val="superscript"/>
          <w:lang w:val="en-US"/>
        </w:rPr>
        <w:t>2</w:t>
      </w:r>
      <w:r w:rsidRPr="00874547">
        <w:rPr>
          <w:rFonts w:cstheme="minorHAnsi"/>
          <w:iCs/>
          <w:lang w:val="en-US"/>
        </w:rPr>
        <w:t>, Paul-Joachim Niehoff</w:t>
      </w:r>
      <w:r w:rsidRPr="00874547">
        <w:rPr>
          <w:rFonts w:cstheme="minorHAnsi"/>
          <w:iCs/>
          <w:vertAlign w:val="superscript"/>
          <w:lang w:val="en-US"/>
        </w:rPr>
        <w:t>3</w:t>
      </w:r>
      <w:r>
        <w:rPr>
          <w:rFonts w:cstheme="minorHAnsi"/>
          <w:iCs/>
          <w:lang w:val="en-US"/>
        </w:rPr>
        <w:t>, Ronja Weskott</w:t>
      </w:r>
      <w:r>
        <w:rPr>
          <w:rFonts w:cstheme="minorHAnsi"/>
          <w:iCs/>
          <w:vertAlign w:val="superscript"/>
          <w:lang w:val="en-US"/>
        </w:rPr>
        <w:t>1</w:t>
      </w:r>
      <w:r w:rsidRPr="00874547">
        <w:rPr>
          <w:rFonts w:cstheme="minorHAnsi"/>
          <w:iCs/>
          <w:lang w:val="en-US"/>
        </w:rPr>
        <w:t>, Jochen Büchs</w:t>
      </w:r>
      <w:r w:rsidRPr="00874547">
        <w:rPr>
          <w:rFonts w:cstheme="minorHAnsi"/>
          <w:iCs/>
          <w:vertAlign w:val="superscript"/>
          <w:lang w:val="en-US"/>
        </w:rPr>
        <w:t>3</w:t>
      </w:r>
      <w:r w:rsidRPr="00874547">
        <w:rPr>
          <w:rFonts w:cstheme="minorHAnsi"/>
          <w:iCs/>
          <w:lang w:val="en-US"/>
        </w:rPr>
        <w:t>, Andreas Jupke</w:t>
      </w:r>
      <w:r w:rsidRPr="00874547">
        <w:rPr>
          <w:rFonts w:cstheme="minorHAnsi"/>
          <w:iCs/>
          <w:vertAlign w:val="superscript"/>
          <w:lang w:val="en-US"/>
        </w:rPr>
        <w:t>2</w:t>
      </w:r>
      <w:r w:rsidRPr="00874547">
        <w:rPr>
          <w:rFonts w:cstheme="minorHAnsi"/>
          <w:iCs/>
          <w:lang w:val="en-US"/>
        </w:rPr>
        <w:t>, Nick Wierckx</w:t>
      </w:r>
      <w:r w:rsidRPr="00874547">
        <w:rPr>
          <w:rFonts w:cstheme="minorHAnsi"/>
          <w:iCs/>
          <w:vertAlign w:val="superscript"/>
          <w:lang w:val="en-US"/>
        </w:rPr>
        <w:t>*1</w:t>
      </w:r>
      <w:r w:rsidRPr="00874547">
        <w:rPr>
          <w:rFonts w:cstheme="minorHAnsi"/>
          <w:iCs/>
          <w:lang w:val="en-US"/>
        </w:rPr>
        <w:t xml:space="preserve">  </w:t>
      </w:r>
    </w:p>
    <w:p w:rsidR="003E0AA8" w:rsidRPr="00874547" w:rsidRDefault="003E0AA8" w:rsidP="00466B1C">
      <w:pPr>
        <w:spacing w:before="360" w:after="0" w:line="480" w:lineRule="auto"/>
        <w:jc w:val="both"/>
      </w:pPr>
      <w:r w:rsidRPr="00874547">
        <w:rPr>
          <w:vertAlign w:val="superscript"/>
        </w:rPr>
        <w:t>1</w:t>
      </w:r>
      <w:r w:rsidRPr="00874547">
        <w:t xml:space="preserve">Institute of Bio- and </w:t>
      </w:r>
      <w:r w:rsidRPr="00263552">
        <w:t>Geosciences</w:t>
      </w:r>
      <w:r w:rsidRPr="00874547">
        <w:t xml:space="preserve"> IBG-1: Biotechnology, Forschungszentrum Jülich GmbH, Wilhelm-Johnen-Straße, 52428 Jülich, Germany</w:t>
      </w:r>
    </w:p>
    <w:p w:rsidR="003E0AA8" w:rsidRPr="00AD6240" w:rsidRDefault="003E0AA8" w:rsidP="00466B1C">
      <w:pPr>
        <w:spacing w:after="0" w:line="480" w:lineRule="auto"/>
        <w:jc w:val="both"/>
        <w:rPr>
          <w:rFonts w:eastAsia="Times New Roman" w:cs="Times New Roman"/>
          <w:lang w:val="en-US" w:eastAsia="de-DE"/>
        </w:rPr>
      </w:pPr>
      <w:r w:rsidRPr="00874547">
        <w:rPr>
          <w:rFonts w:eastAsia="Times New Roman" w:cs="Times New Roman"/>
          <w:vertAlign w:val="superscript"/>
          <w:lang w:val="en-US" w:eastAsia="de-DE"/>
        </w:rPr>
        <w:t>2</w:t>
      </w:r>
      <w:r w:rsidRPr="00AD6240">
        <w:rPr>
          <w:rFonts w:eastAsia="Times New Roman" w:cs="Times New Roman"/>
          <w:lang w:val="en-US" w:eastAsia="de-DE"/>
        </w:rPr>
        <w:t xml:space="preserve">Fluid Process Engineering (AVT.FVT), RWTH Aachen University, </w:t>
      </w:r>
      <w:r w:rsidRPr="00874547">
        <w:rPr>
          <w:lang w:val="en-GB"/>
        </w:rPr>
        <w:t xml:space="preserve">Forckenbeckstraße 51, </w:t>
      </w:r>
      <w:r w:rsidRPr="00AD6240">
        <w:rPr>
          <w:rFonts w:eastAsia="Times New Roman" w:cs="Times New Roman"/>
          <w:lang w:val="en-US" w:eastAsia="de-DE"/>
        </w:rPr>
        <w:t>52074 Aachen, Germany</w:t>
      </w:r>
    </w:p>
    <w:p w:rsidR="003E0AA8" w:rsidRPr="00AD6240" w:rsidRDefault="003E0AA8" w:rsidP="00466B1C">
      <w:pPr>
        <w:spacing w:after="0" w:line="480" w:lineRule="auto"/>
        <w:jc w:val="both"/>
        <w:rPr>
          <w:rFonts w:eastAsia="Times New Roman" w:cs="Times New Roman"/>
          <w:lang w:val="en-US" w:eastAsia="de-DE"/>
        </w:rPr>
      </w:pPr>
      <w:r w:rsidRPr="00874547">
        <w:rPr>
          <w:rFonts w:eastAsia="Times New Roman" w:cs="Times New Roman"/>
          <w:vertAlign w:val="superscript"/>
          <w:lang w:val="en-US" w:eastAsia="de-DE"/>
        </w:rPr>
        <w:t>3</w:t>
      </w:r>
      <w:r w:rsidRPr="00AD6240">
        <w:rPr>
          <w:rFonts w:eastAsia="Times New Roman" w:cs="Times New Roman"/>
          <w:lang w:val="en-US" w:eastAsia="de-DE"/>
        </w:rPr>
        <w:t xml:space="preserve">Biochemical Engineering (AVT.BioVT), RWTH Aachen University, </w:t>
      </w:r>
      <w:r w:rsidRPr="00874547">
        <w:rPr>
          <w:lang w:val="en-GB"/>
        </w:rPr>
        <w:t xml:space="preserve">Forckenbeckstraße 51, </w:t>
      </w:r>
      <w:r>
        <w:rPr>
          <w:rFonts w:eastAsia="Times New Roman" w:cs="Times New Roman"/>
          <w:lang w:val="en-US" w:eastAsia="de-DE"/>
        </w:rPr>
        <w:t xml:space="preserve">52074 </w:t>
      </w:r>
      <w:r w:rsidRPr="00AD6240">
        <w:rPr>
          <w:rFonts w:eastAsia="Times New Roman" w:cs="Times New Roman"/>
          <w:lang w:val="en-US" w:eastAsia="de-DE"/>
        </w:rPr>
        <w:t>Aachen, Germany</w:t>
      </w:r>
    </w:p>
    <w:p w:rsidR="003E0AA8" w:rsidRPr="00874547" w:rsidRDefault="003E0AA8" w:rsidP="00466B1C">
      <w:pPr>
        <w:spacing w:before="360" w:after="0" w:line="480" w:lineRule="auto"/>
        <w:jc w:val="both"/>
        <w:rPr>
          <w:rFonts w:cstheme="minorHAnsi"/>
          <w:iCs/>
          <w:lang w:val="en-US"/>
        </w:rPr>
      </w:pPr>
      <w:r w:rsidRPr="00874547">
        <w:rPr>
          <w:rFonts w:cstheme="minorHAnsi"/>
          <w:iCs/>
          <w:lang w:val="en-US"/>
        </w:rPr>
        <w:t xml:space="preserve">*Corresponding author: </w:t>
      </w:r>
      <w:hyperlink r:id="rId4" w:history="1">
        <w:r w:rsidRPr="00874547">
          <w:rPr>
            <w:rStyle w:val="Hyperlink"/>
            <w:rFonts w:cstheme="minorHAnsi"/>
            <w:iCs/>
            <w:lang w:val="en-US"/>
          </w:rPr>
          <w:t>n.wierckx@fz-juelich.de</w:t>
        </w:r>
      </w:hyperlink>
    </w:p>
    <w:p w:rsidR="0029279A" w:rsidRDefault="0029279A" w:rsidP="00466B1C">
      <w:pPr>
        <w:spacing w:before="4000" w:after="0" w:line="480" w:lineRule="auto"/>
        <w:jc w:val="center"/>
        <w:rPr>
          <w:lang w:val="en-US"/>
        </w:rPr>
      </w:pPr>
      <w:r>
        <w:rPr>
          <w:noProof/>
          <w:lang w:eastAsia="de-DE"/>
        </w:rPr>
        <w:lastRenderedPageBreak/>
        <w:drawing>
          <wp:inline distT="0" distB="0" distL="0" distR="0">
            <wp:extent cx="3363595" cy="2318385"/>
            <wp:effectExtent l="0" t="0" r="8255" b="5715"/>
            <wp:docPr id="1" name="Grafik 1"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gure S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63595" cy="2318385"/>
                    </a:xfrm>
                    <a:prstGeom prst="rect">
                      <a:avLst/>
                    </a:prstGeom>
                    <a:noFill/>
                    <a:ln>
                      <a:noFill/>
                    </a:ln>
                  </pic:spPr>
                </pic:pic>
              </a:graphicData>
            </a:graphic>
          </wp:inline>
        </w:drawing>
      </w:r>
    </w:p>
    <w:p w:rsidR="0029279A" w:rsidRPr="006F36F0" w:rsidRDefault="00482D46" w:rsidP="00466B1C">
      <w:pPr>
        <w:spacing w:after="0" w:line="480" w:lineRule="auto"/>
        <w:jc w:val="both"/>
        <w:rPr>
          <w:b/>
          <w:lang w:val="en-US"/>
        </w:rPr>
      </w:pPr>
      <w:r>
        <w:rPr>
          <w:b/>
          <w:lang w:val="en-US"/>
        </w:rPr>
        <w:t xml:space="preserve">Additional file </w:t>
      </w:r>
      <w:r w:rsidR="0029279A">
        <w:rPr>
          <w:b/>
          <w:lang w:val="en-US"/>
        </w:rPr>
        <w:t>1</w:t>
      </w:r>
      <w:r w:rsidR="0029279A" w:rsidRPr="006F36F0">
        <w:rPr>
          <w:b/>
          <w:lang w:val="en-US"/>
        </w:rPr>
        <w:t>: Scatter plot of yield versus volumes of 5 M NaOH.</w:t>
      </w:r>
    </w:p>
    <w:p w:rsidR="0029279A" w:rsidRDefault="0029279A" w:rsidP="00466B1C">
      <w:pPr>
        <w:spacing w:after="0" w:line="480" w:lineRule="auto"/>
        <w:jc w:val="both"/>
        <w:rPr>
          <w:lang w:val="en-US"/>
        </w:rPr>
      </w:pPr>
      <w:r w:rsidRPr="006F36F0">
        <w:rPr>
          <w:lang w:val="en-US"/>
        </w:rPr>
        <w:t>The colors indicate fermentations at the pH values as shown in figure 3 A-C.</w:t>
      </w:r>
    </w:p>
    <w:p w:rsidR="00482D46" w:rsidRDefault="00482D46" w:rsidP="00466B1C">
      <w:pPr>
        <w:pageBreakBefore/>
        <w:spacing w:after="0" w:line="480" w:lineRule="auto"/>
        <w:jc w:val="both"/>
        <w:rPr>
          <w:b/>
          <w:lang w:val="en-US"/>
        </w:rPr>
      </w:pPr>
      <w:r>
        <w:rPr>
          <w:b/>
          <w:lang w:val="en-US"/>
        </w:rPr>
        <w:lastRenderedPageBreak/>
        <w:t>Additional file 2</w:t>
      </w:r>
      <w:r w:rsidRPr="006F36F0">
        <w:rPr>
          <w:b/>
          <w:lang w:val="en-US"/>
        </w:rPr>
        <w:t xml:space="preserve">: Feeding profile with 70 % w/v glucose solution during high-density fed-batch fermentation with a prolonged feeding phase of </w:t>
      </w:r>
      <w:r w:rsidRPr="002431B4">
        <w:rPr>
          <w:b/>
          <w:i/>
          <w:lang w:val="en-US"/>
        </w:rPr>
        <w:t>U. cynodontis</w:t>
      </w:r>
      <w:r w:rsidRPr="006F36F0">
        <w:rPr>
          <w:b/>
          <w:lang w:val="en-US"/>
        </w:rPr>
        <w:t xml:space="preserve"> ITA MAX pH.</w:t>
      </w:r>
    </w:p>
    <w:tbl>
      <w:tblPr>
        <w:tblStyle w:val="Tabellenraster"/>
        <w:tblW w:w="4536" w:type="dxa"/>
        <w:jc w:val="center"/>
        <w:tblLook w:val="04A0" w:firstRow="1" w:lastRow="0" w:firstColumn="1" w:lastColumn="0" w:noHBand="0" w:noVBand="1"/>
      </w:tblPr>
      <w:tblGrid>
        <w:gridCol w:w="2268"/>
        <w:gridCol w:w="2268"/>
      </w:tblGrid>
      <w:tr w:rsidR="00482D46" w:rsidTr="00627666">
        <w:trPr>
          <w:jc w:val="center"/>
        </w:trPr>
        <w:tc>
          <w:tcPr>
            <w:tcW w:w="2268" w:type="dxa"/>
          </w:tcPr>
          <w:p w:rsidR="00482D46" w:rsidRPr="00837480" w:rsidRDefault="00482D46" w:rsidP="00466B1C">
            <w:pPr>
              <w:spacing w:line="480" w:lineRule="auto"/>
              <w:jc w:val="center"/>
              <w:rPr>
                <w:lang w:val="en-US"/>
              </w:rPr>
            </w:pPr>
            <w:r>
              <w:rPr>
                <w:lang w:val="en-US"/>
              </w:rPr>
              <w:t>hours (h)</w:t>
            </w:r>
          </w:p>
        </w:tc>
        <w:tc>
          <w:tcPr>
            <w:tcW w:w="2268" w:type="dxa"/>
          </w:tcPr>
          <w:p w:rsidR="00482D46" w:rsidRDefault="00482D46" w:rsidP="00466B1C">
            <w:pPr>
              <w:spacing w:line="480" w:lineRule="auto"/>
              <w:jc w:val="center"/>
              <w:rPr>
                <w:lang w:val="en-US"/>
              </w:rPr>
            </w:pPr>
            <w:r>
              <w:rPr>
                <w:lang w:val="en-US"/>
              </w:rPr>
              <w:t>feed rate (g h</w:t>
            </w:r>
            <w:r>
              <w:rPr>
                <w:vertAlign w:val="superscript"/>
                <w:lang w:val="en-US"/>
              </w:rPr>
              <w:t>-1</w:t>
            </w:r>
            <w:r>
              <w:rPr>
                <w:lang w:val="en-US"/>
              </w:rPr>
              <w:t>)</w:t>
            </w:r>
          </w:p>
        </w:tc>
      </w:tr>
      <w:tr w:rsidR="00482D46" w:rsidTr="00627666">
        <w:trPr>
          <w:jc w:val="center"/>
        </w:trPr>
        <w:tc>
          <w:tcPr>
            <w:tcW w:w="2268" w:type="dxa"/>
          </w:tcPr>
          <w:p w:rsidR="00482D46" w:rsidRDefault="00482D46" w:rsidP="00466B1C">
            <w:pPr>
              <w:spacing w:line="480" w:lineRule="auto"/>
              <w:jc w:val="center"/>
              <w:rPr>
                <w:lang w:val="en-US"/>
              </w:rPr>
            </w:pPr>
            <w:r>
              <w:rPr>
                <w:lang w:val="en-US"/>
              </w:rPr>
              <w:t>32-53</w:t>
            </w:r>
          </w:p>
        </w:tc>
        <w:tc>
          <w:tcPr>
            <w:tcW w:w="2268" w:type="dxa"/>
          </w:tcPr>
          <w:p w:rsidR="00482D46" w:rsidRDefault="00482D46" w:rsidP="00466B1C">
            <w:pPr>
              <w:spacing w:line="480" w:lineRule="auto"/>
              <w:jc w:val="center"/>
              <w:rPr>
                <w:lang w:val="en-US"/>
              </w:rPr>
            </w:pPr>
            <w:r>
              <w:rPr>
                <w:lang w:val="en-US"/>
              </w:rPr>
              <w:t>2.2</w:t>
            </w:r>
          </w:p>
        </w:tc>
      </w:tr>
      <w:tr w:rsidR="00482D46" w:rsidTr="00627666">
        <w:trPr>
          <w:jc w:val="center"/>
        </w:trPr>
        <w:tc>
          <w:tcPr>
            <w:tcW w:w="2268" w:type="dxa"/>
          </w:tcPr>
          <w:p w:rsidR="00482D46" w:rsidRDefault="00482D46" w:rsidP="00466B1C">
            <w:pPr>
              <w:spacing w:line="480" w:lineRule="auto"/>
              <w:jc w:val="center"/>
              <w:rPr>
                <w:lang w:val="en-US"/>
              </w:rPr>
            </w:pPr>
            <w:r>
              <w:rPr>
                <w:lang w:val="en-US"/>
              </w:rPr>
              <w:t>53-120</w:t>
            </w:r>
          </w:p>
        </w:tc>
        <w:tc>
          <w:tcPr>
            <w:tcW w:w="2268" w:type="dxa"/>
          </w:tcPr>
          <w:p w:rsidR="00482D46" w:rsidRDefault="00482D46" w:rsidP="00466B1C">
            <w:pPr>
              <w:spacing w:line="480" w:lineRule="auto"/>
              <w:jc w:val="center"/>
              <w:rPr>
                <w:lang w:val="en-US"/>
              </w:rPr>
            </w:pPr>
            <w:r>
              <w:rPr>
                <w:lang w:val="en-US"/>
              </w:rPr>
              <w:t>1.5</w:t>
            </w:r>
          </w:p>
        </w:tc>
      </w:tr>
      <w:tr w:rsidR="00482D46" w:rsidTr="00627666">
        <w:trPr>
          <w:jc w:val="center"/>
        </w:trPr>
        <w:tc>
          <w:tcPr>
            <w:tcW w:w="2268" w:type="dxa"/>
          </w:tcPr>
          <w:p w:rsidR="00482D46" w:rsidRDefault="00482D46" w:rsidP="00466B1C">
            <w:pPr>
              <w:spacing w:line="480" w:lineRule="auto"/>
              <w:jc w:val="center"/>
              <w:rPr>
                <w:lang w:val="en-US"/>
              </w:rPr>
            </w:pPr>
            <w:r>
              <w:rPr>
                <w:lang w:val="en-US"/>
              </w:rPr>
              <w:t>120-144</w:t>
            </w:r>
          </w:p>
        </w:tc>
        <w:tc>
          <w:tcPr>
            <w:tcW w:w="2268" w:type="dxa"/>
          </w:tcPr>
          <w:p w:rsidR="00482D46" w:rsidRDefault="00482D46" w:rsidP="00466B1C">
            <w:pPr>
              <w:spacing w:line="480" w:lineRule="auto"/>
              <w:jc w:val="center"/>
              <w:rPr>
                <w:lang w:val="en-US"/>
              </w:rPr>
            </w:pPr>
            <w:r>
              <w:rPr>
                <w:lang w:val="en-US"/>
              </w:rPr>
              <w:t>1.0</w:t>
            </w:r>
          </w:p>
        </w:tc>
      </w:tr>
      <w:tr w:rsidR="00482D46" w:rsidTr="00627666">
        <w:trPr>
          <w:jc w:val="center"/>
        </w:trPr>
        <w:tc>
          <w:tcPr>
            <w:tcW w:w="2268" w:type="dxa"/>
          </w:tcPr>
          <w:p w:rsidR="00482D46" w:rsidRDefault="00482D46" w:rsidP="00466B1C">
            <w:pPr>
              <w:spacing w:line="480" w:lineRule="auto"/>
              <w:jc w:val="center"/>
              <w:rPr>
                <w:lang w:val="en-US"/>
              </w:rPr>
            </w:pPr>
            <w:r>
              <w:rPr>
                <w:lang w:val="en-US"/>
              </w:rPr>
              <w:t>144-173</w:t>
            </w:r>
          </w:p>
        </w:tc>
        <w:tc>
          <w:tcPr>
            <w:tcW w:w="2268" w:type="dxa"/>
          </w:tcPr>
          <w:p w:rsidR="00482D46" w:rsidRDefault="00482D46" w:rsidP="00466B1C">
            <w:pPr>
              <w:spacing w:line="480" w:lineRule="auto"/>
              <w:jc w:val="center"/>
              <w:rPr>
                <w:lang w:val="en-US"/>
              </w:rPr>
            </w:pPr>
            <w:r>
              <w:rPr>
                <w:lang w:val="en-US"/>
              </w:rPr>
              <w:t>0.75</w:t>
            </w:r>
          </w:p>
        </w:tc>
      </w:tr>
      <w:tr w:rsidR="00482D46" w:rsidTr="00627666">
        <w:trPr>
          <w:jc w:val="center"/>
        </w:trPr>
        <w:tc>
          <w:tcPr>
            <w:tcW w:w="2268" w:type="dxa"/>
          </w:tcPr>
          <w:p w:rsidR="00482D46" w:rsidRDefault="00482D46" w:rsidP="00466B1C">
            <w:pPr>
              <w:spacing w:line="480" w:lineRule="auto"/>
              <w:jc w:val="center"/>
              <w:rPr>
                <w:lang w:val="en-US"/>
              </w:rPr>
            </w:pPr>
            <w:r>
              <w:rPr>
                <w:lang w:val="en-US"/>
              </w:rPr>
              <w:t>173-316</w:t>
            </w:r>
          </w:p>
        </w:tc>
        <w:tc>
          <w:tcPr>
            <w:tcW w:w="2268" w:type="dxa"/>
          </w:tcPr>
          <w:p w:rsidR="00482D46" w:rsidRDefault="00482D46" w:rsidP="00466B1C">
            <w:pPr>
              <w:spacing w:line="480" w:lineRule="auto"/>
              <w:jc w:val="center"/>
              <w:rPr>
                <w:lang w:val="en-US"/>
              </w:rPr>
            </w:pPr>
            <w:r>
              <w:rPr>
                <w:lang w:val="en-US"/>
              </w:rPr>
              <w:t>0.5</w:t>
            </w:r>
          </w:p>
        </w:tc>
      </w:tr>
      <w:tr w:rsidR="00482D46" w:rsidTr="00627666">
        <w:trPr>
          <w:jc w:val="center"/>
        </w:trPr>
        <w:tc>
          <w:tcPr>
            <w:tcW w:w="2268" w:type="dxa"/>
          </w:tcPr>
          <w:p w:rsidR="00482D46" w:rsidRDefault="00482D46" w:rsidP="00466B1C">
            <w:pPr>
              <w:spacing w:line="480" w:lineRule="auto"/>
              <w:jc w:val="center"/>
              <w:rPr>
                <w:lang w:val="en-US"/>
              </w:rPr>
            </w:pPr>
            <w:r>
              <w:rPr>
                <w:lang w:val="en-US"/>
              </w:rPr>
              <w:t>316-648</w:t>
            </w:r>
          </w:p>
        </w:tc>
        <w:tc>
          <w:tcPr>
            <w:tcW w:w="2268" w:type="dxa"/>
          </w:tcPr>
          <w:p w:rsidR="00482D46" w:rsidRDefault="00482D46" w:rsidP="00466B1C">
            <w:pPr>
              <w:spacing w:line="480" w:lineRule="auto"/>
              <w:jc w:val="center"/>
              <w:rPr>
                <w:lang w:val="en-US"/>
              </w:rPr>
            </w:pPr>
            <w:r>
              <w:rPr>
                <w:lang w:val="en-US"/>
              </w:rPr>
              <w:t>0.25</w:t>
            </w:r>
          </w:p>
        </w:tc>
      </w:tr>
    </w:tbl>
    <w:p w:rsidR="00313E54" w:rsidRPr="00F73B68" w:rsidRDefault="00466B1C" w:rsidP="00466B1C">
      <w:pPr>
        <w:pageBreakBefore/>
        <w:spacing w:after="0" w:line="480" w:lineRule="auto"/>
        <w:jc w:val="center"/>
        <w:rPr>
          <w:lang w:val="en-US"/>
        </w:rPr>
      </w:pPr>
      <w:r>
        <w:rPr>
          <w:lang w:val="en-US"/>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25pt;height:252.45pt">
            <v:imagedata r:id="rId6" o:title="Figure S1"/>
          </v:shape>
        </w:pict>
      </w:r>
    </w:p>
    <w:p w:rsidR="006F36F0" w:rsidRPr="006F36F0" w:rsidRDefault="00482D46" w:rsidP="00466B1C">
      <w:pPr>
        <w:spacing w:after="0" w:line="480" w:lineRule="auto"/>
        <w:jc w:val="both"/>
        <w:rPr>
          <w:b/>
          <w:lang w:val="en-US"/>
        </w:rPr>
      </w:pPr>
      <w:r>
        <w:rPr>
          <w:b/>
          <w:lang w:val="en-US"/>
        </w:rPr>
        <w:t>Additional file 3</w:t>
      </w:r>
      <w:r w:rsidR="006F36F0" w:rsidRPr="006F36F0">
        <w:rPr>
          <w:b/>
          <w:lang w:val="en-US"/>
        </w:rPr>
        <w:t>: Carbon balance of all fermentations.</w:t>
      </w:r>
    </w:p>
    <w:p w:rsidR="00FA0A38" w:rsidRDefault="006F36F0" w:rsidP="00466B1C">
      <w:pPr>
        <w:spacing w:after="0" w:line="480" w:lineRule="auto"/>
        <w:jc w:val="both"/>
        <w:rPr>
          <w:lang w:val="en-US"/>
        </w:rPr>
      </w:pPr>
      <w:r w:rsidRPr="006F36F0">
        <w:rPr>
          <w:lang w:val="en-US"/>
        </w:rPr>
        <w:t>*1: with a prolonged feeding phase. *2: without pH control after the growth phase; final pH value of 2.1. *3: with thick juice as a sole carbon source.</w:t>
      </w:r>
    </w:p>
    <w:p w:rsidR="0029279A" w:rsidRDefault="0029279A" w:rsidP="00466B1C">
      <w:pPr>
        <w:pageBreakBefore/>
        <w:spacing w:after="0" w:line="480" w:lineRule="auto"/>
        <w:jc w:val="center"/>
        <w:rPr>
          <w:lang w:val="en-US"/>
        </w:rPr>
      </w:pPr>
      <w:r>
        <w:rPr>
          <w:noProof/>
          <w:lang w:eastAsia="de-DE"/>
        </w:rPr>
        <w:lastRenderedPageBreak/>
        <w:drawing>
          <wp:inline distT="0" distB="0" distL="0" distR="0">
            <wp:extent cx="5170805" cy="4185285"/>
            <wp:effectExtent l="0" t="0" r="0" b="5715"/>
            <wp:docPr id="2" name="Grafik 2"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igure S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70805" cy="4185285"/>
                    </a:xfrm>
                    <a:prstGeom prst="rect">
                      <a:avLst/>
                    </a:prstGeom>
                    <a:noFill/>
                    <a:ln>
                      <a:noFill/>
                    </a:ln>
                  </pic:spPr>
                </pic:pic>
              </a:graphicData>
            </a:graphic>
          </wp:inline>
        </w:drawing>
      </w:r>
    </w:p>
    <w:p w:rsidR="0029279A" w:rsidRPr="006F36F0" w:rsidRDefault="00482D46" w:rsidP="00466B1C">
      <w:pPr>
        <w:spacing w:after="0" w:line="480" w:lineRule="auto"/>
        <w:jc w:val="both"/>
        <w:rPr>
          <w:b/>
          <w:lang w:val="en-US"/>
        </w:rPr>
      </w:pPr>
      <w:r>
        <w:rPr>
          <w:b/>
          <w:lang w:val="en-US"/>
        </w:rPr>
        <w:t>Additional file 4</w:t>
      </w:r>
      <w:r w:rsidR="0029279A" w:rsidRPr="006F36F0">
        <w:rPr>
          <w:b/>
          <w:lang w:val="en-US"/>
        </w:rPr>
        <w:t>: Crystallization of itaconate from batch fermentations conducted at pH 3.6 and pH 2.8.</w:t>
      </w:r>
    </w:p>
    <w:p w:rsidR="0029279A" w:rsidRDefault="0029279A" w:rsidP="00466B1C">
      <w:pPr>
        <w:spacing w:after="0" w:line="480" w:lineRule="auto"/>
        <w:jc w:val="both"/>
        <w:rPr>
          <w:lang w:val="en-US"/>
        </w:rPr>
      </w:pPr>
      <w:r w:rsidRPr="006F36F0">
        <w:rPr>
          <w:lang w:val="en-US"/>
        </w:rPr>
        <w:t xml:space="preserve">(A, B) </w:t>
      </w:r>
      <w:r>
        <w:rPr>
          <w:rFonts w:cstheme="minorHAnsi"/>
          <w:lang w:val="en-US"/>
        </w:rPr>
        <w:t>c</w:t>
      </w:r>
      <w:r w:rsidRPr="00F73B68">
        <w:rPr>
          <w:rFonts w:cstheme="minorHAnsi"/>
          <w:lang w:val="en-US"/>
        </w:rPr>
        <w:t>oncentration of glucose (</w:t>
      </w:r>
      <w:r w:rsidRPr="00F73B68">
        <w:rPr>
          <w:rFonts w:cstheme="minorHAnsi"/>
          <w:color w:val="A6A6A6" w:themeColor="background1" w:themeShade="A6"/>
          <w:lang w:val="en-US"/>
        </w:rPr>
        <w:t>●</w:t>
      </w:r>
      <w:r w:rsidRPr="00F73B68">
        <w:rPr>
          <w:rFonts w:cstheme="minorHAnsi"/>
          <w:lang w:val="en-US"/>
        </w:rPr>
        <w:t>), itaconate (</w:t>
      </w:r>
      <w:r w:rsidRPr="00F73B68">
        <w:rPr>
          <w:rFonts w:ascii="Arial" w:hAnsi="Arial" w:cs="Arial"/>
          <w:lang w:val="en-US"/>
        </w:rPr>
        <w:t>■</w:t>
      </w:r>
      <w:r w:rsidRPr="00F73B68">
        <w:rPr>
          <w:rFonts w:cstheme="minorHAnsi"/>
          <w:lang w:val="en-US"/>
        </w:rPr>
        <w:t>), pH (red line), OD</w:t>
      </w:r>
      <w:r w:rsidRPr="00F73B68">
        <w:rPr>
          <w:rFonts w:cstheme="minorHAnsi"/>
          <w:vertAlign w:val="subscript"/>
          <w:lang w:val="en-US"/>
        </w:rPr>
        <w:t>600</w:t>
      </w:r>
      <w:r w:rsidRPr="00F73B68">
        <w:rPr>
          <w:rFonts w:cstheme="minorHAnsi"/>
          <w:lang w:val="en-US"/>
        </w:rPr>
        <w:t xml:space="preserve"> (</w:t>
      </w:r>
      <w:r w:rsidRPr="00F73B68">
        <w:rPr>
          <w:rFonts w:ascii="Arial" w:hAnsi="Arial" w:cs="Arial"/>
          <w:color w:val="00B050"/>
          <w:lang w:val="en-US"/>
        </w:rPr>
        <w:t>▲</w:t>
      </w:r>
      <w:r w:rsidRPr="00F73B68">
        <w:rPr>
          <w:rFonts w:cstheme="minorHAnsi"/>
          <w:lang w:val="en-US"/>
        </w:rPr>
        <w:t>) and ammonium (</w:t>
      </w:r>
      <w:r w:rsidRPr="00F73B68">
        <w:rPr>
          <w:rFonts w:ascii="Arial" w:hAnsi="Arial" w:cs="Arial"/>
          <w:color w:val="BF8F00" w:themeColor="accent4" w:themeShade="BF"/>
          <w:lang w:val="en-US"/>
        </w:rPr>
        <w:t>▼</w:t>
      </w:r>
      <w:r w:rsidRPr="00F73B68">
        <w:rPr>
          <w:rFonts w:cstheme="minorHAnsi"/>
          <w:lang w:val="en-US"/>
        </w:rPr>
        <w:t xml:space="preserve">) </w:t>
      </w:r>
      <w:r w:rsidRPr="006F36F0">
        <w:rPr>
          <w:lang w:val="en-US"/>
        </w:rPr>
        <w:t xml:space="preserve">and (C, D) temperature (blue line), pH (red line) and HCl use (grey line). High-density batch fermentations of </w:t>
      </w:r>
      <w:r w:rsidRPr="00A206AD">
        <w:rPr>
          <w:i/>
          <w:lang w:val="en-US"/>
        </w:rPr>
        <w:t>U. cynodontis</w:t>
      </w:r>
      <w:r w:rsidRPr="006F36F0">
        <w:rPr>
          <w:lang w:val="en-US"/>
        </w:rPr>
        <w:t xml:space="preserve"> ITA MAX pH were performed in a bioreactor containing batch me</w:t>
      </w:r>
      <w:r>
        <w:rPr>
          <w:lang w:val="en-US"/>
        </w:rPr>
        <w:t>dium with approximately 200 g L</w:t>
      </w:r>
      <w:r w:rsidRPr="00A206AD">
        <w:rPr>
          <w:vertAlign w:val="superscript"/>
          <w:lang w:val="en-US"/>
        </w:rPr>
        <w:t>-1</w:t>
      </w:r>
      <w:r w:rsidRPr="006F36F0">
        <w:rPr>
          <w:lang w:val="en-US"/>
        </w:rPr>
        <w:t xml:space="preserve"> glucose and 75 mM NH</w:t>
      </w:r>
      <w:r w:rsidRPr="00A206AD">
        <w:rPr>
          <w:vertAlign w:val="subscript"/>
          <w:lang w:val="en-US"/>
        </w:rPr>
        <w:t>4</w:t>
      </w:r>
      <w:r w:rsidRPr="006F36F0">
        <w:rPr>
          <w:lang w:val="en-US"/>
        </w:rPr>
        <w:t>Cl. During the fermentation at pH 3.6, the pH was maintained at a constant level throughout the entire fermentation process (A). For the fermentation at pH 2.8, the pH was controlled a</w:t>
      </w:r>
      <w:r>
        <w:rPr>
          <w:lang w:val="en-US"/>
        </w:rPr>
        <w:t>t 3.6 for approximately 30 h</w:t>
      </w:r>
      <w:r w:rsidRPr="006F36F0">
        <w:rPr>
          <w:lang w:val="en-US"/>
        </w:rPr>
        <w:t xml:space="preserve"> and was then allowed to naturally decrease to 2.8 (B). Following fermentation, the cell-free broths with pH 3.6 (C) and pH 2.8 (D) were concentrated by rotary evaporation using an IKA® RV10 auto Hb rotary evaporator and an IKA® VACSTAR digital vacuum pump (IKA® Werke GmbH &amp; Co. KG, Staufen, Germany) at 60-65 °C and 100 mbar. Afterwards, the crystallization was performed with an EasyMax 102 Titration calorimeter (Mettler Toledo, Columbus, OH, USA) equipped with a SIMDOS® O2 FEM 1.02 S pump (KNF Holding AG, Sursee, Switzerland) and an InLab® Semi Micro pH electrode (Mettler Toledo, Columbus, OH, USA). </w:t>
      </w:r>
      <w:r w:rsidRPr="006F36F0">
        <w:rPr>
          <w:lang w:val="en-US"/>
        </w:rPr>
        <w:lastRenderedPageBreak/>
        <w:t>The cooling rate of 0.3 K starting from 68 °C to reach 15 °C was applied and the pH was controlled at 2.8 by addition of 5 M HCl. Crystals were filtered from mother liquor with a Whatman Grade 50 Thin filter (Cytiva Europa GmbH, Freiburg im Breisgau, Germany) and afterwards dried in a VT 6060 VACUTHERM vacuum oven (Fisher Scientific GmbH, Schwerte, Germany) at 200 mbar vacuum and 40 °C for 72 h. (A, B) The mean values with standard deviation of two independent biological replicates are shown. (C, D) The mean values with deviation of two technical replicates are shown.</w:t>
      </w:r>
    </w:p>
    <w:p w:rsidR="0029279A" w:rsidRDefault="0029279A" w:rsidP="00466B1C">
      <w:pPr>
        <w:pageBreakBefore/>
        <w:spacing w:after="0" w:line="480" w:lineRule="auto"/>
        <w:jc w:val="center"/>
        <w:rPr>
          <w:lang w:val="en-US"/>
        </w:rPr>
      </w:pPr>
      <w:bookmarkStart w:id="0" w:name="_GoBack"/>
      <w:r>
        <w:rPr>
          <w:noProof/>
          <w:lang w:eastAsia="de-DE"/>
        </w:rPr>
        <w:lastRenderedPageBreak/>
        <w:drawing>
          <wp:inline distT="0" distB="0" distL="0" distR="0">
            <wp:extent cx="3091815" cy="2563495"/>
            <wp:effectExtent l="0" t="0" r="0" b="8255"/>
            <wp:docPr id="3" name="Grafik 3"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gure S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91815" cy="2563495"/>
                    </a:xfrm>
                    <a:prstGeom prst="rect">
                      <a:avLst/>
                    </a:prstGeom>
                    <a:noFill/>
                    <a:ln>
                      <a:noFill/>
                    </a:ln>
                  </pic:spPr>
                </pic:pic>
              </a:graphicData>
            </a:graphic>
          </wp:inline>
        </w:drawing>
      </w:r>
      <w:bookmarkEnd w:id="0"/>
    </w:p>
    <w:p w:rsidR="0029279A" w:rsidRPr="00A206AD" w:rsidRDefault="00482D46" w:rsidP="00466B1C">
      <w:pPr>
        <w:spacing w:after="0" w:line="480" w:lineRule="auto"/>
        <w:jc w:val="both"/>
        <w:rPr>
          <w:b/>
          <w:lang w:val="en-US"/>
        </w:rPr>
      </w:pPr>
      <w:r>
        <w:rPr>
          <w:b/>
          <w:lang w:val="en-US"/>
        </w:rPr>
        <w:t>Additional file 5</w:t>
      </w:r>
      <w:r w:rsidR="0029279A" w:rsidRPr="00A206AD">
        <w:rPr>
          <w:b/>
          <w:lang w:val="en-US"/>
        </w:rPr>
        <w:t xml:space="preserve">: High-density batch fermentation of </w:t>
      </w:r>
      <w:r w:rsidR="0029279A" w:rsidRPr="00A206AD">
        <w:rPr>
          <w:b/>
          <w:i/>
          <w:lang w:val="en-US"/>
        </w:rPr>
        <w:t>U. cynodontis</w:t>
      </w:r>
      <w:r w:rsidR="0029279A" w:rsidRPr="00A206AD">
        <w:rPr>
          <w:b/>
          <w:lang w:val="en-US"/>
        </w:rPr>
        <w:t xml:space="preserve"> ITA MAX pH with thick juice as a sole carbon source.</w:t>
      </w:r>
    </w:p>
    <w:p w:rsidR="006F36F0" w:rsidRDefault="0029279A" w:rsidP="00466B1C">
      <w:pPr>
        <w:spacing w:after="0" w:line="480" w:lineRule="auto"/>
        <w:jc w:val="both"/>
        <w:rPr>
          <w:lang w:val="en-US"/>
        </w:rPr>
      </w:pPr>
      <w:r w:rsidRPr="00A206AD">
        <w:rPr>
          <w:rFonts w:cstheme="minorHAnsi"/>
          <w:lang w:val="en-US"/>
        </w:rPr>
        <w:t>Concentration of saccharose (</w:t>
      </w:r>
      <w:r w:rsidRPr="00A206AD">
        <w:rPr>
          <w:rFonts w:ascii="Arial" w:hAnsi="Arial" w:cs="Arial"/>
          <w:color w:val="B51B89"/>
          <w:lang w:val="en-US"/>
        </w:rPr>
        <w:t>▼</w:t>
      </w:r>
      <w:r w:rsidRPr="00A206AD">
        <w:rPr>
          <w:rFonts w:cstheme="minorHAnsi"/>
          <w:lang w:val="en-US"/>
        </w:rPr>
        <w:t>), glucose (</w:t>
      </w:r>
      <w:r w:rsidRPr="00A206AD">
        <w:rPr>
          <w:rFonts w:cstheme="minorHAnsi"/>
          <w:color w:val="A6A6A6" w:themeColor="background1" w:themeShade="A6"/>
          <w:lang w:val="en-US"/>
        </w:rPr>
        <w:t>●</w:t>
      </w:r>
      <w:r w:rsidRPr="00A206AD">
        <w:rPr>
          <w:rFonts w:cstheme="minorHAnsi"/>
          <w:lang w:val="en-US"/>
        </w:rPr>
        <w:t>), fructose (</w:t>
      </w:r>
      <w:r w:rsidRPr="00A206AD">
        <w:rPr>
          <w:rFonts w:ascii="Segoe UI Symbol" w:hAnsi="Segoe UI Symbol" w:cs="Segoe UI Symbol"/>
          <w:color w:val="0000FF"/>
          <w:lang w:val="en-US"/>
        </w:rPr>
        <w:t>♦</w:t>
      </w:r>
      <w:r w:rsidRPr="00A206AD">
        <w:rPr>
          <w:rFonts w:cstheme="minorHAnsi"/>
          <w:lang w:val="en-US"/>
        </w:rPr>
        <w:t>), itaconate (</w:t>
      </w:r>
      <w:r w:rsidRPr="00A206AD">
        <w:rPr>
          <w:rFonts w:ascii="Arial" w:hAnsi="Arial" w:cs="Arial"/>
          <w:lang w:val="en-US"/>
        </w:rPr>
        <w:t>■</w:t>
      </w:r>
      <w:r w:rsidRPr="00A206AD">
        <w:rPr>
          <w:rFonts w:cstheme="minorHAnsi"/>
          <w:lang w:val="en-US"/>
        </w:rPr>
        <w:t>), pH (red line) and OD</w:t>
      </w:r>
      <w:r w:rsidRPr="00A206AD">
        <w:rPr>
          <w:rFonts w:cstheme="minorHAnsi"/>
          <w:vertAlign w:val="subscript"/>
          <w:lang w:val="en-US"/>
        </w:rPr>
        <w:t>600</w:t>
      </w:r>
      <w:r w:rsidRPr="00A206AD">
        <w:rPr>
          <w:rFonts w:cstheme="minorHAnsi"/>
          <w:lang w:val="en-US"/>
        </w:rPr>
        <w:t xml:space="preserve"> (</w:t>
      </w:r>
      <w:r w:rsidRPr="00A206AD">
        <w:rPr>
          <w:rFonts w:ascii="Arial" w:hAnsi="Arial" w:cs="Arial"/>
          <w:color w:val="00B050"/>
          <w:lang w:val="en-US"/>
        </w:rPr>
        <w:t>▲</w:t>
      </w:r>
      <w:r w:rsidRPr="00A206AD">
        <w:rPr>
          <w:rFonts w:cstheme="minorHAnsi"/>
          <w:lang w:val="en-US"/>
        </w:rPr>
        <w:t xml:space="preserve">) </w:t>
      </w:r>
      <w:r w:rsidRPr="00A206AD">
        <w:rPr>
          <w:lang w:val="en-US"/>
        </w:rPr>
        <w:t>during fermentation in a bioreactor containing batch me</w:t>
      </w:r>
      <w:r>
        <w:rPr>
          <w:lang w:val="en-US"/>
        </w:rPr>
        <w:t>dium with approximately 200 g L</w:t>
      </w:r>
      <w:r w:rsidRPr="00A206AD">
        <w:rPr>
          <w:vertAlign w:val="superscript"/>
          <w:lang w:val="en-US"/>
        </w:rPr>
        <w:t>-1</w:t>
      </w:r>
      <w:r w:rsidRPr="00A206AD">
        <w:rPr>
          <w:lang w:val="en-US"/>
        </w:rPr>
        <w:t xml:space="preserve"> sucrose from thick juice and 75 mM NH</w:t>
      </w:r>
      <w:r w:rsidRPr="00A206AD">
        <w:rPr>
          <w:vertAlign w:val="subscript"/>
          <w:lang w:val="en-US"/>
        </w:rPr>
        <w:t>4</w:t>
      </w:r>
      <w:r w:rsidRPr="00A206AD">
        <w:rPr>
          <w:lang w:val="en-US"/>
        </w:rPr>
        <w:t xml:space="preserve">Cl. The pH was controlled by automatic titration with 5 M NaOH. After approximately 28 h, the pH was allowed to naturally drop from pH 6.5 to pH 2.8. Upon reaching this highly acidic pH value, itaconate production continued up to </w:t>
      </w:r>
      <w:r>
        <w:rPr>
          <w:lang w:val="en-US"/>
        </w:rPr>
        <w:t>a titer of approximately 65 g L</w:t>
      </w:r>
      <w:r w:rsidRPr="00A206AD">
        <w:rPr>
          <w:vertAlign w:val="superscript"/>
          <w:lang w:val="en-US"/>
        </w:rPr>
        <w:t>-1</w:t>
      </w:r>
      <w:r w:rsidRPr="00A206AD">
        <w:rPr>
          <w:lang w:val="en-US"/>
        </w:rPr>
        <w:t xml:space="preserve"> at a rate of 0.46 g L</w:t>
      </w:r>
      <w:r w:rsidRPr="00A206AD">
        <w:rPr>
          <w:vertAlign w:val="superscript"/>
          <w:lang w:val="en-US"/>
        </w:rPr>
        <w:t>-1</w:t>
      </w:r>
      <w:r w:rsidRPr="00A206AD">
        <w:rPr>
          <w:lang w:val="en-US"/>
        </w:rPr>
        <w:t xml:space="preserve"> h</w:t>
      </w:r>
      <w:r w:rsidRPr="00A206AD">
        <w:rPr>
          <w:vertAlign w:val="superscript"/>
          <w:lang w:val="en-US"/>
        </w:rPr>
        <w:t>-1</w:t>
      </w:r>
      <w:r w:rsidRPr="00A206AD">
        <w:rPr>
          <w:lang w:val="en-US"/>
        </w:rPr>
        <w:t xml:space="preserve"> and a yield of 0.4 g g</w:t>
      </w:r>
      <w:r w:rsidRPr="00A206AD">
        <w:rPr>
          <w:vertAlign w:val="superscript"/>
          <w:lang w:val="en-US"/>
        </w:rPr>
        <w:t>-1</w:t>
      </w:r>
      <w:r w:rsidRPr="00A206AD">
        <w:rPr>
          <w:lang w:val="en-US"/>
        </w:rPr>
        <w:t>. These values are higher than the ones achieved on pure glucose. This might be due to the fact that thick juice includes some other compounds such as amino acids resulting in fitter biomass and a higher carbon load. The mean values with deviation of four technical replicates of a single representative culture are shown.</w:t>
      </w:r>
    </w:p>
    <w:p w:rsidR="00FA0A38" w:rsidRDefault="00466B1C" w:rsidP="00466B1C">
      <w:pPr>
        <w:pageBreakBefore/>
        <w:spacing w:after="0" w:line="480" w:lineRule="auto"/>
        <w:jc w:val="center"/>
        <w:rPr>
          <w:lang w:val="en-US"/>
        </w:rPr>
      </w:pPr>
      <w:r>
        <w:rPr>
          <w:lang w:val="en-US"/>
        </w:rPr>
        <w:lastRenderedPageBreak/>
        <w:pict>
          <v:shape id="_x0000_i1026" type="#_x0000_t75" style="width:454.15pt;height:182.3pt">
            <v:imagedata r:id="rId9" o:title="Figure S3"/>
          </v:shape>
        </w:pict>
      </w:r>
    </w:p>
    <w:p w:rsidR="00FA0A38" w:rsidRDefault="00482D46" w:rsidP="00466B1C">
      <w:pPr>
        <w:spacing w:after="0" w:line="480" w:lineRule="auto"/>
        <w:jc w:val="both"/>
        <w:rPr>
          <w:b/>
          <w:lang w:val="en-US"/>
        </w:rPr>
      </w:pPr>
      <w:r>
        <w:rPr>
          <w:b/>
          <w:lang w:val="en-US"/>
        </w:rPr>
        <w:t>Additional file 6</w:t>
      </w:r>
      <w:r w:rsidR="006F36F0" w:rsidRPr="006F36F0">
        <w:rPr>
          <w:b/>
          <w:lang w:val="en-US"/>
        </w:rPr>
        <w:t>: Block flow diagram of multiple crystallization process (si</w:t>
      </w:r>
      <w:r>
        <w:rPr>
          <w:b/>
          <w:lang w:val="en-US"/>
        </w:rPr>
        <w:t>mplified from Saur et al. 2023).</w:t>
      </w:r>
    </w:p>
    <w:sectPr w:rsidR="00FA0A38" w:rsidSect="00466B1C">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de-DE"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AA8"/>
    <w:rsid w:val="002431B4"/>
    <w:rsid w:val="0029279A"/>
    <w:rsid w:val="00313E54"/>
    <w:rsid w:val="0039046E"/>
    <w:rsid w:val="003E0AA8"/>
    <w:rsid w:val="00466B1C"/>
    <w:rsid w:val="00482D46"/>
    <w:rsid w:val="004E7ED2"/>
    <w:rsid w:val="00526A7C"/>
    <w:rsid w:val="006F36F0"/>
    <w:rsid w:val="00937D66"/>
    <w:rsid w:val="009731E6"/>
    <w:rsid w:val="00A206AD"/>
    <w:rsid w:val="00A500E2"/>
    <w:rsid w:val="00C35FBE"/>
    <w:rsid w:val="00D6455A"/>
    <w:rsid w:val="00E57BEA"/>
    <w:rsid w:val="00F73B68"/>
    <w:rsid w:val="00FA0A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DDCD5"/>
  <w15:chartTrackingRefBased/>
  <w15:docId w15:val="{E7F4C92E-C90E-4394-A091-F2E321120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313E54"/>
    <w:pPr>
      <w:keepNext/>
      <w:keepLines/>
      <w:spacing w:after="0"/>
      <w:outlineLvl w:val="0"/>
    </w:pPr>
    <w:rPr>
      <w:rFonts w:eastAsiaTheme="majorEastAsia" w:cstheme="majorBidi"/>
      <w:b/>
      <w:szCs w:val="32"/>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3E0AA8"/>
    <w:rPr>
      <w:color w:val="0563C1" w:themeColor="hyperlink"/>
      <w:u w:val="single"/>
    </w:rPr>
  </w:style>
  <w:style w:type="character" w:customStyle="1" w:styleId="berschrift1Zchn">
    <w:name w:val="Überschrift 1 Zchn"/>
    <w:basedOn w:val="Absatz-Standardschriftart"/>
    <w:link w:val="berschrift1"/>
    <w:uiPriority w:val="9"/>
    <w:rsid w:val="00313E54"/>
    <w:rPr>
      <w:rFonts w:eastAsiaTheme="majorEastAsia" w:cstheme="majorBidi"/>
      <w:b/>
      <w:szCs w:val="32"/>
      <w:u w:val="single"/>
    </w:rPr>
  </w:style>
  <w:style w:type="paragraph" w:styleId="Listenabsatz">
    <w:name w:val="List Paragraph"/>
    <w:basedOn w:val="Standard"/>
    <w:uiPriority w:val="34"/>
    <w:qFormat/>
    <w:rsid w:val="00FA0A38"/>
    <w:pPr>
      <w:ind w:left="720"/>
      <w:contextualSpacing/>
    </w:pPr>
  </w:style>
  <w:style w:type="table" w:styleId="Tabellenraster">
    <w:name w:val="Table Grid"/>
    <w:basedOn w:val="NormaleTabelle"/>
    <w:uiPriority w:val="39"/>
    <w:rsid w:val="006F36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eilennummer">
    <w:name w:val="line number"/>
    <w:basedOn w:val="Absatz-Standardschriftart"/>
    <w:uiPriority w:val="99"/>
    <w:semiHidden/>
    <w:unhideWhenUsed/>
    <w:rsid w:val="00466B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mailto:n.wierckx@fz-juelich.de" TargetMode="External"/><Relationship Id="rId9" Type="http://schemas.openxmlformats.org/officeDocument/2006/relationships/image" Target="media/image5.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589</Words>
  <Characters>3713</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Philipp</dc:creator>
  <cp:keywords/>
  <dc:description/>
  <cp:lastModifiedBy>Ernst, Philipp</cp:lastModifiedBy>
  <cp:revision>7</cp:revision>
  <dcterms:created xsi:type="dcterms:W3CDTF">2023-12-25T09:00:00Z</dcterms:created>
  <dcterms:modified xsi:type="dcterms:W3CDTF">2024-01-02T17:48:00Z</dcterms:modified>
</cp:coreProperties>
</file>