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5C79CD" w14:textId="0F14446C" w:rsidR="006C3721" w:rsidRDefault="00E643E1" w:rsidP="006C3721">
      <w:pPr>
        <w:shd w:val="clear" w:color="auto" w:fill="FFFFFF"/>
        <w:spacing w:line="360" w:lineRule="auto"/>
        <w:jc w:val="both"/>
        <w:rPr>
          <w:lang w:val="en-US"/>
        </w:rPr>
      </w:pPr>
      <w:r w:rsidRPr="00E643E1">
        <w:rPr>
          <w:b/>
          <w:lang w:val="en-US"/>
        </w:rPr>
        <w:t>Extended Data</w:t>
      </w:r>
      <w:r>
        <w:rPr>
          <w:lang w:val="en-US"/>
        </w:rPr>
        <w:t>.</w:t>
      </w:r>
    </w:p>
    <w:p w14:paraId="5E776ECB" w14:textId="6CF6AE8B" w:rsidR="00C7404C" w:rsidRPr="00C7404C" w:rsidRDefault="00C7404C" w:rsidP="00C7404C">
      <w:pPr>
        <w:shd w:val="clear" w:color="auto" w:fill="FFFFFF"/>
        <w:spacing w:line="360" w:lineRule="auto"/>
        <w:jc w:val="both"/>
        <w:rPr>
          <w:b/>
          <w:lang w:val="en-US"/>
        </w:rPr>
      </w:pPr>
      <w:r>
        <w:rPr>
          <w:b/>
          <w:lang w:val="en-US"/>
        </w:rPr>
        <w:t xml:space="preserve">Table S1. </w:t>
      </w:r>
      <w:r w:rsidRPr="00C7404C">
        <w:rPr>
          <w:b/>
          <w:lang w:val="en-US"/>
        </w:rPr>
        <w:t>Global potential Fractional Vegetation Cover per biome.</w:t>
      </w:r>
    </w:p>
    <w:tbl>
      <w:tblPr>
        <w:tblW w:w="9025" w:type="dxa"/>
        <w:tblBorders>
          <w:top w:val="nil"/>
          <w:left w:val="nil"/>
          <w:bottom w:val="nil"/>
          <w:right w:val="nil"/>
          <w:insideH w:val="nil"/>
          <w:insideV w:val="nil"/>
        </w:tblBorders>
        <w:tblLayout w:type="fixed"/>
        <w:tblLook w:val="0600" w:firstRow="0" w:lastRow="0" w:firstColumn="0" w:lastColumn="0" w:noHBand="1" w:noVBand="1"/>
      </w:tblPr>
      <w:tblGrid>
        <w:gridCol w:w="3128"/>
        <w:gridCol w:w="1419"/>
        <w:gridCol w:w="2453"/>
        <w:gridCol w:w="2025"/>
      </w:tblGrid>
      <w:tr w:rsidR="00C7404C" w:rsidRPr="00C63217" w14:paraId="37044B29" w14:textId="77777777" w:rsidTr="00AE0DC3">
        <w:trPr>
          <w:trHeight w:val="500"/>
        </w:trPr>
        <w:tc>
          <w:tcPr>
            <w:tcW w:w="31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E24FE4" w14:textId="77777777" w:rsidR="00C7404C" w:rsidRPr="00C63217" w:rsidRDefault="00C7404C" w:rsidP="00AE0DC3">
            <w:pPr>
              <w:shd w:val="clear" w:color="auto" w:fill="FFFFFF"/>
              <w:spacing w:before="240"/>
              <w:jc w:val="both"/>
              <w:rPr>
                <w:b/>
                <w:sz w:val="18"/>
              </w:rPr>
            </w:pPr>
            <w:r w:rsidRPr="00C63217">
              <w:rPr>
                <w:b/>
                <w:sz w:val="18"/>
              </w:rPr>
              <w:t>Biomes</w:t>
            </w:r>
          </w:p>
        </w:tc>
        <w:tc>
          <w:tcPr>
            <w:tcW w:w="1419"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531FB81E" w14:textId="77777777" w:rsidR="00C7404C" w:rsidRPr="00C63217" w:rsidRDefault="00C7404C" w:rsidP="00AE0DC3">
            <w:pPr>
              <w:shd w:val="clear" w:color="auto" w:fill="FFFFFF"/>
              <w:spacing w:before="240"/>
              <w:jc w:val="both"/>
              <w:rPr>
                <w:b/>
                <w:sz w:val="18"/>
              </w:rPr>
            </w:pPr>
            <w:r w:rsidRPr="00C63217">
              <w:rPr>
                <w:b/>
                <w:sz w:val="18"/>
              </w:rPr>
              <w:t>Tree (Mha)</w:t>
            </w:r>
          </w:p>
        </w:tc>
        <w:tc>
          <w:tcPr>
            <w:tcW w:w="2452"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02E72C05" w14:textId="77777777" w:rsidR="00C7404C" w:rsidRPr="00C63217" w:rsidRDefault="00C7404C" w:rsidP="00AE0DC3">
            <w:pPr>
              <w:shd w:val="clear" w:color="auto" w:fill="FFFFFF"/>
              <w:spacing w:before="240"/>
              <w:jc w:val="both"/>
              <w:rPr>
                <w:b/>
                <w:sz w:val="18"/>
              </w:rPr>
            </w:pPr>
            <w:r w:rsidRPr="00C63217">
              <w:rPr>
                <w:b/>
                <w:sz w:val="18"/>
              </w:rPr>
              <w:t>Short Vegetation (Mha)</w:t>
            </w:r>
          </w:p>
        </w:tc>
        <w:tc>
          <w:tcPr>
            <w:tcW w:w="202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79907C7A" w14:textId="77777777" w:rsidR="00C7404C" w:rsidRPr="00C63217" w:rsidRDefault="00C7404C" w:rsidP="00AE0DC3">
            <w:pPr>
              <w:shd w:val="clear" w:color="auto" w:fill="FFFFFF"/>
              <w:spacing w:before="240"/>
              <w:jc w:val="both"/>
              <w:rPr>
                <w:b/>
                <w:sz w:val="18"/>
              </w:rPr>
            </w:pPr>
            <w:r>
              <w:rPr>
                <w:b/>
                <w:sz w:val="18"/>
              </w:rPr>
              <w:t>Bare ground</w:t>
            </w:r>
            <w:r w:rsidRPr="00C63217">
              <w:rPr>
                <w:b/>
                <w:sz w:val="18"/>
              </w:rPr>
              <w:t xml:space="preserve"> (Mha)</w:t>
            </w:r>
          </w:p>
        </w:tc>
      </w:tr>
      <w:tr w:rsidR="00C7404C" w:rsidRPr="00C63217" w14:paraId="13190F68" w14:textId="77777777" w:rsidTr="00AE0DC3">
        <w:trPr>
          <w:trHeight w:val="500"/>
        </w:trPr>
        <w:tc>
          <w:tcPr>
            <w:tcW w:w="312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AC43199" w14:textId="77777777" w:rsidR="00C7404C" w:rsidRPr="00C7404C" w:rsidRDefault="00C7404C" w:rsidP="00AE0DC3">
            <w:pPr>
              <w:shd w:val="clear" w:color="auto" w:fill="FFFFFF"/>
              <w:spacing w:before="240"/>
              <w:jc w:val="both"/>
              <w:rPr>
                <w:bCs/>
                <w:sz w:val="18"/>
                <w:lang w:val="en-US"/>
              </w:rPr>
            </w:pPr>
            <w:r w:rsidRPr="00C7404C">
              <w:rPr>
                <w:bCs/>
                <w:sz w:val="18"/>
                <w:lang w:val="en-US"/>
              </w:rPr>
              <w:t>Tropical and Subtropical moist forests</w:t>
            </w:r>
          </w:p>
        </w:tc>
        <w:tc>
          <w:tcPr>
            <w:tcW w:w="1419" w:type="dxa"/>
            <w:tcBorders>
              <w:top w:val="nil"/>
              <w:left w:val="nil"/>
              <w:bottom w:val="single" w:sz="8" w:space="0" w:color="000000"/>
              <w:right w:val="single" w:sz="8" w:space="0" w:color="000000"/>
            </w:tcBorders>
            <w:tcMar>
              <w:top w:w="100" w:type="dxa"/>
              <w:left w:w="100" w:type="dxa"/>
              <w:bottom w:w="100" w:type="dxa"/>
              <w:right w:w="100" w:type="dxa"/>
            </w:tcMar>
          </w:tcPr>
          <w:p w14:paraId="13AF7BEC" w14:textId="77777777" w:rsidR="00C7404C" w:rsidRPr="00C63217" w:rsidRDefault="00C7404C" w:rsidP="00AE0DC3">
            <w:pPr>
              <w:shd w:val="clear" w:color="auto" w:fill="FFFFFF"/>
              <w:spacing w:before="240"/>
              <w:jc w:val="both"/>
              <w:rPr>
                <w:bCs/>
                <w:sz w:val="18"/>
              </w:rPr>
            </w:pPr>
            <w:r w:rsidRPr="00C63217">
              <w:rPr>
                <w:bCs/>
                <w:sz w:val="18"/>
              </w:rPr>
              <w:t>1614.55</w:t>
            </w:r>
          </w:p>
        </w:tc>
        <w:tc>
          <w:tcPr>
            <w:tcW w:w="2452" w:type="dxa"/>
            <w:tcBorders>
              <w:top w:val="nil"/>
              <w:left w:val="nil"/>
              <w:bottom w:val="single" w:sz="8" w:space="0" w:color="000000"/>
              <w:right w:val="single" w:sz="8" w:space="0" w:color="000000"/>
            </w:tcBorders>
            <w:tcMar>
              <w:top w:w="100" w:type="dxa"/>
              <w:left w:w="100" w:type="dxa"/>
              <w:bottom w:w="100" w:type="dxa"/>
              <w:right w:w="100" w:type="dxa"/>
            </w:tcMar>
          </w:tcPr>
          <w:p w14:paraId="4E31CF32" w14:textId="77777777" w:rsidR="00C7404C" w:rsidRPr="00C63217" w:rsidRDefault="00C7404C" w:rsidP="00AE0DC3">
            <w:pPr>
              <w:shd w:val="clear" w:color="auto" w:fill="FFFFFF"/>
              <w:spacing w:before="240"/>
              <w:jc w:val="both"/>
              <w:rPr>
                <w:bCs/>
                <w:sz w:val="18"/>
              </w:rPr>
            </w:pPr>
            <w:r w:rsidRPr="00C63217">
              <w:rPr>
                <w:bCs/>
                <w:sz w:val="18"/>
              </w:rPr>
              <w:t>290.36</w:t>
            </w:r>
          </w:p>
        </w:tc>
        <w:tc>
          <w:tcPr>
            <w:tcW w:w="2025" w:type="dxa"/>
            <w:tcBorders>
              <w:top w:val="nil"/>
              <w:left w:val="nil"/>
              <w:bottom w:val="single" w:sz="8" w:space="0" w:color="000000"/>
              <w:right w:val="single" w:sz="8" w:space="0" w:color="000000"/>
            </w:tcBorders>
            <w:tcMar>
              <w:top w:w="100" w:type="dxa"/>
              <w:left w:w="100" w:type="dxa"/>
              <w:bottom w:w="100" w:type="dxa"/>
              <w:right w:w="100" w:type="dxa"/>
            </w:tcMar>
          </w:tcPr>
          <w:p w14:paraId="67E68F6C" w14:textId="77777777" w:rsidR="00C7404C" w:rsidRPr="00C63217" w:rsidRDefault="00C7404C" w:rsidP="00AE0DC3">
            <w:pPr>
              <w:shd w:val="clear" w:color="auto" w:fill="FFFFFF"/>
              <w:spacing w:before="240"/>
              <w:jc w:val="both"/>
              <w:rPr>
                <w:bCs/>
                <w:sz w:val="18"/>
              </w:rPr>
            </w:pPr>
            <w:r w:rsidRPr="00C63217">
              <w:rPr>
                <w:bCs/>
                <w:sz w:val="18"/>
              </w:rPr>
              <w:t>31.91</w:t>
            </w:r>
          </w:p>
        </w:tc>
      </w:tr>
      <w:tr w:rsidR="00C7404C" w:rsidRPr="00C63217" w14:paraId="0394B476" w14:textId="77777777" w:rsidTr="00AE0DC3">
        <w:trPr>
          <w:trHeight w:val="500"/>
        </w:trPr>
        <w:tc>
          <w:tcPr>
            <w:tcW w:w="312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370D535" w14:textId="77777777" w:rsidR="00C7404C" w:rsidRPr="00C7404C" w:rsidRDefault="00C7404C" w:rsidP="00AE0DC3">
            <w:pPr>
              <w:shd w:val="clear" w:color="auto" w:fill="FFFFFF"/>
              <w:spacing w:before="240"/>
              <w:jc w:val="both"/>
              <w:rPr>
                <w:bCs/>
                <w:sz w:val="18"/>
                <w:lang w:val="en-US"/>
              </w:rPr>
            </w:pPr>
            <w:r w:rsidRPr="00C7404C">
              <w:rPr>
                <w:bCs/>
                <w:sz w:val="18"/>
                <w:lang w:val="en-US"/>
              </w:rPr>
              <w:t>Tropical and Subtropical</w:t>
            </w:r>
            <w:r w:rsidRPr="00C7404C" w:rsidDel="007F06EE">
              <w:rPr>
                <w:bCs/>
                <w:sz w:val="18"/>
                <w:lang w:val="en-US"/>
              </w:rPr>
              <w:t xml:space="preserve"> </w:t>
            </w:r>
            <w:r w:rsidRPr="00C7404C">
              <w:rPr>
                <w:bCs/>
                <w:sz w:val="18"/>
                <w:lang w:val="en-US"/>
              </w:rPr>
              <w:t>dry forests</w:t>
            </w:r>
          </w:p>
        </w:tc>
        <w:tc>
          <w:tcPr>
            <w:tcW w:w="1419" w:type="dxa"/>
            <w:tcBorders>
              <w:top w:val="nil"/>
              <w:left w:val="nil"/>
              <w:bottom w:val="single" w:sz="8" w:space="0" w:color="000000"/>
              <w:right w:val="single" w:sz="8" w:space="0" w:color="000000"/>
            </w:tcBorders>
            <w:tcMar>
              <w:top w:w="100" w:type="dxa"/>
              <w:left w:w="100" w:type="dxa"/>
              <w:bottom w:w="100" w:type="dxa"/>
              <w:right w:w="100" w:type="dxa"/>
            </w:tcMar>
          </w:tcPr>
          <w:p w14:paraId="5AB03695" w14:textId="77777777" w:rsidR="00C7404C" w:rsidRPr="00C63217" w:rsidRDefault="00C7404C" w:rsidP="00AE0DC3">
            <w:pPr>
              <w:shd w:val="clear" w:color="auto" w:fill="FFFFFF"/>
              <w:spacing w:before="240"/>
              <w:jc w:val="both"/>
              <w:rPr>
                <w:bCs/>
                <w:sz w:val="18"/>
              </w:rPr>
            </w:pPr>
            <w:r w:rsidRPr="00C63217">
              <w:rPr>
                <w:bCs/>
                <w:sz w:val="18"/>
              </w:rPr>
              <w:t>194.54</w:t>
            </w:r>
          </w:p>
        </w:tc>
        <w:tc>
          <w:tcPr>
            <w:tcW w:w="2452" w:type="dxa"/>
            <w:tcBorders>
              <w:top w:val="nil"/>
              <w:left w:val="nil"/>
              <w:bottom w:val="single" w:sz="8" w:space="0" w:color="000000"/>
              <w:right w:val="single" w:sz="8" w:space="0" w:color="000000"/>
            </w:tcBorders>
            <w:tcMar>
              <w:top w:w="100" w:type="dxa"/>
              <w:left w:w="100" w:type="dxa"/>
              <w:bottom w:w="100" w:type="dxa"/>
              <w:right w:w="100" w:type="dxa"/>
            </w:tcMar>
          </w:tcPr>
          <w:p w14:paraId="352AD449" w14:textId="77777777" w:rsidR="00C7404C" w:rsidRPr="00C63217" w:rsidRDefault="00C7404C" w:rsidP="00AE0DC3">
            <w:pPr>
              <w:shd w:val="clear" w:color="auto" w:fill="FFFFFF"/>
              <w:spacing w:before="240"/>
              <w:jc w:val="both"/>
              <w:rPr>
                <w:bCs/>
                <w:sz w:val="18"/>
              </w:rPr>
            </w:pPr>
            <w:r w:rsidRPr="00C63217">
              <w:rPr>
                <w:bCs/>
                <w:sz w:val="18"/>
              </w:rPr>
              <w:t>93.19</w:t>
            </w:r>
          </w:p>
        </w:tc>
        <w:tc>
          <w:tcPr>
            <w:tcW w:w="2025" w:type="dxa"/>
            <w:tcBorders>
              <w:top w:val="nil"/>
              <w:left w:val="nil"/>
              <w:bottom w:val="single" w:sz="8" w:space="0" w:color="000000"/>
              <w:right w:val="single" w:sz="8" w:space="0" w:color="000000"/>
            </w:tcBorders>
            <w:tcMar>
              <w:top w:w="100" w:type="dxa"/>
              <w:left w:w="100" w:type="dxa"/>
              <w:bottom w:w="100" w:type="dxa"/>
              <w:right w:w="100" w:type="dxa"/>
            </w:tcMar>
          </w:tcPr>
          <w:p w14:paraId="471ECC69" w14:textId="77777777" w:rsidR="00C7404C" w:rsidRPr="00C63217" w:rsidRDefault="00C7404C" w:rsidP="00AE0DC3">
            <w:pPr>
              <w:shd w:val="clear" w:color="auto" w:fill="FFFFFF"/>
              <w:spacing w:before="240"/>
              <w:jc w:val="both"/>
              <w:rPr>
                <w:bCs/>
                <w:sz w:val="18"/>
              </w:rPr>
            </w:pPr>
            <w:r w:rsidRPr="00C63217">
              <w:rPr>
                <w:bCs/>
                <w:sz w:val="18"/>
              </w:rPr>
              <w:t>5.89</w:t>
            </w:r>
          </w:p>
        </w:tc>
      </w:tr>
      <w:tr w:rsidR="00C7404C" w:rsidRPr="00C63217" w14:paraId="07BD3F00" w14:textId="77777777" w:rsidTr="00AE0DC3">
        <w:trPr>
          <w:trHeight w:val="500"/>
        </w:trPr>
        <w:tc>
          <w:tcPr>
            <w:tcW w:w="312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ADBBDF3" w14:textId="77777777" w:rsidR="00C7404C" w:rsidRPr="00C7404C" w:rsidRDefault="00C7404C" w:rsidP="00AE0DC3">
            <w:pPr>
              <w:shd w:val="clear" w:color="auto" w:fill="FFFFFF"/>
              <w:spacing w:before="240"/>
              <w:jc w:val="both"/>
              <w:rPr>
                <w:bCs/>
                <w:sz w:val="18"/>
                <w:lang w:val="en-US"/>
              </w:rPr>
            </w:pPr>
            <w:r w:rsidRPr="00C7404C">
              <w:rPr>
                <w:bCs/>
                <w:sz w:val="18"/>
                <w:lang w:val="en-US"/>
              </w:rPr>
              <w:t>Tropical and Subtropical</w:t>
            </w:r>
            <w:r w:rsidRPr="00C7404C" w:rsidDel="007F06EE">
              <w:rPr>
                <w:bCs/>
                <w:sz w:val="18"/>
                <w:lang w:val="en-US"/>
              </w:rPr>
              <w:t xml:space="preserve"> </w:t>
            </w:r>
            <w:r w:rsidRPr="00C7404C">
              <w:rPr>
                <w:bCs/>
                <w:sz w:val="18"/>
                <w:lang w:val="en-US"/>
              </w:rPr>
              <w:t>coniferous forests</w:t>
            </w:r>
          </w:p>
        </w:tc>
        <w:tc>
          <w:tcPr>
            <w:tcW w:w="1419" w:type="dxa"/>
            <w:tcBorders>
              <w:top w:val="nil"/>
              <w:left w:val="nil"/>
              <w:bottom w:val="single" w:sz="8" w:space="0" w:color="000000"/>
              <w:right w:val="single" w:sz="8" w:space="0" w:color="000000"/>
            </w:tcBorders>
            <w:tcMar>
              <w:top w:w="100" w:type="dxa"/>
              <w:left w:w="100" w:type="dxa"/>
              <w:bottom w:w="100" w:type="dxa"/>
              <w:right w:w="100" w:type="dxa"/>
            </w:tcMar>
          </w:tcPr>
          <w:p w14:paraId="5B12FE20" w14:textId="77777777" w:rsidR="00C7404C" w:rsidRPr="00C63217" w:rsidRDefault="00C7404C" w:rsidP="00AE0DC3">
            <w:pPr>
              <w:shd w:val="clear" w:color="auto" w:fill="FFFFFF"/>
              <w:spacing w:before="240"/>
              <w:jc w:val="both"/>
              <w:rPr>
                <w:bCs/>
                <w:sz w:val="18"/>
              </w:rPr>
            </w:pPr>
            <w:r w:rsidRPr="00C63217">
              <w:rPr>
                <w:bCs/>
                <w:sz w:val="18"/>
              </w:rPr>
              <w:t>37.6</w:t>
            </w:r>
          </w:p>
        </w:tc>
        <w:tc>
          <w:tcPr>
            <w:tcW w:w="2452" w:type="dxa"/>
            <w:tcBorders>
              <w:top w:val="nil"/>
              <w:left w:val="nil"/>
              <w:bottom w:val="single" w:sz="8" w:space="0" w:color="000000"/>
              <w:right w:val="single" w:sz="8" w:space="0" w:color="000000"/>
            </w:tcBorders>
            <w:tcMar>
              <w:top w:w="100" w:type="dxa"/>
              <w:left w:w="100" w:type="dxa"/>
              <w:bottom w:w="100" w:type="dxa"/>
              <w:right w:w="100" w:type="dxa"/>
            </w:tcMar>
          </w:tcPr>
          <w:p w14:paraId="02ABEC5E" w14:textId="77777777" w:rsidR="00C7404C" w:rsidRPr="00C63217" w:rsidRDefault="00C7404C" w:rsidP="00AE0DC3">
            <w:pPr>
              <w:shd w:val="clear" w:color="auto" w:fill="FFFFFF"/>
              <w:spacing w:before="240"/>
              <w:jc w:val="both"/>
              <w:rPr>
                <w:bCs/>
                <w:sz w:val="18"/>
              </w:rPr>
            </w:pPr>
            <w:r w:rsidRPr="00C63217">
              <w:rPr>
                <w:bCs/>
                <w:sz w:val="18"/>
              </w:rPr>
              <w:t>26.1</w:t>
            </w:r>
          </w:p>
        </w:tc>
        <w:tc>
          <w:tcPr>
            <w:tcW w:w="2025" w:type="dxa"/>
            <w:tcBorders>
              <w:top w:val="nil"/>
              <w:left w:val="nil"/>
              <w:bottom w:val="single" w:sz="8" w:space="0" w:color="000000"/>
              <w:right w:val="single" w:sz="8" w:space="0" w:color="000000"/>
            </w:tcBorders>
            <w:tcMar>
              <w:top w:w="100" w:type="dxa"/>
              <w:left w:w="100" w:type="dxa"/>
              <w:bottom w:w="100" w:type="dxa"/>
              <w:right w:w="100" w:type="dxa"/>
            </w:tcMar>
          </w:tcPr>
          <w:p w14:paraId="1897845A" w14:textId="77777777" w:rsidR="00C7404C" w:rsidRPr="00C63217" w:rsidRDefault="00C7404C" w:rsidP="00AE0DC3">
            <w:pPr>
              <w:shd w:val="clear" w:color="auto" w:fill="FFFFFF"/>
              <w:spacing w:before="240"/>
              <w:jc w:val="both"/>
              <w:rPr>
                <w:bCs/>
                <w:sz w:val="18"/>
              </w:rPr>
            </w:pPr>
            <w:r w:rsidRPr="00C63217">
              <w:rPr>
                <w:bCs/>
                <w:sz w:val="18"/>
              </w:rPr>
              <w:t>6.07</w:t>
            </w:r>
          </w:p>
        </w:tc>
      </w:tr>
      <w:tr w:rsidR="00C7404C" w:rsidRPr="00C63217" w14:paraId="654510E5" w14:textId="77777777" w:rsidTr="00AE0DC3">
        <w:trPr>
          <w:trHeight w:val="500"/>
        </w:trPr>
        <w:tc>
          <w:tcPr>
            <w:tcW w:w="312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226A65D" w14:textId="77777777" w:rsidR="00C7404C" w:rsidRPr="00C63217" w:rsidRDefault="00C7404C" w:rsidP="00AE0DC3">
            <w:pPr>
              <w:shd w:val="clear" w:color="auto" w:fill="FFFFFF"/>
              <w:spacing w:before="240"/>
              <w:jc w:val="both"/>
              <w:rPr>
                <w:bCs/>
                <w:sz w:val="18"/>
              </w:rPr>
            </w:pPr>
            <w:r w:rsidRPr="00C63217">
              <w:rPr>
                <w:bCs/>
                <w:sz w:val="18"/>
              </w:rPr>
              <w:t>Temperate Broadleaf Mixed forests</w:t>
            </w:r>
          </w:p>
        </w:tc>
        <w:tc>
          <w:tcPr>
            <w:tcW w:w="1419" w:type="dxa"/>
            <w:tcBorders>
              <w:top w:val="nil"/>
              <w:left w:val="nil"/>
              <w:bottom w:val="single" w:sz="8" w:space="0" w:color="000000"/>
              <w:right w:val="single" w:sz="8" w:space="0" w:color="000000"/>
            </w:tcBorders>
            <w:tcMar>
              <w:top w:w="100" w:type="dxa"/>
              <w:left w:w="100" w:type="dxa"/>
              <w:bottom w:w="100" w:type="dxa"/>
              <w:right w:w="100" w:type="dxa"/>
            </w:tcMar>
          </w:tcPr>
          <w:p w14:paraId="1FC8FC94" w14:textId="77777777" w:rsidR="00C7404C" w:rsidRPr="00C63217" w:rsidRDefault="00C7404C" w:rsidP="00AE0DC3">
            <w:pPr>
              <w:shd w:val="clear" w:color="auto" w:fill="FFFFFF"/>
              <w:spacing w:before="240"/>
              <w:jc w:val="both"/>
              <w:rPr>
                <w:bCs/>
                <w:sz w:val="18"/>
              </w:rPr>
            </w:pPr>
            <w:r w:rsidRPr="00C63217">
              <w:rPr>
                <w:bCs/>
                <w:sz w:val="18"/>
              </w:rPr>
              <w:t>747.96</w:t>
            </w:r>
          </w:p>
        </w:tc>
        <w:tc>
          <w:tcPr>
            <w:tcW w:w="2452" w:type="dxa"/>
            <w:tcBorders>
              <w:top w:val="nil"/>
              <w:left w:val="nil"/>
              <w:bottom w:val="single" w:sz="8" w:space="0" w:color="000000"/>
              <w:right w:val="single" w:sz="8" w:space="0" w:color="000000"/>
            </w:tcBorders>
            <w:tcMar>
              <w:top w:w="100" w:type="dxa"/>
              <w:left w:w="100" w:type="dxa"/>
              <w:bottom w:w="100" w:type="dxa"/>
              <w:right w:w="100" w:type="dxa"/>
            </w:tcMar>
          </w:tcPr>
          <w:p w14:paraId="7C8E757C" w14:textId="77777777" w:rsidR="00C7404C" w:rsidRPr="00C63217" w:rsidRDefault="00C7404C" w:rsidP="00AE0DC3">
            <w:pPr>
              <w:shd w:val="clear" w:color="auto" w:fill="FFFFFF"/>
              <w:spacing w:before="240"/>
              <w:jc w:val="both"/>
              <w:rPr>
                <w:bCs/>
                <w:sz w:val="18"/>
              </w:rPr>
            </w:pPr>
            <w:r w:rsidRPr="00C63217">
              <w:rPr>
                <w:bCs/>
                <w:sz w:val="18"/>
              </w:rPr>
              <w:t>421.38</w:t>
            </w:r>
          </w:p>
        </w:tc>
        <w:tc>
          <w:tcPr>
            <w:tcW w:w="2025" w:type="dxa"/>
            <w:tcBorders>
              <w:top w:val="nil"/>
              <w:left w:val="nil"/>
              <w:bottom w:val="single" w:sz="8" w:space="0" w:color="000000"/>
              <w:right w:val="single" w:sz="8" w:space="0" w:color="000000"/>
            </w:tcBorders>
            <w:tcMar>
              <w:top w:w="100" w:type="dxa"/>
              <w:left w:w="100" w:type="dxa"/>
              <w:bottom w:w="100" w:type="dxa"/>
              <w:right w:w="100" w:type="dxa"/>
            </w:tcMar>
          </w:tcPr>
          <w:p w14:paraId="003DFDFA" w14:textId="77777777" w:rsidR="00C7404C" w:rsidRPr="00C63217" w:rsidRDefault="00C7404C" w:rsidP="00AE0DC3">
            <w:pPr>
              <w:shd w:val="clear" w:color="auto" w:fill="FFFFFF"/>
              <w:spacing w:before="240"/>
              <w:jc w:val="both"/>
              <w:rPr>
                <w:bCs/>
                <w:sz w:val="18"/>
              </w:rPr>
            </w:pPr>
            <w:r w:rsidRPr="00C63217">
              <w:rPr>
                <w:bCs/>
                <w:sz w:val="18"/>
              </w:rPr>
              <w:t>87.56</w:t>
            </w:r>
          </w:p>
        </w:tc>
      </w:tr>
      <w:tr w:rsidR="00C7404C" w:rsidRPr="00C63217" w14:paraId="2E966C4A" w14:textId="77777777" w:rsidTr="00AE0DC3">
        <w:trPr>
          <w:trHeight w:val="500"/>
        </w:trPr>
        <w:tc>
          <w:tcPr>
            <w:tcW w:w="312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5A6206C" w14:textId="77777777" w:rsidR="00C7404C" w:rsidRPr="00C63217" w:rsidRDefault="00C7404C" w:rsidP="00AE0DC3">
            <w:pPr>
              <w:shd w:val="clear" w:color="auto" w:fill="FFFFFF"/>
              <w:spacing w:before="240"/>
              <w:jc w:val="both"/>
              <w:rPr>
                <w:bCs/>
                <w:sz w:val="18"/>
              </w:rPr>
            </w:pPr>
            <w:r w:rsidRPr="00C63217">
              <w:rPr>
                <w:bCs/>
                <w:sz w:val="18"/>
              </w:rPr>
              <w:t>Temperate coniferous forests</w:t>
            </w:r>
          </w:p>
        </w:tc>
        <w:tc>
          <w:tcPr>
            <w:tcW w:w="1419" w:type="dxa"/>
            <w:tcBorders>
              <w:top w:val="nil"/>
              <w:left w:val="nil"/>
              <w:bottom w:val="single" w:sz="8" w:space="0" w:color="000000"/>
              <w:right w:val="single" w:sz="8" w:space="0" w:color="000000"/>
            </w:tcBorders>
            <w:tcMar>
              <w:top w:w="100" w:type="dxa"/>
              <w:left w:w="100" w:type="dxa"/>
              <w:bottom w:w="100" w:type="dxa"/>
              <w:right w:w="100" w:type="dxa"/>
            </w:tcMar>
          </w:tcPr>
          <w:p w14:paraId="7136A16E" w14:textId="77777777" w:rsidR="00C7404C" w:rsidRPr="00C63217" w:rsidRDefault="00C7404C" w:rsidP="00AE0DC3">
            <w:pPr>
              <w:shd w:val="clear" w:color="auto" w:fill="FFFFFF"/>
              <w:spacing w:before="240"/>
              <w:jc w:val="both"/>
              <w:rPr>
                <w:bCs/>
                <w:sz w:val="18"/>
              </w:rPr>
            </w:pPr>
            <w:r w:rsidRPr="00C63217">
              <w:rPr>
                <w:bCs/>
                <w:sz w:val="18"/>
              </w:rPr>
              <w:t>181.76</w:t>
            </w:r>
          </w:p>
        </w:tc>
        <w:tc>
          <w:tcPr>
            <w:tcW w:w="2452" w:type="dxa"/>
            <w:tcBorders>
              <w:top w:val="nil"/>
              <w:left w:val="nil"/>
              <w:bottom w:val="single" w:sz="8" w:space="0" w:color="000000"/>
              <w:right w:val="single" w:sz="8" w:space="0" w:color="000000"/>
            </w:tcBorders>
            <w:tcMar>
              <w:top w:w="100" w:type="dxa"/>
              <w:left w:w="100" w:type="dxa"/>
              <w:bottom w:w="100" w:type="dxa"/>
              <w:right w:w="100" w:type="dxa"/>
            </w:tcMar>
          </w:tcPr>
          <w:p w14:paraId="57DBDCC4" w14:textId="77777777" w:rsidR="00C7404C" w:rsidRPr="00C63217" w:rsidRDefault="00C7404C" w:rsidP="00AE0DC3">
            <w:pPr>
              <w:shd w:val="clear" w:color="auto" w:fill="FFFFFF"/>
              <w:spacing w:before="240"/>
              <w:jc w:val="both"/>
              <w:rPr>
                <w:bCs/>
                <w:sz w:val="18"/>
              </w:rPr>
            </w:pPr>
            <w:r w:rsidRPr="00C63217">
              <w:rPr>
                <w:bCs/>
                <w:sz w:val="18"/>
              </w:rPr>
              <w:t>136.61</w:t>
            </w:r>
          </w:p>
        </w:tc>
        <w:tc>
          <w:tcPr>
            <w:tcW w:w="2025" w:type="dxa"/>
            <w:tcBorders>
              <w:top w:val="nil"/>
              <w:left w:val="nil"/>
              <w:bottom w:val="single" w:sz="8" w:space="0" w:color="000000"/>
              <w:right w:val="single" w:sz="8" w:space="0" w:color="000000"/>
            </w:tcBorders>
            <w:tcMar>
              <w:top w:w="100" w:type="dxa"/>
              <w:left w:w="100" w:type="dxa"/>
              <w:bottom w:w="100" w:type="dxa"/>
              <w:right w:w="100" w:type="dxa"/>
            </w:tcMar>
          </w:tcPr>
          <w:p w14:paraId="28B122F2" w14:textId="77777777" w:rsidR="00C7404C" w:rsidRPr="00C63217" w:rsidRDefault="00C7404C" w:rsidP="00AE0DC3">
            <w:pPr>
              <w:shd w:val="clear" w:color="auto" w:fill="FFFFFF"/>
              <w:spacing w:before="240"/>
              <w:jc w:val="both"/>
              <w:rPr>
                <w:bCs/>
                <w:sz w:val="18"/>
              </w:rPr>
            </w:pPr>
            <w:r w:rsidRPr="00C63217">
              <w:rPr>
                <w:bCs/>
                <w:sz w:val="18"/>
              </w:rPr>
              <w:t>83.68</w:t>
            </w:r>
          </w:p>
        </w:tc>
      </w:tr>
      <w:tr w:rsidR="00C7404C" w:rsidRPr="00C63217" w14:paraId="1FAA91FF" w14:textId="77777777" w:rsidTr="00AE0DC3">
        <w:trPr>
          <w:trHeight w:val="500"/>
        </w:trPr>
        <w:tc>
          <w:tcPr>
            <w:tcW w:w="312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BC52C92" w14:textId="77777777" w:rsidR="00C7404C" w:rsidRPr="00C63217" w:rsidRDefault="00C7404C" w:rsidP="00AE0DC3">
            <w:pPr>
              <w:shd w:val="clear" w:color="auto" w:fill="FFFFFF"/>
              <w:spacing w:before="240"/>
              <w:jc w:val="both"/>
              <w:rPr>
                <w:bCs/>
                <w:sz w:val="18"/>
              </w:rPr>
            </w:pPr>
            <w:r w:rsidRPr="00C63217">
              <w:rPr>
                <w:bCs/>
                <w:sz w:val="18"/>
              </w:rPr>
              <w:t>Boreal forests/ Taiga</w:t>
            </w:r>
          </w:p>
        </w:tc>
        <w:tc>
          <w:tcPr>
            <w:tcW w:w="1419" w:type="dxa"/>
            <w:tcBorders>
              <w:top w:val="nil"/>
              <w:left w:val="nil"/>
              <w:bottom w:val="single" w:sz="8" w:space="0" w:color="000000"/>
              <w:right w:val="single" w:sz="8" w:space="0" w:color="000000"/>
            </w:tcBorders>
            <w:tcMar>
              <w:top w:w="100" w:type="dxa"/>
              <w:left w:w="100" w:type="dxa"/>
              <w:bottom w:w="100" w:type="dxa"/>
              <w:right w:w="100" w:type="dxa"/>
            </w:tcMar>
          </w:tcPr>
          <w:p w14:paraId="364BC723" w14:textId="77777777" w:rsidR="00C7404C" w:rsidRPr="00C63217" w:rsidRDefault="00C7404C" w:rsidP="00AE0DC3">
            <w:pPr>
              <w:shd w:val="clear" w:color="auto" w:fill="FFFFFF"/>
              <w:spacing w:before="240"/>
              <w:jc w:val="both"/>
              <w:rPr>
                <w:bCs/>
                <w:sz w:val="18"/>
              </w:rPr>
            </w:pPr>
            <w:r w:rsidRPr="00C63217">
              <w:rPr>
                <w:bCs/>
                <w:sz w:val="18"/>
              </w:rPr>
              <w:t>612.32</w:t>
            </w:r>
          </w:p>
        </w:tc>
        <w:tc>
          <w:tcPr>
            <w:tcW w:w="2452" w:type="dxa"/>
            <w:tcBorders>
              <w:top w:val="nil"/>
              <w:left w:val="nil"/>
              <w:bottom w:val="single" w:sz="8" w:space="0" w:color="000000"/>
              <w:right w:val="single" w:sz="8" w:space="0" w:color="000000"/>
            </w:tcBorders>
            <w:tcMar>
              <w:top w:w="100" w:type="dxa"/>
              <w:left w:w="100" w:type="dxa"/>
              <w:bottom w:w="100" w:type="dxa"/>
              <w:right w:w="100" w:type="dxa"/>
            </w:tcMar>
          </w:tcPr>
          <w:p w14:paraId="14236B59" w14:textId="77777777" w:rsidR="00C7404C" w:rsidRPr="00C63217" w:rsidRDefault="00C7404C" w:rsidP="00AE0DC3">
            <w:pPr>
              <w:shd w:val="clear" w:color="auto" w:fill="FFFFFF"/>
              <w:spacing w:before="240"/>
              <w:jc w:val="both"/>
              <w:rPr>
                <w:bCs/>
                <w:sz w:val="18"/>
              </w:rPr>
            </w:pPr>
            <w:r w:rsidRPr="00C63217">
              <w:rPr>
                <w:bCs/>
                <w:sz w:val="18"/>
              </w:rPr>
              <w:t>718.71</w:t>
            </w:r>
          </w:p>
        </w:tc>
        <w:tc>
          <w:tcPr>
            <w:tcW w:w="2025" w:type="dxa"/>
            <w:tcBorders>
              <w:top w:val="nil"/>
              <w:left w:val="nil"/>
              <w:bottom w:val="single" w:sz="8" w:space="0" w:color="000000"/>
              <w:right w:val="single" w:sz="8" w:space="0" w:color="000000"/>
            </w:tcBorders>
            <w:tcMar>
              <w:top w:w="100" w:type="dxa"/>
              <w:left w:w="100" w:type="dxa"/>
              <w:bottom w:w="100" w:type="dxa"/>
              <w:right w:w="100" w:type="dxa"/>
            </w:tcMar>
          </w:tcPr>
          <w:p w14:paraId="2DDA02CF" w14:textId="77777777" w:rsidR="00C7404C" w:rsidRPr="00C63217" w:rsidRDefault="00C7404C" w:rsidP="00AE0DC3">
            <w:pPr>
              <w:shd w:val="clear" w:color="auto" w:fill="FFFFFF"/>
              <w:spacing w:before="240"/>
              <w:jc w:val="both"/>
              <w:rPr>
                <w:bCs/>
                <w:sz w:val="18"/>
              </w:rPr>
            </w:pPr>
            <w:r w:rsidRPr="00C63217">
              <w:rPr>
                <w:bCs/>
                <w:sz w:val="18"/>
              </w:rPr>
              <w:t>169.64</w:t>
            </w:r>
          </w:p>
        </w:tc>
      </w:tr>
      <w:tr w:rsidR="00C7404C" w:rsidRPr="00C63217" w14:paraId="5E34D3F2" w14:textId="77777777" w:rsidTr="00AE0DC3">
        <w:trPr>
          <w:trHeight w:val="500"/>
        </w:trPr>
        <w:tc>
          <w:tcPr>
            <w:tcW w:w="312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DAFB275" w14:textId="77777777" w:rsidR="00C7404C" w:rsidRPr="00C63217" w:rsidRDefault="00C7404C" w:rsidP="00AE0DC3">
            <w:pPr>
              <w:shd w:val="clear" w:color="auto" w:fill="FFFFFF"/>
              <w:spacing w:before="240"/>
              <w:jc w:val="both"/>
              <w:rPr>
                <w:bCs/>
                <w:sz w:val="18"/>
              </w:rPr>
            </w:pPr>
            <w:r w:rsidRPr="00C63217">
              <w:rPr>
                <w:bCs/>
                <w:sz w:val="18"/>
              </w:rPr>
              <w:t>Tropical and Subtropical</w:t>
            </w:r>
            <w:r w:rsidRPr="00C63217" w:rsidDel="007F06EE">
              <w:rPr>
                <w:bCs/>
                <w:sz w:val="18"/>
              </w:rPr>
              <w:t xml:space="preserve"> </w:t>
            </w:r>
            <w:r w:rsidRPr="00C63217">
              <w:rPr>
                <w:bCs/>
                <w:sz w:val="18"/>
              </w:rPr>
              <w:t>grasslands</w:t>
            </w:r>
          </w:p>
        </w:tc>
        <w:tc>
          <w:tcPr>
            <w:tcW w:w="1419" w:type="dxa"/>
            <w:tcBorders>
              <w:top w:val="nil"/>
              <w:left w:val="nil"/>
              <w:bottom w:val="single" w:sz="8" w:space="0" w:color="000000"/>
              <w:right w:val="single" w:sz="8" w:space="0" w:color="000000"/>
            </w:tcBorders>
            <w:tcMar>
              <w:top w:w="100" w:type="dxa"/>
              <w:left w:w="100" w:type="dxa"/>
              <w:bottom w:w="100" w:type="dxa"/>
              <w:right w:w="100" w:type="dxa"/>
            </w:tcMar>
          </w:tcPr>
          <w:p w14:paraId="085E3602" w14:textId="77777777" w:rsidR="00C7404C" w:rsidRPr="00C63217" w:rsidRDefault="00C7404C" w:rsidP="00AE0DC3">
            <w:pPr>
              <w:shd w:val="clear" w:color="auto" w:fill="FFFFFF"/>
              <w:spacing w:before="240"/>
              <w:jc w:val="both"/>
              <w:rPr>
                <w:bCs/>
                <w:sz w:val="18"/>
              </w:rPr>
            </w:pPr>
            <w:r w:rsidRPr="00C63217">
              <w:rPr>
                <w:bCs/>
                <w:sz w:val="18"/>
              </w:rPr>
              <w:t>768.48</w:t>
            </w:r>
          </w:p>
        </w:tc>
        <w:tc>
          <w:tcPr>
            <w:tcW w:w="2452" w:type="dxa"/>
            <w:tcBorders>
              <w:top w:val="nil"/>
              <w:left w:val="nil"/>
              <w:bottom w:val="single" w:sz="8" w:space="0" w:color="000000"/>
              <w:right w:val="single" w:sz="8" w:space="0" w:color="000000"/>
            </w:tcBorders>
            <w:tcMar>
              <w:top w:w="100" w:type="dxa"/>
              <w:left w:w="100" w:type="dxa"/>
              <w:bottom w:w="100" w:type="dxa"/>
              <w:right w:w="100" w:type="dxa"/>
            </w:tcMar>
          </w:tcPr>
          <w:p w14:paraId="214A95D0" w14:textId="77777777" w:rsidR="00C7404C" w:rsidRPr="00C63217" w:rsidRDefault="00C7404C" w:rsidP="00AE0DC3">
            <w:pPr>
              <w:shd w:val="clear" w:color="auto" w:fill="FFFFFF"/>
              <w:spacing w:before="240"/>
              <w:jc w:val="both"/>
              <w:rPr>
                <w:bCs/>
                <w:sz w:val="18"/>
              </w:rPr>
            </w:pPr>
            <w:r w:rsidRPr="00C63217">
              <w:rPr>
                <w:bCs/>
                <w:sz w:val="18"/>
              </w:rPr>
              <w:t>1039.55</w:t>
            </w:r>
          </w:p>
        </w:tc>
        <w:tc>
          <w:tcPr>
            <w:tcW w:w="2025" w:type="dxa"/>
            <w:tcBorders>
              <w:top w:val="nil"/>
              <w:left w:val="nil"/>
              <w:bottom w:val="single" w:sz="8" w:space="0" w:color="000000"/>
              <w:right w:val="single" w:sz="8" w:space="0" w:color="000000"/>
            </w:tcBorders>
            <w:tcMar>
              <w:top w:w="100" w:type="dxa"/>
              <w:left w:w="100" w:type="dxa"/>
              <w:bottom w:w="100" w:type="dxa"/>
              <w:right w:w="100" w:type="dxa"/>
            </w:tcMar>
          </w:tcPr>
          <w:p w14:paraId="4562110C" w14:textId="77777777" w:rsidR="00C7404C" w:rsidRPr="00C63217" w:rsidRDefault="00C7404C" w:rsidP="00AE0DC3">
            <w:pPr>
              <w:shd w:val="clear" w:color="auto" w:fill="FFFFFF"/>
              <w:spacing w:before="240"/>
              <w:jc w:val="both"/>
              <w:rPr>
                <w:bCs/>
                <w:sz w:val="18"/>
              </w:rPr>
            </w:pPr>
            <w:r w:rsidRPr="00C63217">
              <w:rPr>
                <w:bCs/>
                <w:sz w:val="18"/>
              </w:rPr>
              <w:t>201.56</w:t>
            </w:r>
          </w:p>
        </w:tc>
      </w:tr>
      <w:tr w:rsidR="00C7404C" w:rsidRPr="00C63217" w14:paraId="33058C49" w14:textId="77777777" w:rsidTr="00AE0DC3">
        <w:trPr>
          <w:trHeight w:val="500"/>
        </w:trPr>
        <w:tc>
          <w:tcPr>
            <w:tcW w:w="312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BB3DBE8" w14:textId="77777777" w:rsidR="00C7404C" w:rsidRPr="00C63217" w:rsidRDefault="00C7404C" w:rsidP="00AE0DC3">
            <w:pPr>
              <w:shd w:val="clear" w:color="auto" w:fill="FFFFFF"/>
              <w:spacing w:before="240"/>
              <w:jc w:val="both"/>
              <w:rPr>
                <w:bCs/>
                <w:sz w:val="18"/>
              </w:rPr>
            </w:pPr>
            <w:r w:rsidRPr="00C63217">
              <w:rPr>
                <w:bCs/>
                <w:sz w:val="18"/>
              </w:rPr>
              <w:t>Temperate grasslands</w:t>
            </w:r>
          </w:p>
        </w:tc>
        <w:tc>
          <w:tcPr>
            <w:tcW w:w="1419" w:type="dxa"/>
            <w:tcBorders>
              <w:top w:val="nil"/>
              <w:left w:val="nil"/>
              <w:bottom w:val="single" w:sz="8" w:space="0" w:color="000000"/>
              <w:right w:val="single" w:sz="8" w:space="0" w:color="000000"/>
            </w:tcBorders>
            <w:tcMar>
              <w:top w:w="100" w:type="dxa"/>
              <w:left w:w="100" w:type="dxa"/>
              <w:bottom w:w="100" w:type="dxa"/>
              <w:right w:w="100" w:type="dxa"/>
            </w:tcMar>
          </w:tcPr>
          <w:p w14:paraId="2E0829D3" w14:textId="77777777" w:rsidR="00C7404C" w:rsidRPr="00C63217" w:rsidRDefault="00C7404C" w:rsidP="00AE0DC3">
            <w:pPr>
              <w:shd w:val="clear" w:color="auto" w:fill="FFFFFF"/>
              <w:spacing w:before="240"/>
              <w:jc w:val="both"/>
              <w:rPr>
                <w:bCs/>
                <w:sz w:val="18"/>
              </w:rPr>
            </w:pPr>
            <w:r w:rsidRPr="00C63217">
              <w:rPr>
                <w:bCs/>
                <w:sz w:val="18"/>
              </w:rPr>
              <w:t>403.87</w:t>
            </w:r>
          </w:p>
        </w:tc>
        <w:tc>
          <w:tcPr>
            <w:tcW w:w="2452" w:type="dxa"/>
            <w:tcBorders>
              <w:top w:val="nil"/>
              <w:left w:val="nil"/>
              <w:bottom w:val="single" w:sz="8" w:space="0" w:color="000000"/>
              <w:right w:val="single" w:sz="8" w:space="0" w:color="000000"/>
            </w:tcBorders>
            <w:tcMar>
              <w:top w:w="100" w:type="dxa"/>
              <w:left w:w="100" w:type="dxa"/>
              <w:bottom w:w="100" w:type="dxa"/>
              <w:right w:w="100" w:type="dxa"/>
            </w:tcMar>
          </w:tcPr>
          <w:p w14:paraId="0A3955A1" w14:textId="77777777" w:rsidR="00C7404C" w:rsidRPr="00C63217" w:rsidRDefault="00C7404C" w:rsidP="00AE0DC3">
            <w:pPr>
              <w:shd w:val="clear" w:color="auto" w:fill="FFFFFF"/>
              <w:spacing w:before="240"/>
              <w:jc w:val="both"/>
              <w:rPr>
                <w:bCs/>
                <w:sz w:val="18"/>
              </w:rPr>
            </w:pPr>
            <w:r w:rsidRPr="00C63217">
              <w:rPr>
                <w:bCs/>
                <w:sz w:val="18"/>
              </w:rPr>
              <w:t>456.92</w:t>
            </w:r>
          </w:p>
        </w:tc>
        <w:tc>
          <w:tcPr>
            <w:tcW w:w="2025" w:type="dxa"/>
            <w:tcBorders>
              <w:top w:val="nil"/>
              <w:left w:val="nil"/>
              <w:bottom w:val="single" w:sz="8" w:space="0" w:color="000000"/>
              <w:right w:val="single" w:sz="8" w:space="0" w:color="000000"/>
            </w:tcBorders>
            <w:tcMar>
              <w:top w:w="100" w:type="dxa"/>
              <w:left w:w="100" w:type="dxa"/>
              <w:bottom w:w="100" w:type="dxa"/>
              <w:right w:w="100" w:type="dxa"/>
            </w:tcMar>
          </w:tcPr>
          <w:p w14:paraId="5496AA06" w14:textId="77777777" w:rsidR="00C7404C" w:rsidRPr="00C63217" w:rsidRDefault="00C7404C" w:rsidP="00AE0DC3">
            <w:pPr>
              <w:shd w:val="clear" w:color="auto" w:fill="FFFFFF"/>
              <w:spacing w:before="240"/>
              <w:jc w:val="both"/>
              <w:rPr>
                <w:bCs/>
                <w:sz w:val="18"/>
              </w:rPr>
            </w:pPr>
            <w:r w:rsidRPr="00C63217">
              <w:rPr>
                <w:bCs/>
                <w:sz w:val="18"/>
              </w:rPr>
              <w:t>145.23</w:t>
            </w:r>
          </w:p>
        </w:tc>
      </w:tr>
      <w:tr w:rsidR="00C7404C" w:rsidRPr="00C63217" w14:paraId="649DA198" w14:textId="77777777" w:rsidTr="00AE0DC3">
        <w:trPr>
          <w:trHeight w:val="500"/>
        </w:trPr>
        <w:tc>
          <w:tcPr>
            <w:tcW w:w="312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6E399C4" w14:textId="77777777" w:rsidR="00C7404C" w:rsidRPr="00C63217" w:rsidRDefault="00C7404C" w:rsidP="00AE0DC3">
            <w:pPr>
              <w:shd w:val="clear" w:color="auto" w:fill="FFFFFF"/>
              <w:spacing w:before="240"/>
              <w:jc w:val="both"/>
              <w:rPr>
                <w:bCs/>
                <w:sz w:val="18"/>
              </w:rPr>
            </w:pPr>
            <w:r w:rsidRPr="00C63217">
              <w:rPr>
                <w:bCs/>
                <w:sz w:val="18"/>
              </w:rPr>
              <w:t>Flooded grasslands</w:t>
            </w:r>
          </w:p>
        </w:tc>
        <w:tc>
          <w:tcPr>
            <w:tcW w:w="1419" w:type="dxa"/>
            <w:tcBorders>
              <w:top w:val="nil"/>
              <w:left w:val="nil"/>
              <w:bottom w:val="single" w:sz="8" w:space="0" w:color="000000"/>
              <w:right w:val="single" w:sz="8" w:space="0" w:color="000000"/>
            </w:tcBorders>
            <w:tcMar>
              <w:top w:w="100" w:type="dxa"/>
              <w:left w:w="100" w:type="dxa"/>
              <w:bottom w:w="100" w:type="dxa"/>
              <w:right w:w="100" w:type="dxa"/>
            </w:tcMar>
          </w:tcPr>
          <w:p w14:paraId="148EFED3" w14:textId="77777777" w:rsidR="00C7404C" w:rsidRPr="00C63217" w:rsidRDefault="00C7404C" w:rsidP="00AE0DC3">
            <w:pPr>
              <w:shd w:val="clear" w:color="auto" w:fill="FFFFFF"/>
              <w:spacing w:before="240"/>
              <w:jc w:val="both"/>
              <w:rPr>
                <w:bCs/>
                <w:sz w:val="18"/>
              </w:rPr>
            </w:pPr>
            <w:r w:rsidRPr="00C63217">
              <w:rPr>
                <w:bCs/>
                <w:sz w:val="18"/>
              </w:rPr>
              <w:t>46.24</w:t>
            </w:r>
          </w:p>
        </w:tc>
        <w:tc>
          <w:tcPr>
            <w:tcW w:w="2452" w:type="dxa"/>
            <w:tcBorders>
              <w:top w:val="nil"/>
              <w:left w:val="nil"/>
              <w:bottom w:val="single" w:sz="8" w:space="0" w:color="000000"/>
              <w:right w:val="single" w:sz="8" w:space="0" w:color="000000"/>
            </w:tcBorders>
            <w:tcMar>
              <w:top w:w="100" w:type="dxa"/>
              <w:left w:w="100" w:type="dxa"/>
              <w:bottom w:w="100" w:type="dxa"/>
              <w:right w:w="100" w:type="dxa"/>
            </w:tcMar>
          </w:tcPr>
          <w:p w14:paraId="4CD299A0" w14:textId="77777777" w:rsidR="00C7404C" w:rsidRPr="00C63217" w:rsidRDefault="00C7404C" w:rsidP="00AE0DC3">
            <w:pPr>
              <w:shd w:val="clear" w:color="auto" w:fill="FFFFFF"/>
              <w:spacing w:before="240"/>
              <w:jc w:val="both"/>
              <w:rPr>
                <w:bCs/>
                <w:sz w:val="18"/>
              </w:rPr>
            </w:pPr>
            <w:r w:rsidRPr="00C63217">
              <w:rPr>
                <w:bCs/>
                <w:sz w:val="18"/>
              </w:rPr>
              <w:t>55.61</w:t>
            </w:r>
          </w:p>
        </w:tc>
        <w:tc>
          <w:tcPr>
            <w:tcW w:w="2025" w:type="dxa"/>
            <w:tcBorders>
              <w:top w:val="nil"/>
              <w:left w:val="nil"/>
              <w:bottom w:val="single" w:sz="8" w:space="0" w:color="000000"/>
              <w:right w:val="single" w:sz="8" w:space="0" w:color="000000"/>
            </w:tcBorders>
            <w:tcMar>
              <w:top w:w="100" w:type="dxa"/>
              <w:left w:w="100" w:type="dxa"/>
              <w:bottom w:w="100" w:type="dxa"/>
              <w:right w:w="100" w:type="dxa"/>
            </w:tcMar>
          </w:tcPr>
          <w:p w14:paraId="465C7913" w14:textId="77777777" w:rsidR="00C7404C" w:rsidRPr="00C63217" w:rsidRDefault="00C7404C" w:rsidP="00AE0DC3">
            <w:pPr>
              <w:shd w:val="clear" w:color="auto" w:fill="FFFFFF"/>
              <w:spacing w:before="240"/>
              <w:jc w:val="both"/>
              <w:rPr>
                <w:bCs/>
                <w:sz w:val="18"/>
              </w:rPr>
            </w:pPr>
            <w:r w:rsidRPr="00C63217">
              <w:rPr>
                <w:bCs/>
                <w:sz w:val="18"/>
              </w:rPr>
              <w:t>5.92</w:t>
            </w:r>
          </w:p>
        </w:tc>
      </w:tr>
      <w:tr w:rsidR="00C7404C" w:rsidRPr="00C63217" w14:paraId="5AE25993" w14:textId="77777777" w:rsidTr="00AE0DC3">
        <w:trPr>
          <w:trHeight w:val="500"/>
        </w:trPr>
        <w:tc>
          <w:tcPr>
            <w:tcW w:w="312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E4D404E" w14:textId="77777777" w:rsidR="00C7404C" w:rsidRPr="00C63217" w:rsidRDefault="00C7404C" w:rsidP="00AE0DC3">
            <w:pPr>
              <w:shd w:val="clear" w:color="auto" w:fill="FFFFFF"/>
              <w:spacing w:before="240"/>
              <w:jc w:val="both"/>
              <w:rPr>
                <w:bCs/>
                <w:sz w:val="18"/>
              </w:rPr>
            </w:pPr>
            <w:r w:rsidRPr="00C63217">
              <w:rPr>
                <w:bCs/>
                <w:sz w:val="18"/>
              </w:rPr>
              <w:t>Montane grassland</w:t>
            </w:r>
          </w:p>
        </w:tc>
        <w:tc>
          <w:tcPr>
            <w:tcW w:w="1419" w:type="dxa"/>
            <w:tcBorders>
              <w:top w:val="nil"/>
              <w:left w:val="nil"/>
              <w:bottom w:val="single" w:sz="8" w:space="0" w:color="000000"/>
              <w:right w:val="single" w:sz="8" w:space="0" w:color="000000"/>
            </w:tcBorders>
            <w:tcMar>
              <w:top w:w="100" w:type="dxa"/>
              <w:left w:w="100" w:type="dxa"/>
              <w:bottom w:w="100" w:type="dxa"/>
              <w:right w:w="100" w:type="dxa"/>
            </w:tcMar>
          </w:tcPr>
          <w:p w14:paraId="44A89C05" w14:textId="77777777" w:rsidR="00C7404C" w:rsidRPr="00C63217" w:rsidRDefault="00C7404C" w:rsidP="00AE0DC3">
            <w:pPr>
              <w:shd w:val="clear" w:color="auto" w:fill="FFFFFF"/>
              <w:spacing w:before="240"/>
              <w:jc w:val="both"/>
              <w:rPr>
                <w:bCs/>
                <w:sz w:val="18"/>
              </w:rPr>
            </w:pPr>
            <w:r w:rsidRPr="00C63217">
              <w:rPr>
                <w:bCs/>
                <w:sz w:val="18"/>
              </w:rPr>
              <w:t>76.42</w:t>
            </w:r>
          </w:p>
        </w:tc>
        <w:tc>
          <w:tcPr>
            <w:tcW w:w="2452" w:type="dxa"/>
            <w:tcBorders>
              <w:top w:val="nil"/>
              <w:left w:val="nil"/>
              <w:bottom w:val="single" w:sz="8" w:space="0" w:color="000000"/>
              <w:right w:val="single" w:sz="8" w:space="0" w:color="000000"/>
            </w:tcBorders>
            <w:tcMar>
              <w:top w:w="100" w:type="dxa"/>
              <w:left w:w="100" w:type="dxa"/>
              <w:bottom w:w="100" w:type="dxa"/>
              <w:right w:w="100" w:type="dxa"/>
            </w:tcMar>
          </w:tcPr>
          <w:p w14:paraId="137641B0" w14:textId="77777777" w:rsidR="00C7404C" w:rsidRPr="00C63217" w:rsidRDefault="00C7404C" w:rsidP="00AE0DC3">
            <w:pPr>
              <w:shd w:val="clear" w:color="auto" w:fill="FFFFFF"/>
              <w:spacing w:before="240"/>
              <w:jc w:val="both"/>
              <w:rPr>
                <w:bCs/>
                <w:sz w:val="18"/>
              </w:rPr>
            </w:pPr>
            <w:r w:rsidRPr="00C63217">
              <w:rPr>
                <w:bCs/>
                <w:sz w:val="18"/>
              </w:rPr>
              <w:t>121.91</w:t>
            </w:r>
          </w:p>
        </w:tc>
        <w:tc>
          <w:tcPr>
            <w:tcW w:w="2025" w:type="dxa"/>
            <w:tcBorders>
              <w:top w:val="nil"/>
              <w:left w:val="nil"/>
              <w:bottom w:val="single" w:sz="8" w:space="0" w:color="000000"/>
              <w:right w:val="single" w:sz="8" w:space="0" w:color="000000"/>
            </w:tcBorders>
            <w:tcMar>
              <w:top w:w="100" w:type="dxa"/>
              <w:left w:w="100" w:type="dxa"/>
              <w:bottom w:w="100" w:type="dxa"/>
              <w:right w:w="100" w:type="dxa"/>
            </w:tcMar>
          </w:tcPr>
          <w:p w14:paraId="3AC2B68F" w14:textId="77777777" w:rsidR="00C7404C" w:rsidRPr="00C63217" w:rsidRDefault="00C7404C" w:rsidP="00AE0DC3">
            <w:pPr>
              <w:shd w:val="clear" w:color="auto" w:fill="FFFFFF"/>
              <w:spacing w:before="240"/>
              <w:jc w:val="both"/>
              <w:rPr>
                <w:bCs/>
                <w:sz w:val="18"/>
              </w:rPr>
            </w:pPr>
            <w:r w:rsidRPr="00C63217">
              <w:rPr>
                <w:bCs/>
                <w:sz w:val="18"/>
              </w:rPr>
              <w:t>319.21</w:t>
            </w:r>
          </w:p>
        </w:tc>
      </w:tr>
      <w:tr w:rsidR="00C7404C" w:rsidRPr="00C63217" w14:paraId="23E3EF44" w14:textId="77777777" w:rsidTr="00AE0DC3">
        <w:trPr>
          <w:trHeight w:val="500"/>
        </w:trPr>
        <w:tc>
          <w:tcPr>
            <w:tcW w:w="312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8933D23" w14:textId="77777777" w:rsidR="00C7404C" w:rsidRPr="00C63217" w:rsidRDefault="00C7404C" w:rsidP="00AE0DC3">
            <w:pPr>
              <w:shd w:val="clear" w:color="auto" w:fill="FFFFFF"/>
              <w:spacing w:before="240"/>
              <w:jc w:val="both"/>
              <w:rPr>
                <w:bCs/>
                <w:sz w:val="18"/>
              </w:rPr>
            </w:pPr>
            <w:r w:rsidRPr="00C63217">
              <w:rPr>
                <w:bCs/>
                <w:sz w:val="18"/>
              </w:rPr>
              <w:t>Tundra</w:t>
            </w:r>
          </w:p>
        </w:tc>
        <w:tc>
          <w:tcPr>
            <w:tcW w:w="1419" w:type="dxa"/>
            <w:tcBorders>
              <w:top w:val="nil"/>
              <w:left w:val="nil"/>
              <w:bottom w:val="single" w:sz="8" w:space="0" w:color="000000"/>
              <w:right w:val="single" w:sz="8" w:space="0" w:color="000000"/>
            </w:tcBorders>
            <w:tcMar>
              <w:top w:w="100" w:type="dxa"/>
              <w:left w:w="100" w:type="dxa"/>
              <w:bottom w:w="100" w:type="dxa"/>
              <w:right w:w="100" w:type="dxa"/>
            </w:tcMar>
          </w:tcPr>
          <w:p w14:paraId="039D2E4D" w14:textId="77777777" w:rsidR="00C7404C" w:rsidRPr="00C63217" w:rsidRDefault="00C7404C" w:rsidP="00AE0DC3">
            <w:pPr>
              <w:shd w:val="clear" w:color="auto" w:fill="FFFFFF"/>
              <w:spacing w:before="240"/>
              <w:jc w:val="both"/>
              <w:rPr>
                <w:bCs/>
                <w:sz w:val="18"/>
              </w:rPr>
            </w:pPr>
            <w:r w:rsidRPr="00C63217">
              <w:rPr>
                <w:bCs/>
                <w:sz w:val="18"/>
              </w:rPr>
              <w:t>241.01</w:t>
            </w:r>
          </w:p>
        </w:tc>
        <w:tc>
          <w:tcPr>
            <w:tcW w:w="2452" w:type="dxa"/>
            <w:tcBorders>
              <w:top w:val="nil"/>
              <w:left w:val="nil"/>
              <w:bottom w:val="single" w:sz="8" w:space="0" w:color="000000"/>
              <w:right w:val="single" w:sz="8" w:space="0" w:color="000000"/>
            </w:tcBorders>
            <w:tcMar>
              <w:top w:w="100" w:type="dxa"/>
              <w:left w:w="100" w:type="dxa"/>
              <w:bottom w:w="100" w:type="dxa"/>
              <w:right w:w="100" w:type="dxa"/>
            </w:tcMar>
          </w:tcPr>
          <w:p w14:paraId="4005F77F" w14:textId="77777777" w:rsidR="00C7404C" w:rsidRPr="00C63217" w:rsidRDefault="00C7404C" w:rsidP="00AE0DC3">
            <w:pPr>
              <w:shd w:val="clear" w:color="auto" w:fill="FFFFFF"/>
              <w:spacing w:before="240"/>
              <w:jc w:val="both"/>
              <w:rPr>
                <w:bCs/>
                <w:sz w:val="18"/>
              </w:rPr>
            </w:pPr>
            <w:r w:rsidRPr="00C63217">
              <w:rPr>
                <w:bCs/>
                <w:sz w:val="18"/>
              </w:rPr>
              <w:t>384.72</w:t>
            </w:r>
          </w:p>
        </w:tc>
        <w:tc>
          <w:tcPr>
            <w:tcW w:w="2025" w:type="dxa"/>
            <w:tcBorders>
              <w:top w:val="nil"/>
              <w:left w:val="nil"/>
              <w:bottom w:val="single" w:sz="8" w:space="0" w:color="000000"/>
              <w:right w:val="single" w:sz="8" w:space="0" w:color="000000"/>
            </w:tcBorders>
            <w:tcMar>
              <w:top w:w="100" w:type="dxa"/>
              <w:left w:w="100" w:type="dxa"/>
              <w:bottom w:w="100" w:type="dxa"/>
              <w:right w:w="100" w:type="dxa"/>
            </w:tcMar>
          </w:tcPr>
          <w:p w14:paraId="3FF48D77" w14:textId="77777777" w:rsidR="00C7404C" w:rsidRPr="00C63217" w:rsidRDefault="00C7404C" w:rsidP="00AE0DC3">
            <w:pPr>
              <w:shd w:val="clear" w:color="auto" w:fill="FFFFFF"/>
              <w:spacing w:before="240"/>
              <w:jc w:val="both"/>
              <w:rPr>
                <w:bCs/>
                <w:sz w:val="18"/>
              </w:rPr>
            </w:pPr>
            <w:r w:rsidRPr="00C63217">
              <w:rPr>
                <w:bCs/>
                <w:sz w:val="18"/>
              </w:rPr>
              <w:t>155.3</w:t>
            </w:r>
          </w:p>
        </w:tc>
      </w:tr>
      <w:tr w:rsidR="00C7404C" w:rsidRPr="00C63217" w14:paraId="58A28694" w14:textId="77777777" w:rsidTr="00AE0DC3">
        <w:trPr>
          <w:trHeight w:val="500"/>
        </w:trPr>
        <w:tc>
          <w:tcPr>
            <w:tcW w:w="312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A5EBFCB" w14:textId="77777777" w:rsidR="00C7404C" w:rsidRPr="00C63217" w:rsidRDefault="00C7404C" w:rsidP="00AE0DC3">
            <w:pPr>
              <w:shd w:val="clear" w:color="auto" w:fill="FFFFFF"/>
              <w:spacing w:before="240"/>
              <w:jc w:val="both"/>
              <w:rPr>
                <w:bCs/>
                <w:sz w:val="18"/>
              </w:rPr>
            </w:pPr>
            <w:r w:rsidRPr="00C63217">
              <w:rPr>
                <w:bCs/>
                <w:sz w:val="18"/>
              </w:rPr>
              <w:t>Mediterranean forests and woodlands</w:t>
            </w:r>
          </w:p>
        </w:tc>
        <w:tc>
          <w:tcPr>
            <w:tcW w:w="1419" w:type="dxa"/>
            <w:tcBorders>
              <w:top w:val="nil"/>
              <w:left w:val="nil"/>
              <w:bottom w:val="single" w:sz="8" w:space="0" w:color="000000"/>
              <w:right w:val="single" w:sz="8" w:space="0" w:color="000000"/>
            </w:tcBorders>
            <w:tcMar>
              <w:top w:w="100" w:type="dxa"/>
              <w:left w:w="100" w:type="dxa"/>
              <w:bottom w:w="100" w:type="dxa"/>
              <w:right w:w="100" w:type="dxa"/>
            </w:tcMar>
          </w:tcPr>
          <w:p w14:paraId="1FF0C283" w14:textId="77777777" w:rsidR="00C7404C" w:rsidRPr="00C63217" w:rsidRDefault="00C7404C" w:rsidP="00AE0DC3">
            <w:pPr>
              <w:shd w:val="clear" w:color="auto" w:fill="FFFFFF"/>
              <w:spacing w:before="240"/>
              <w:jc w:val="both"/>
              <w:rPr>
                <w:bCs/>
                <w:sz w:val="18"/>
              </w:rPr>
            </w:pPr>
            <w:r w:rsidRPr="00C63217">
              <w:rPr>
                <w:bCs/>
                <w:sz w:val="18"/>
              </w:rPr>
              <w:t>102.78</w:t>
            </w:r>
          </w:p>
        </w:tc>
        <w:tc>
          <w:tcPr>
            <w:tcW w:w="2452" w:type="dxa"/>
            <w:tcBorders>
              <w:top w:val="nil"/>
              <w:left w:val="nil"/>
              <w:bottom w:val="single" w:sz="8" w:space="0" w:color="000000"/>
              <w:right w:val="single" w:sz="8" w:space="0" w:color="000000"/>
            </w:tcBorders>
            <w:tcMar>
              <w:top w:w="100" w:type="dxa"/>
              <w:left w:w="100" w:type="dxa"/>
              <w:bottom w:w="100" w:type="dxa"/>
              <w:right w:w="100" w:type="dxa"/>
            </w:tcMar>
          </w:tcPr>
          <w:p w14:paraId="7262E77D" w14:textId="77777777" w:rsidR="00C7404C" w:rsidRPr="00C63217" w:rsidRDefault="00C7404C" w:rsidP="00AE0DC3">
            <w:pPr>
              <w:shd w:val="clear" w:color="auto" w:fill="FFFFFF"/>
              <w:spacing w:before="240"/>
              <w:jc w:val="both"/>
              <w:rPr>
                <w:bCs/>
                <w:sz w:val="18"/>
              </w:rPr>
            </w:pPr>
            <w:r w:rsidRPr="00C63217">
              <w:rPr>
                <w:bCs/>
                <w:sz w:val="18"/>
              </w:rPr>
              <w:t>133.9</w:t>
            </w:r>
          </w:p>
        </w:tc>
        <w:tc>
          <w:tcPr>
            <w:tcW w:w="2025" w:type="dxa"/>
            <w:tcBorders>
              <w:top w:val="nil"/>
              <w:left w:val="nil"/>
              <w:bottom w:val="single" w:sz="8" w:space="0" w:color="000000"/>
              <w:right w:val="single" w:sz="8" w:space="0" w:color="000000"/>
            </w:tcBorders>
            <w:tcMar>
              <w:top w:w="100" w:type="dxa"/>
              <w:left w:w="100" w:type="dxa"/>
              <w:bottom w:w="100" w:type="dxa"/>
              <w:right w:w="100" w:type="dxa"/>
            </w:tcMar>
          </w:tcPr>
          <w:p w14:paraId="5757A6B0" w14:textId="77777777" w:rsidR="00C7404C" w:rsidRPr="00C63217" w:rsidRDefault="00C7404C" w:rsidP="00AE0DC3">
            <w:pPr>
              <w:shd w:val="clear" w:color="auto" w:fill="FFFFFF"/>
              <w:spacing w:before="240"/>
              <w:jc w:val="both"/>
              <w:rPr>
                <w:bCs/>
                <w:sz w:val="18"/>
              </w:rPr>
            </w:pPr>
            <w:r w:rsidRPr="00C63217">
              <w:rPr>
                <w:bCs/>
                <w:sz w:val="18"/>
              </w:rPr>
              <w:t>73.38</w:t>
            </w:r>
          </w:p>
        </w:tc>
      </w:tr>
      <w:tr w:rsidR="00C7404C" w:rsidRPr="00C63217" w14:paraId="7FAE079F" w14:textId="77777777" w:rsidTr="00AE0DC3">
        <w:trPr>
          <w:trHeight w:val="500"/>
        </w:trPr>
        <w:tc>
          <w:tcPr>
            <w:tcW w:w="312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E11B108" w14:textId="77777777" w:rsidR="00C7404C" w:rsidRPr="00C63217" w:rsidRDefault="00C7404C" w:rsidP="00AE0DC3">
            <w:pPr>
              <w:shd w:val="clear" w:color="auto" w:fill="FFFFFF"/>
              <w:spacing w:before="240"/>
              <w:jc w:val="both"/>
              <w:rPr>
                <w:bCs/>
                <w:sz w:val="18"/>
              </w:rPr>
            </w:pPr>
            <w:r w:rsidRPr="00C63217">
              <w:rPr>
                <w:bCs/>
                <w:sz w:val="18"/>
              </w:rPr>
              <w:t>Deserts</w:t>
            </w:r>
          </w:p>
        </w:tc>
        <w:tc>
          <w:tcPr>
            <w:tcW w:w="1419" w:type="dxa"/>
            <w:tcBorders>
              <w:top w:val="nil"/>
              <w:left w:val="nil"/>
              <w:bottom w:val="single" w:sz="8" w:space="0" w:color="000000"/>
              <w:right w:val="single" w:sz="8" w:space="0" w:color="000000"/>
            </w:tcBorders>
            <w:tcMar>
              <w:top w:w="100" w:type="dxa"/>
              <w:left w:w="100" w:type="dxa"/>
              <w:bottom w:w="100" w:type="dxa"/>
              <w:right w:w="100" w:type="dxa"/>
            </w:tcMar>
          </w:tcPr>
          <w:p w14:paraId="37C174DF" w14:textId="77777777" w:rsidR="00C7404C" w:rsidRPr="00C63217" w:rsidRDefault="00C7404C" w:rsidP="00AE0DC3">
            <w:pPr>
              <w:shd w:val="clear" w:color="auto" w:fill="FFFFFF"/>
              <w:spacing w:before="240"/>
              <w:jc w:val="both"/>
              <w:rPr>
                <w:bCs/>
                <w:sz w:val="18"/>
              </w:rPr>
            </w:pPr>
            <w:r w:rsidRPr="00C63217">
              <w:rPr>
                <w:bCs/>
                <w:sz w:val="18"/>
              </w:rPr>
              <w:t>390.6</w:t>
            </w:r>
          </w:p>
        </w:tc>
        <w:tc>
          <w:tcPr>
            <w:tcW w:w="2452" w:type="dxa"/>
            <w:tcBorders>
              <w:top w:val="nil"/>
              <w:left w:val="nil"/>
              <w:bottom w:val="single" w:sz="8" w:space="0" w:color="000000"/>
              <w:right w:val="single" w:sz="8" w:space="0" w:color="000000"/>
            </w:tcBorders>
            <w:tcMar>
              <w:top w:w="100" w:type="dxa"/>
              <w:left w:w="100" w:type="dxa"/>
              <w:bottom w:w="100" w:type="dxa"/>
              <w:right w:w="100" w:type="dxa"/>
            </w:tcMar>
          </w:tcPr>
          <w:p w14:paraId="13AD5752" w14:textId="77777777" w:rsidR="00C7404C" w:rsidRPr="00C63217" w:rsidRDefault="00C7404C" w:rsidP="00AE0DC3">
            <w:pPr>
              <w:shd w:val="clear" w:color="auto" w:fill="FFFFFF"/>
              <w:spacing w:before="240"/>
              <w:jc w:val="both"/>
              <w:rPr>
                <w:bCs/>
                <w:sz w:val="18"/>
              </w:rPr>
            </w:pPr>
            <w:r w:rsidRPr="00C63217">
              <w:rPr>
                <w:bCs/>
                <w:sz w:val="18"/>
              </w:rPr>
              <w:t>1020.47</w:t>
            </w:r>
          </w:p>
        </w:tc>
        <w:tc>
          <w:tcPr>
            <w:tcW w:w="2025" w:type="dxa"/>
            <w:tcBorders>
              <w:top w:val="nil"/>
              <w:left w:val="nil"/>
              <w:bottom w:val="single" w:sz="8" w:space="0" w:color="000000"/>
              <w:right w:val="single" w:sz="8" w:space="0" w:color="000000"/>
            </w:tcBorders>
            <w:tcMar>
              <w:top w:w="100" w:type="dxa"/>
              <w:left w:w="100" w:type="dxa"/>
              <w:bottom w:w="100" w:type="dxa"/>
              <w:right w:w="100" w:type="dxa"/>
            </w:tcMar>
          </w:tcPr>
          <w:p w14:paraId="7BFBA320" w14:textId="77777777" w:rsidR="00C7404C" w:rsidRPr="00C63217" w:rsidRDefault="00C7404C" w:rsidP="00AE0DC3">
            <w:pPr>
              <w:shd w:val="clear" w:color="auto" w:fill="FFFFFF"/>
              <w:spacing w:before="240"/>
              <w:jc w:val="both"/>
              <w:rPr>
                <w:bCs/>
                <w:sz w:val="18"/>
              </w:rPr>
            </w:pPr>
            <w:r w:rsidRPr="00C63217">
              <w:rPr>
                <w:bCs/>
                <w:sz w:val="18"/>
              </w:rPr>
              <w:t>1361.05</w:t>
            </w:r>
          </w:p>
        </w:tc>
      </w:tr>
      <w:tr w:rsidR="00C7404C" w:rsidRPr="00C63217" w14:paraId="3F1E24DB" w14:textId="77777777" w:rsidTr="00AE0DC3">
        <w:trPr>
          <w:trHeight w:val="500"/>
        </w:trPr>
        <w:tc>
          <w:tcPr>
            <w:tcW w:w="312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267487C" w14:textId="77777777" w:rsidR="00C7404C" w:rsidRPr="00C63217" w:rsidRDefault="00C7404C" w:rsidP="00AE0DC3">
            <w:pPr>
              <w:shd w:val="clear" w:color="auto" w:fill="FFFFFF"/>
              <w:spacing w:before="240"/>
              <w:jc w:val="both"/>
              <w:rPr>
                <w:bCs/>
                <w:sz w:val="18"/>
              </w:rPr>
            </w:pPr>
            <w:r w:rsidRPr="00C63217">
              <w:rPr>
                <w:bCs/>
                <w:sz w:val="18"/>
              </w:rPr>
              <w:t>Mangroves</w:t>
            </w:r>
          </w:p>
        </w:tc>
        <w:tc>
          <w:tcPr>
            <w:tcW w:w="1419" w:type="dxa"/>
            <w:tcBorders>
              <w:top w:val="nil"/>
              <w:left w:val="nil"/>
              <w:bottom w:val="single" w:sz="8" w:space="0" w:color="000000"/>
              <w:right w:val="single" w:sz="8" w:space="0" w:color="000000"/>
            </w:tcBorders>
            <w:tcMar>
              <w:top w:w="100" w:type="dxa"/>
              <w:left w:w="100" w:type="dxa"/>
              <w:bottom w:w="100" w:type="dxa"/>
              <w:right w:w="100" w:type="dxa"/>
            </w:tcMar>
          </w:tcPr>
          <w:p w14:paraId="5F54A246" w14:textId="77777777" w:rsidR="00C7404C" w:rsidRPr="00C63217" w:rsidRDefault="00C7404C" w:rsidP="00AE0DC3">
            <w:pPr>
              <w:shd w:val="clear" w:color="auto" w:fill="FFFFFF"/>
              <w:spacing w:before="240"/>
              <w:jc w:val="both"/>
              <w:rPr>
                <w:bCs/>
                <w:sz w:val="18"/>
              </w:rPr>
            </w:pPr>
            <w:r w:rsidRPr="00C63217">
              <w:rPr>
                <w:bCs/>
                <w:sz w:val="18"/>
              </w:rPr>
              <w:t>20.06</w:t>
            </w:r>
          </w:p>
        </w:tc>
        <w:tc>
          <w:tcPr>
            <w:tcW w:w="2452" w:type="dxa"/>
            <w:tcBorders>
              <w:top w:val="nil"/>
              <w:left w:val="nil"/>
              <w:bottom w:val="single" w:sz="8" w:space="0" w:color="000000"/>
              <w:right w:val="single" w:sz="8" w:space="0" w:color="000000"/>
            </w:tcBorders>
            <w:tcMar>
              <w:top w:w="100" w:type="dxa"/>
              <w:left w:w="100" w:type="dxa"/>
              <w:bottom w:w="100" w:type="dxa"/>
              <w:right w:w="100" w:type="dxa"/>
            </w:tcMar>
          </w:tcPr>
          <w:p w14:paraId="4CE2407B" w14:textId="77777777" w:rsidR="00C7404C" w:rsidRPr="00C63217" w:rsidRDefault="00C7404C" w:rsidP="00AE0DC3">
            <w:pPr>
              <w:shd w:val="clear" w:color="auto" w:fill="FFFFFF"/>
              <w:spacing w:before="240"/>
              <w:jc w:val="both"/>
              <w:rPr>
                <w:bCs/>
                <w:sz w:val="18"/>
              </w:rPr>
            </w:pPr>
            <w:r w:rsidRPr="00C63217">
              <w:rPr>
                <w:bCs/>
                <w:sz w:val="18"/>
              </w:rPr>
              <w:t>3.59</w:t>
            </w:r>
          </w:p>
        </w:tc>
        <w:tc>
          <w:tcPr>
            <w:tcW w:w="2025" w:type="dxa"/>
            <w:tcBorders>
              <w:top w:val="nil"/>
              <w:left w:val="nil"/>
              <w:bottom w:val="single" w:sz="8" w:space="0" w:color="000000"/>
              <w:right w:val="single" w:sz="8" w:space="0" w:color="000000"/>
            </w:tcBorders>
            <w:tcMar>
              <w:top w:w="100" w:type="dxa"/>
              <w:left w:w="100" w:type="dxa"/>
              <w:bottom w:w="100" w:type="dxa"/>
              <w:right w:w="100" w:type="dxa"/>
            </w:tcMar>
          </w:tcPr>
          <w:p w14:paraId="1ED07B7D" w14:textId="77777777" w:rsidR="00C7404C" w:rsidRPr="00C63217" w:rsidRDefault="00C7404C" w:rsidP="00AE0DC3">
            <w:pPr>
              <w:shd w:val="clear" w:color="auto" w:fill="FFFFFF"/>
              <w:spacing w:before="240"/>
              <w:jc w:val="both"/>
              <w:rPr>
                <w:bCs/>
                <w:sz w:val="18"/>
              </w:rPr>
            </w:pPr>
            <w:r w:rsidRPr="00C63217">
              <w:rPr>
                <w:bCs/>
                <w:sz w:val="18"/>
              </w:rPr>
              <w:t>0.49</w:t>
            </w:r>
          </w:p>
        </w:tc>
      </w:tr>
    </w:tbl>
    <w:p w14:paraId="0278B31D" w14:textId="77777777" w:rsidR="00C7404C" w:rsidRDefault="00C7404C" w:rsidP="00C7404C">
      <w:pPr>
        <w:jc w:val="both"/>
        <w:rPr>
          <w:b/>
          <w:sz w:val="20"/>
          <w:szCs w:val="20"/>
        </w:rPr>
      </w:pPr>
    </w:p>
    <w:p w14:paraId="6B7C12EF" w14:textId="77777777" w:rsidR="00C7404C" w:rsidRDefault="00C7404C" w:rsidP="00C7404C">
      <w:pPr>
        <w:jc w:val="both"/>
        <w:rPr>
          <w:b/>
          <w:sz w:val="20"/>
          <w:szCs w:val="20"/>
        </w:rPr>
      </w:pPr>
      <w:r w:rsidRPr="00C14115">
        <w:rPr>
          <w:b/>
          <w:noProof/>
          <w:sz w:val="20"/>
          <w:szCs w:val="20"/>
        </w:rPr>
        <w:lastRenderedPageBreak/>
        <w:drawing>
          <wp:inline distT="0" distB="0" distL="0" distR="0" wp14:anchorId="4FB4249E" wp14:editId="4CED935F">
            <wp:extent cx="5760720" cy="2882900"/>
            <wp:effectExtent l="0" t="0" r="0"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60720" cy="2882900"/>
                    </a:xfrm>
                    <a:prstGeom prst="rect">
                      <a:avLst/>
                    </a:prstGeom>
                  </pic:spPr>
                </pic:pic>
              </a:graphicData>
            </a:graphic>
          </wp:inline>
        </w:drawing>
      </w:r>
    </w:p>
    <w:p w14:paraId="11EF4BE6" w14:textId="44102CF6" w:rsidR="00C7404C" w:rsidRDefault="00C7404C" w:rsidP="00C7404C">
      <w:pPr>
        <w:jc w:val="both"/>
        <w:rPr>
          <w:sz w:val="20"/>
          <w:szCs w:val="20"/>
        </w:rPr>
      </w:pPr>
      <w:r w:rsidRPr="00C7404C">
        <w:rPr>
          <w:b/>
          <w:sz w:val="20"/>
          <w:szCs w:val="20"/>
          <w:lang w:val="en-US"/>
        </w:rPr>
        <w:t xml:space="preserve">Fig S1. Spatial distribution of the photo-interpreted land cover database. </w:t>
      </w:r>
      <w:r w:rsidRPr="00C7404C">
        <w:rPr>
          <w:sz w:val="20"/>
          <w:szCs w:val="20"/>
          <w:lang w:val="en-US"/>
        </w:rPr>
        <w:t xml:space="preserve">The database consists of a total of 18,411 0.5-hectare plots, systematically distributed following a 20 x 20 km grid within protected areas of IUCN (category I, II, and III) and hyperarid drylands. For each plot, the percent of bare ground, short vegetation and tree cover were assessed through augmented photo-interpretation using Collect Earth as part of the global dryland assessment of FAO </w:t>
      </w:r>
      <w:r>
        <w:rPr>
          <w:sz w:val="20"/>
          <w:szCs w:val="20"/>
        </w:rPr>
        <w:fldChar w:fldCharType="begin" w:fldLock="1"/>
      </w:r>
      <w:r w:rsidR="00080EAE">
        <w:rPr>
          <w:sz w:val="20"/>
          <w:szCs w:val="20"/>
          <w:lang w:val="en-US"/>
        </w:rPr>
        <w:instrText>ADDIN CSL_CITATION {"citationItems":[{"id":"ITEM-1","itemData":{"DOI":"10.1126/science.aam6527","ISSN":"1095-9203","PMID":"28495750","abstract":"Dryland biomes cover two-fifths of Earth's land surface, but their forest area is poorly known. Here, we report an estimate of global forest extent in dryland biomes, based on analyzing more than 210,000 0.5-hectare sample plots through a photo-interpretation approach using large databases of satellite imagery at (i) very high spatial resolution and (ii) very high temporal resolution, which are available through the Google Earth platform. We show that in 2015, 1327 million hectares of drylands had more than 10% tree-cover, and 1079 million hectares comprised forest. Our estimate is 40 to 47% higher than previous estimates, corresponding to 467 million hectares of forest that have never been reported before. This increases current estimates of global forest cover by at least 9%.","author":[{"dropping-particle":"","family":"Bastin","given":"Jean-François","non-dropping-particle":"","parse-names":false,"suffix":""},{"dropping-particle":"","family":"Berrahmouni","given":"Nora","non-dropping-particle":"","parse-names":false,"suffix":""},{"dropping-particle":"","family":"Grainger","given":"Alan","non-dropping-particle":"","parse-names":false,"suffix":""},{"dropping-particle":"","family":"Maniatis","given":"Danae","non-dropping-particle":"","parse-names":false,"suffix":""},{"dropping-particle":"","family":"Mollicone","given":"Danilo","non-dropping-particle":"","parse-names":false,"suffix":""},{"dropping-particle":"","family":"Moore","given":"Rebecca","non-dropping-particle":"","parse-names":false,"suffix":""},{"dropping-particle":"","family":"Patriarca","given":"Chiara","non-dropping-particle":"","parse-names":false,"suffix":""},{"dropping-particle":"","family":"Picard","given":"Nicolas","non-dropping-particle":"","parse-names":false,"suffix":""},{"dropping-particle":"","family":"Sparrow","given":"Ben","non-dropping-particle":"","parse-names":false,"suffix":""},{"dropping-particle":"","family":"Abraham","given":"Elena Maria","non-dropping-particle":"","parse-names":false,"suffix":""},{"dropping-particle":"","family":"Aloui","given":"Kamel","non-dropping-particle":"","parse-names":false,"suffix":""},{"dropping-particle":"","family":"Atesoglu","given":"Ayhan","non-dropping-particle":"","parse-names":false,"suffix":""},{"dropping-particle":"","family":"Attore","given":"Fabio","non-dropping-particle":"","parse-names":false,"suffix":""},{"dropping-particle":"","family":"Bassüllü","given":"Çağlar","non-dropping-particle":"","parse-names":false,"suffix":""},{"dropping-particle":"","family":"Bey","given":"Adia","non-dropping-particle":"","parse-names":false,"suffix":""},{"dropping-particle":"","family":"Garzuglia","given":"Monica","non-dropping-particle":"","parse-names":false,"suffix":""},{"dropping-particle":"","family":"García-Montero","given":"Luis G","non-dropping-particle":"","parse-names":false,"suffix":""},{"dropping-particle":"","family":"Groot","given":"Nikée","non-dropping-particle":"","parse-names":false,"suffix":""},{"dropping-particle":"","family":"Guerin","given":"Greg","non-dropping-particle":"","parse-names":false,"suffix":""},{"dropping-particle":"","family":"Laestadius","given":"Lars","non-dropping-particle":"","parse-names":false,"suffix":""},{"dropping-particle":"","family":"Lowe","given":"Andrew J","non-dropping-particle":"","parse-names":false,"suffix":""},{"dropping-particle":"","family":"Mamane","given":"Bako","non-dropping-particle":"","parse-names":false,"suffix":""},{"dropping-particle":"","family":"Marchi","given":"Giulio","non-dropping-particle":"","parse-names":false,"suffix":""},{"dropping-particle":"","family":"Patterson","given":"Paul","non-dropping-particle":"","parse-names":false,"suffix":""},{"dropping-particle":"","family":"Rezende","given":"Marcelo","non-dropping-particle":"","parse-names":false,"suffix":""},{"dropping-particle":"","family":"Ricci","given":"Stefano","non-dropping-particle":"","parse-names":false,"suffix":""},{"dropping-particle":"","family":"Salcedo","given":"Ignacio","non-dropping-particle":"","parse-names":false,"suffix":""},{"dropping-particle":"","family":"Diaz","given":"Alfonso Sanchez-Paus","non-dropping-particle":"","parse-names":false,"suffix":""},{"dropping-particle":"","family":"Stolle","given":"Fred","non-dropping-particle":"","parse-names":false,"suffix":""},{"dropping-particle":"","family":"Surappaeva","given":"Venera","non-dropping-particle":"","parse-names":false,"suffix":""},{"dropping-particle":"","family":"Castro","given":"Rene","non-dropping-particle":"","parse-names":false,"suffix":""}],"container-title":"Science (New York, N.Y.)","id":"ITEM-1","issue":"6338","issued":{"date-parts":[["2017","5","12"]]},"page":"635-638","publisher":"American Association for the Advancement of Science","title":"The extent of forest in dryland biomes.","type":"article-journal","volume":"356"},"uris":["http://www.mendeley.com/documents/?uuid=b442e86a-f170-304e-a534-b247d80b3890"]}],"mendeley":{"formattedCitation":"&lt;sup&gt;36&lt;/sup&gt;","plainTextFormattedCitation":"36","previouslyFormattedCitation":"&lt;sup&gt;37&lt;/sup&gt;"},"properties":{"noteIndex":0},"schema":"https://github.com/citation-style-language/schema/raw/master/csl-citation.json"}</w:instrText>
      </w:r>
      <w:r>
        <w:rPr>
          <w:sz w:val="20"/>
          <w:szCs w:val="20"/>
        </w:rPr>
        <w:fldChar w:fldCharType="separate"/>
      </w:r>
      <w:r w:rsidR="00080EAE" w:rsidRPr="00080EAE">
        <w:rPr>
          <w:noProof/>
          <w:sz w:val="20"/>
          <w:szCs w:val="20"/>
          <w:vertAlign w:val="superscript"/>
        </w:rPr>
        <w:t>36</w:t>
      </w:r>
      <w:r>
        <w:rPr>
          <w:sz w:val="20"/>
          <w:szCs w:val="20"/>
        </w:rPr>
        <w:fldChar w:fldCharType="end"/>
      </w:r>
      <w:r>
        <w:rPr>
          <w:sz w:val="20"/>
          <w:szCs w:val="20"/>
        </w:rPr>
        <w:t xml:space="preserve"> and the global tree restoration potential </w:t>
      </w:r>
      <w:r>
        <w:rPr>
          <w:sz w:val="20"/>
          <w:szCs w:val="20"/>
        </w:rPr>
        <w:fldChar w:fldCharType="begin" w:fldLock="1"/>
      </w:r>
      <w:r w:rsidR="00080EAE">
        <w:rPr>
          <w:sz w:val="20"/>
          <w:szCs w:val="20"/>
        </w:rPr>
        <w:instrText>ADDIN CSL_CITATION {"citationItems":[{"id":"ITEM-1","itemData":{"DOI":"10.1126/science.aax0848","ISSN":"1095-9203","PMID":"31273120","abstract":"The restoration of trees remains among the most effective strategies for climate change mitigation. We mapped the global potential tree coverage to show that 4.4 billion hectares of canopy cover could exist under the current climate. Excluding existing trees and agricultural and urban areas, we found that there is room for an extra 0.9 billion hectares of canopy cover, which could store 205 gigatonnes of carbon in areas that would naturally support woodlands and forests. This highlights global tree restoration as our most effective climate change solution to date. However, climate change will alter this potential tree coverage. We estimate that if we cannot deviate from the current trajectory, the global potential canopy cover may shrink by ~223 million hectares by 2050, with the vast majority of losses occurring in the tropics. Our results highlight the opportunity of climate change mitigation through global tree restoration but also the urgent need for action.","author":[{"dropping-particle":"","family":"Bastin","given":"Jean-Francois","non-dropping-particle":"","parse-names":false,"suffix":""},{"dropping-particle":"","family":"Finegold","given":"Yelena","non-dropping-particle":"","parse-names":false,"suffix":""},{"dropping-particle":"","family":"Garcia","given":"Claude","non-dropping-particle":"","parse-names":false,"suffix":""},{"dropping-particle":"","family":"Mollicone","given":"Danilo","non-dropping-particle":"","parse-names":false,"suffix":""},{"dropping-particle":"","family":"Rezende","given":"Marcelo","non-dropping-particle":"","parse-names":false,"suffix":""},{"dropping-particle":"","family":"Routh","given":"Devin","non-dropping-particle":"","parse-names":false,"suffix":""},{"dropping-particle":"","family":"Zohner","given":"Constantin M","non-dropping-particle":"","parse-names":false,"suffix":""},{"dropping-particle":"","family":"Crowther","given":"Thomas W","non-dropping-particle":"","parse-names":false,"suffix":""}],"container-title":"Science (New York, N.Y.)","id":"ITEM-1","issue":"6448","issued":{"date-parts":[["2019","7","5"]]},"page":"76-79","publisher":"American Association for the Advancement of Science","title":"The global tree restoration potential.","type":"article-journal","volume":"365"},"uris":["http://www.mendeley.com/documents/?uuid=48af13c4-3e24-3232-8403-f6c8fa289952"]}],"mendeley":{"formattedCitation":"&lt;sup&gt;4&lt;/sup&gt;","plainTextFormattedCitation":"4","previouslyFormattedCitation":"&lt;sup&gt;4&lt;/sup&gt;"},"properties":{"noteIndex":0},"schema":"https://github.com/citation-style-language/schema/raw/master/csl-citation.json"}</w:instrText>
      </w:r>
      <w:r>
        <w:rPr>
          <w:sz w:val="20"/>
          <w:szCs w:val="20"/>
        </w:rPr>
        <w:fldChar w:fldCharType="separate"/>
      </w:r>
      <w:r w:rsidR="001B74C7" w:rsidRPr="001B74C7">
        <w:rPr>
          <w:noProof/>
          <w:sz w:val="20"/>
          <w:szCs w:val="20"/>
          <w:vertAlign w:val="superscript"/>
        </w:rPr>
        <w:t>4</w:t>
      </w:r>
      <w:r>
        <w:rPr>
          <w:sz w:val="20"/>
          <w:szCs w:val="20"/>
        </w:rPr>
        <w:fldChar w:fldCharType="end"/>
      </w:r>
      <w:r>
        <w:rPr>
          <w:sz w:val="20"/>
          <w:szCs w:val="20"/>
        </w:rPr>
        <w:t xml:space="preserve"> </w:t>
      </w:r>
      <w:r w:rsidRPr="006652ED">
        <w:rPr>
          <w:sz w:val="20"/>
          <w:szCs w:val="20"/>
        </w:rPr>
        <w:t>(</w:t>
      </w:r>
      <w:r w:rsidRPr="00C63217">
        <w:rPr>
          <w:sz w:val="20"/>
          <w:szCs w:val="20"/>
        </w:rPr>
        <w:t>supplementary Data S1</w:t>
      </w:r>
      <w:r w:rsidRPr="006652ED">
        <w:rPr>
          <w:sz w:val="20"/>
          <w:szCs w:val="20"/>
        </w:rPr>
        <w:t xml:space="preserve">). </w:t>
      </w:r>
    </w:p>
    <w:p w14:paraId="243F5E58" w14:textId="77777777" w:rsidR="00C7404C" w:rsidRDefault="00C7404C" w:rsidP="00C7404C">
      <w:pPr>
        <w:rPr>
          <w:sz w:val="20"/>
          <w:szCs w:val="20"/>
        </w:rPr>
      </w:pPr>
      <w:r>
        <w:rPr>
          <w:sz w:val="20"/>
          <w:szCs w:val="20"/>
        </w:rPr>
        <w:br w:type="page"/>
      </w:r>
    </w:p>
    <w:p w14:paraId="2E131AC1" w14:textId="77777777" w:rsidR="00C7404C" w:rsidRDefault="00C7404C" w:rsidP="00C7404C">
      <w:pPr>
        <w:jc w:val="both"/>
        <w:rPr>
          <w:sz w:val="20"/>
          <w:szCs w:val="20"/>
        </w:rPr>
      </w:pPr>
      <w:r>
        <w:rPr>
          <w:noProof/>
          <w:sz w:val="20"/>
          <w:szCs w:val="20"/>
        </w:rPr>
        <w:lastRenderedPageBreak/>
        <w:drawing>
          <wp:inline distT="0" distB="0" distL="0" distR="0" wp14:anchorId="513B7269" wp14:editId="70A10A3F">
            <wp:extent cx="5753100" cy="7315200"/>
            <wp:effectExtent l="0" t="0" r="0"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53100" cy="7315200"/>
                    </a:xfrm>
                    <a:prstGeom prst="rect">
                      <a:avLst/>
                    </a:prstGeom>
                    <a:noFill/>
                    <a:ln>
                      <a:noFill/>
                    </a:ln>
                  </pic:spPr>
                </pic:pic>
              </a:graphicData>
            </a:graphic>
          </wp:inline>
        </w:drawing>
      </w:r>
    </w:p>
    <w:p w14:paraId="2DF62E37" w14:textId="77777777" w:rsidR="00C7404C" w:rsidRDefault="00C7404C" w:rsidP="00C7404C">
      <w:pPr>
        <w:jc w:val="both"/>
        <w:rPr>
          <w:sz w:val="20"/>
          <w:szCs w:val="20"/>
        </w:rPr>
      </w:pPr>
      <w:r w:rsidRPr="00C7404C">
        <w:rPr>
          <w:b/>
          <w:sz w:val="20"/>
          <w:szCs w:val="20"/>
          <w:lang w:val="en-US"/>
        </w:rPr>
        <w:t>Fig S2. Observed vs. Predicted land cover.</w:t>
      </w:r>
      <w:r w:rsidRPr="00C7404C">
        <w:rPr>
          <w:sz w:val="20"/>
          <w:szCs w:val="20"/>
          <w:lang w:val="en-US"/>
        </w:rPr>
        <w:t xml:space="preserve"> The figure illustrates an initial evaluation of the quality of the different model produced considering each land cover type (short vegetation, bare ground, and tree) and each climate reference dataset (from top to bottom: CHELSA, CRU, ERA5, MODIS, NEX and Worldclim). </w:t>
      </w:r>
      <w:r>
        <w:rPr>
          <w:sz w:val="20"/>
          <w:szCs w:val="20"/>
        </w:rPr>
        <w:t xml:space="preserve">The figure shows that the models yielded good results. </w:t>
      </w:r>
    </w:p>
    <w:p w14:paraId="5857AE20" w14:textId="77777777" w:rsidR="00C7404C" w:rsidRDefault="00C7404C" w:rsidP="00C7404C">
      <w:pPr>
        <w:rPr>
          <w:sz w:val="20"/>
          <w:szCs w:val="20"/>
        </w:rPr>
      </w:pPr>
      <w:r>
        <w:rPr>
          <w:sz w:val="20"/>
          <w:szCs w:val="20"/>
        </w:rPr>
        <w:br w:type="page"/>
      </w:r>
    </w:p>
    <w:p w14:paraId="36BFD9AB" w14:textId="77777777" w:rsidR="00C7404C" w:rsidRDefault="00C7404C" w:rsidP="00C7404C">
      <w:pPr>
        <w:jc w:val="both"/>
        <w:rPr>
          <w:b/>
          <w:sz w:val="20"/>
          <w:szCs w:val="20"/>
        </w:rPr>
      </w:pPr>
      <w:r w:rsidRPr="002175FC">
        <w:rPr>
          <w:b/>
          <w:noProof/>
          <w:sz w:val="20"/>
          <w:szCs w:val="20"/>
        </w:rPr>
        <w:lastRenderedPageBreak/>
        <w:drawing>
          <wp:inline distT="0" distB="0" distL="0" distR="0" wp14:anchorId="6D130680" wp14:editId="0DED40D5">
            <wp:extent cx="5760720" cy="288036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60720" cy="2880360"/>
                    </a:xfrm>
                    <a:prstGeom prst="rect">
                      <a:avLst/>
                    </a:prstGeom>
                  </pic:spPr>
                </pic:pic>
              </a:graphicData>
            </a:graphic>
          </wp:inline>
        </w:drawing>
      </w:r>
    </w:p>
    <w:p w14:paraId="790E3901" w14:textId="77777777" w:rsidR="00C7404C" w:rsidRPr="00C7404C" w:rsidRDefault="00C7404C" w:rsidP="00C7404C">
      <w:pPr>
        <w:jc w:val="both"/>
        <w:rPr>
          <w:sz w:val="20"/>
          <w:szCs w:val="20"/>
          <w:lang w:val="en-US"/>
        </w:rPr>
      </w:pPr>
      <w:r w:rsidRPr="00C7404C">
        <w:rPr>
          <w:b/>
          <w:sz w:val="20"/>
          <w:szCs w:val="20"/>
          <w:lang w:val="en-US"/>
        </w:rPr>
        <w:t xml:space="preserve">Fig S3. Sensitivity analysis. </w:t>
      </w:r>
      <w:r w:rsidRPr="00C7404C">
        <w:rPr>
          <w:sz w:val="20"/>
          <w:szCs w:val="20"/>
          <w:lang w:val="en-US"/>
        </w:rPr>
        <w:t xml:space="preserve">The boxplots illustrates the standard deviation of the prediction of the total area covered by each land cover (bare ground, short vegetation, and tree) and divided by considering respectively the uncertainty of the model (in grey), the uncertainty associated to the spatial structure of the calibrating dataset (in blue), the sensitivity associated to the choice of a given climate dataset (in red) and finally, the sensitivity associated to the fire and herbivory scenario (in orange). The figure shows that the variability associated to the choice of the scenario (scen) is much more important than the other sources of uncertainties. Yet, the variability associated to the spatial structure should not be neglected. </w:t>
      </w:r>
    </w:p>
    <w:p w14:paraId="31ADCAEF" w14:textId="77777777" w:rsidR="00C7404C" w:rsidRPr="00C7404C" w:rsidRDefault="00C7404C" w:rsidP="00C7404C">
      <w:pPr>
        <w:rPr>
          <w:sz w:val="20"/>
          <w:szCs w:val="20"/>
          <w:lang w:val="en-US"/>
        </w:rPr>
      </w:pPr>
      <w:r w:rsidRPr="00C7404C">
        <w:rPr>
          <w:sz w:val="20"/>
          <w:szCs w:val="20"/>
          <w:lang w:val="en-US"/>
        </w:rPr>
        <w:br w:type="page"/>
      </w:r>
    </w:p>
    <w:p w14:paraId="734EF821" w14:textId="77777777" w:rsidR="00C7404C" w:rsidRDefault="00C7404C" w:rsidP="00C7404C">
      <w:pPr>
        <w:jc w:val="both"/>
        <w:rPr>
          <w:sz w:val="20"/>
          <w:szCs w:val="20"/>
        </w:rPr>
      </w:pPr>
      <w:r w:rsidRPr="00000D70">
        <w:rPr>
          <w:noProof/>
          <w:sz w:val="20"/>
          <w:szCs w:val="20"/>
        </w:rPr>
        <w:lastRenderedPageBreak/>
        <w:drawing>
          <wp:inline distT="0" distB="0" distL="0" distR="0" wp14:anchorId="61DCE73F" wp14:editId="72A03ABE">
            <wp:extent cx="5760720" cy="288036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60720" cy="2880360"/>
                    </a:xfrm>
                    <a:prstGeom prst="rect">
                      <a:avLst/>
                    </a:prstGeom>
                  </pic:spPr>
                </pic:pic>
              </a:graphicData>
            </a:graphic>
          </wp:inline>
        </w:drawing>
      </w:r>
    </w:p>
    <w:p w14:paraId="37920ADE" w14:textId="77777777" w:rsidR="00C7404C" w:rsidRDefault="00C7404C" w:rsidP="00C7404C">
      <w:pPr>
        <w:jc w:val="both"/>
        <w:rPr>
          <w:sz w:val="20"/>
          <w:szCs w:val="20"/>
        </w:rPr>
      </w:pPr>
      <w:r w:rsidRPr="00C7404C">
        <w:rPr>
          <w:b/>
          <w:sz w:val="20"/>
          <w:szCs w:val="20"/>
          <w:lang w:val="en-US"/>
        </w:rPr>
        <w:t>Fig S4</w:t>
      </w:r>
      <w:r w:rsidRPr="00C7404C">
        <w:rPr>
          <w:sz w:val="20"/>
          <w:szCs w:val="20"/>
          <w:lang w:val="en-US"/>
        </w:rPr>
        <w:t xml:space="preserve"> Flow chart used to generate the median potential fractional vegetation cover. n corresponds to the number of variables. </w:t>
      </w:r>
      <w:r>
        <w:rPr>
          <w:sz w:val="20"/>
          <w:szCs w:val="20"/>
        </w:rPr>
        <w:t>This process was used to generate Figure 1.</w:t>
      </w:r>
    </w:p>
    <w:p w14:paraId="78B7AA4E" w14:textId="77777777" w:rsidR="00C7404C" w:rsidRDefault="00C7404C" w:rsidP="00C7404C">
      <w:pPr>
        <w:rPr>
          <w:sz w:val="20"/>
          <w:szCs w:val="20"/>
        </w:rPr>
      </w:pPr>
      <w:r>
        <w:rPr>
          <w:sz w:val="20"/>
          <w:szCs w:val="20"/>
        </w:rPr>
        <w:br w:type="page"/>
      </w:r>
    </w:p>
    <w:p w14:paraId="390D735D" w14:textId="77777777" w:rsidR="00C7404C" w:rsidRDefault="00C7404C" w:rsidP="00C7404C">
      <w:pPr>
        <w:jc w:val="both"/>
        <w:rPr>
          <w:sz w:val="20"/>
          <w:szCs w:val="20"/>
        </w:rPr>
      </w:pPr>
      <w:r w:rsidRPr="00613B70">
        <w:rPr>
          <w:noProof/>
          <w:sz w:val="20"/>
          <w:szCs w:val="20"/>
        </w:rPr>
        <w:lastRenderedPageBreak/>
        <w:drawing>
          <wp:inline distT="0" distB="0" distL="0" distR="0" wp14:anchorId="07FA8995" wp14:editId="317CC4AA">
            <wp:extent cx="5760720" cy="6947535"/>
            <wp:effectExtent l="0" t="0" r="0" b="571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60720" cy="6947535"/>
                    </a:xfrm>
                    <a:prstGeom prst="rect">
                      <a:avLst/>
                    </a:prstGeom>
                  </pic:spPr>
                </pic:pic>
              </a:graphicData>
            </a:graphic>
          </wp:inline>
        </w:drawing>
      </w:r>
    </w:p>
    <w:p w14:paraId="540F8888" w14:textId="77777777" w:rsidR="00C7404C" w:rsidRPr="00C7404C" w:rsidRDefault="00C7404C" w:rsidP="00C7404C">
      <w:pPr>
        <w:jc w:val="both"/>
        <w:rPr>
          <w:sz w:val="20"/>
          <w:szCs w:val="20"/>
          <w:lang w:val="en-US"/>
        </w:rPr>
      </w:pPr>
      <w:r w:rsidRPr="00C7404C">
        <w:rPr>
          <w:b/>
          <w:sz w:val="20"/>
          <w:szCs w:val="20"/>
          <w:lang w:val="en-US"/>
        </w:rPr>
        <w:t>Fig S5. Model parts profiles.</w:t>
      </w:r>
      <w:r w:rsidRPr="00C7404C">
        <w:rPr>
          <w:sz w:val="20"/>
          <w:szCs w:val="20"/>
          <w:lang w:val="en-US"/>
        </w:rPr>
        <w:t xml:space="preserve"> The figure illustrates the response of the proportion of each land cover type to the variation of each standardized variable at a global level.  </w:t>
      </w:r>
    </w:p>
    <w:p w14:paraId="72F5A9C3" w14:textId="77777777" w:rsidR="00C7404C" w:rsidRPr="00C7404C" w:rsidRDefault="00C7404C" w:rsidP="00C7404C">
      <w:pPr>
        <w:jc w:val="both"/>
        <w:rPr>
          <w:sz w:val="20"/>
          <w:szCs w:val="20"/>
          <w:lang w:val="en-US"/>
        </w:rPr>
      </w:pPr>
    </w:p>
    <w:p w14:paraId="557E8E4E" w14:textId="77777777" w:rsidR="00C7404C" w:rsidRPr="00C7404C" w:rsidRDefault="00C7404C" w:rsidP="00C7404C">
      <w:pPr>
        <w:jc w:val="both"/>
        <w:rPr>
          <w:b/>
          <w:sz w:val="20"/>
          <w:szCs w:val="20"/>
          <w:lang w:val="en-US"/>
        </w:rPr>
      </w:pPr>
    </w:p>
    <w:p w14:paraId="732638E6" w14:textId="77777777" w:rsidR="00C7404C" w:rsidRPr="00C7404C" w:rsidRDefault="00C7404C" w:rsidP="00C7404C">
      <w:pPr>
        <w:jc w:val="both"/>
        <w:rPr>
          <w:sz w:val="20"/>
          <w:szCs w:val="20"/>
          <w:lang w:val="en-US"/>
        </w:rPr>
      </w:pPr>
    </w:p>
    <w:p w14:paraId="1C61C558" w14:textId="77777777" w:rsidR="00C7404C" w:rsidRPr="00C7404C" w:rsidRDefault="00C7404C" w:rsidP="00C7404C">
      <w:pPr>
        <w:jc w:val="both"/>
        <w:rPr>
          <w:sz w:val="20"/>
          <w:szCs w:val="20"/>
          <w:lang w:val="en-US"/>
        </w:rPr>
      </w:pPr>
    </w:p>
    <w:p w14:paraId="6DDC891F" w14:textId="77777777" w:rsidR="00C7404C" w:rsidRPr="00C7404C" w:rsidRDefault="00C7404C" w:rsidP="00C7404C">
      <w:pPr>
        <w:jc w:val="both"/>
        <w:rPr>
          <w:b/>
          <w:sz w:val="20"/>
          <w:szCs w:val="20"/>
          <w:lang w:val="en-US"/>
        </w:rPr>
      </w:pPr>
      <w:r w:rsidRPr="00C7404C">
        <w:rPr>
          <w:b/>
          <w:sz w:val="20"/>
          <w:szCs w:val="20"/>
          <w:lang w:val="en-US"/>
        </w:rPr>
        <w:br w:type="page"/>
      </w:r>
    </w:p>
    <w:p w14:paraId="40856764" w14:textId="77777777" w:rsidR="00C7404C" w:rsidRDefault="00C7404C" w:rsidP="00C7404C">
      <w:pPr>
        <w:jc w:val="both"/>
        <w:rPr>
          <w:b/>
          <w:sz w:val="20"/>
          <w:szCs w:val="20"/>
        </w:rPr>
      </w:pPr>
      <w:r w:rsidRPr="006F6E72">
        <w:rPr>
          <w:b/>
          <w:noProof/>
          <w:sz w:val="20"/>
          <w:szCs w:val="20"/>
        </w:rPr>
        <w:lastRenderedPageBreak/>
        <w:drawing>
          <wp:inline distT="0" distB="0" distL="0" distR="0" wp14:anchorId="1A9175B1" wp14:editId="595CC929">
            <wp:extent cx="5669176" cy="4118776"/>
            <wp:effectExtent l="0" t="0" r="825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671456" cy="4120433"/>
                    </a:xfrm>
                    <a:prstGeom prst="rect">
                      <a:avLst/>
                    </a:prstGeom>
                  </pic:spPr>
                </pic:pic>
              </a:graphicData>
            </a:graphic>
          </wp:inline>
        </w:drawing>
      </w:r>
    </w:p>
    <w:p w14:paraId="58DC4E5A" w14:textId="77777777" w:rsidR="00C7404C" w:rsidRDefault="00C7404C" w:rsidP="00C7404C">
      <w:pPr>
        <w:jc w:val="both"/>
        <w:rPr>
          <w:b/>
          <w:sz w:val="20"/>
          <w:szCs w:val="20"/>
        </w:rPr>
      </w:pPr>
      <w:r w:rsidRPr="006F6E72">
        <w:rPr>
          <w:b/>
          <w:noProof/>
          <w:sz w:val="20"/>
          <w:szCs w:val="20"/>
        </w:rPr>
        <w:drawing>
          <wp:inline distT="0" distB="0" distL="0" distR="0" wp14:anchorId="579E1D22" wp14:editId="67D08920">
            <wp:extent cx="5614399" cy="4134678"/>
            <wp:effectExtent l="0" t="0" r="571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618586" cy="4137762"/>
                    </a:xfrm>
                    <a:prstGeom prst="rect">
                      <a:avLst/>
                    </a:prstGeom>
                  </pic:spPr>
                </pic:pic>
              </a:graphicData>
            </a:graphic>
          </wp:inline>
        </w:drawing>
      </w:r>
      <w:r w:rsidRPr="00C7404C">
        <w:rPr>
          <w:b/>
          <w:sz w:val="20"/>
          <w:szCs w:val="20"/>
          <w:lang w:val="en-US"/>
        </w:rPr>
        <w:t xml:space="preserve">Fig S6. Evaluation of climate domain. </w:t>
      </w:r>
      <w:r w:rsidRPr="00C7404C">
        <w:rPr>
          <w:sz w:val="20"/>
          <w:szCs w:val="20"/>
          <w:lang w:val="en-US"/>
        </w:rPr>
        <w:t xml:space="preserve">Variability of annual mean temperatures observed globally vs. protected areas for each biome. </w:t>
      </w:r>
      <w:r w:rsidRPr="00603E7E">
        <w:rPr>
          <w:sz w:val="20"/>
          <w:szCs w:val="20"/>
        </w:rPr>
        <w:t>Illustration using the historical NEX climate dataset.</w:t>
      </w:r>
      <w:r>
        <w:rPr>
          <w:b/>
          <w:sz w:val="20"/>
          <w:szCs w:val="20"/>
        </w:rPr>
        <w:br w:type="page"/>
      </w:r>
    </w:p>
    <w:p w14:paraId="16B6C989" w14:textId="77777777" w:rsidR="00C7404C" w:rsidRDefault="00C7404C" w:rsidP="00C7404C">
      <w:pPr>
        <w:jc w:val="both"/>
        <w:rPr>
          <w:b/>
          <w:sz w:val="20"/>
          <w:szCs w:val="20"/>
        </w:rPr>
      </w:pPr>
      <w:r w:rsidRPr="00A5595F">
        <w:rPr>
          <w:b/>
          <w:noProof/>
          <w:sz w:val="20"/>
          <w:szCs w:val="20"/>
        </w:rPr>
        <w:lastRenderedPageBreak/>
        <w:drawing>
          <wp:inline distT="0" distB="0" distL="0" distR="0" wp14:anchorId="4629806B" wp14:editId="41306303">
            <wp:extent cx="5506278" cy="401013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508113" cy="4011475"/>
                    </a:xfrm>
                    <a:prstGeom prst="rect">
                      <a:avLst/>
                    </a:prstGeom>
                  </pic:spPr>
                </pic:pic>
              </a:graphicData>
            </a:graphic>
          </wp:inline>
        </w:drawing>
      </w:r>
    </w:p>
    <w:p w14:paraId="7D5E4364" w14:textId="77777777" w:rsidR="00C7404C" w:rsidRDefault="00C7404C" w:rsidP="00C7404C">
      <w:pPr>
        <w:jc w:val="both"/>
        <w:rPr>
          <w:b/>
          <w:sz w:val="20"/>
          <w:szCs w:val="20"/>
        </w:rPr>
      </w:pPr>
      <w:r w:rsidRPr="00A5595F">
        <w:rPr>
          <w:b/>
          <w:noProof/>
          <w:sz w:val="20"/>
          <w:szCs w:val="20"/>
        </w:rPr>
        <w:drawing>
          <wp:inline distT="0" distB="0" distL="0" distR="0" wp14:anchorId="78533145" wp14:editId="2A961356">
            <wp:extent cx="5577840" cy="4118207"/>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580596" cy="4120242"/>
                    </a:xfrm>
                    <a:prstGeom prst="rect">
                      <a:avLst/>
                    </a:prstGeom>
                  </pic:spPr>
                </pic:pic>
              </a:graphicData>
            </a:graphic>
          </wp:inline>
        </w:drawing>
      </w:r>
    </w:p>
    <w:p w14:paraId="244C3D21" w14:textId="77777777" w:rsidR="00C7404C" w:rsidRDefault="00C7404C" w:rsidP="00C7404C">
      <w:pPr>
        <w:jc w:val="both"/>
        <w:rPr>
          <w:sz w:val="20"/>
          <w:szCs w:val="20"/>
        </w:rPr>
      </w:pPr>
      <w:r w:rsidRPr="00C7404C">
        <w:rPr>
          <w:b/>
          <w:sz w:val="20"/>
          <w:szCs w:val="20"/>
          <w:lang w:val="en-US"/>
        </w:rPr>
        <w:t xml:space="preserve">Fig S7. Evaluation of climate domain. </w:t>
      </w:r>
      <w:r w:rsidRPr="00C7404C">
        <w:rPr>
          <w:sz w:val="20"/>
          <w:szCs w:val="20"/>
          <w:lang w:val="en-US"/>
        </w:rPr>
        <w:t xml:space="preserve">Variablity of annual precipitations observed globally vs. protected areas for each biome. </w:t>
      </w:r>
      <w:r w:rsidRPr="00603E7E">
        <w:rPr>
          <w:sz w:val="20"/>
          <w:szCs w:val="20"/>
        </w:rPr>
        <w:t>Illustration using the historical NEX climate dataset.</w:t>
      </w:r>
      <w:r>
        <w:rPr>
          <w:sz w:val="20"/>
          <w:szCs w:val="20"/>
        </w:rPr>
        <w:br w:type="page"/>
      </w:r>
    </w:p>
    <w:p w14:paraId="1BD1E0C0" w14:textId="77777777" w:rsidR="00C7404C" w:rsidRPr="007C5218" w:rsidRDefault="00C7404C" w:rsidP="00C7404C">
      <w:pPr>
        <w:jc w:val="center"/>
        <w:rPr>
          <w:sz w:val="20"/>
          <w:szCs w:val="20"/>
        </w:rPr>
      </w:pPr>
      <w:r w:rsidRPr="008348ED">
        <w:rPr>
          <w:b/>
          <w:noProof/>
          <w:sz w:val="20"/>
          <w:szCs w:val="20"/>
        </w:rPr>
        <w:lastRenderedPageBreak/>
        <w:drawing>
          <wp:inline distT="0" distB="0" distL="0" distR="0" wp14:anchorId="5A709A0A" wp14:editId="2CD25CA2">
            <wp:extent cx="2906122" cy="6890847"/>
            <wp:effectExtent l="0" t="0" r="8890" b="5715"/>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916548" cy="6915569"/>
                    </a:xfrm>
                    <a:prstGeom prst="rect">
                      <a:avLst/>
                    </a:prstGeom>
                  </pic:spPr>
                </pic:pic>
              </a:graphicData>
            </a:graphic>
          </wp:inline>
        </w:drawing>
      </w:r>
    </w:p>
    <w:p w14:paraId="5DA7DD58" w14:textId="77777777" w:rsidR="00C7404C" w:rsidRPr="00C7404C" w:rsidRDefault="00C7404C" w:rsidP="00C7404C">
      <w:pPr>
        <w:jc w:val="both"/>
        <w:rPr>
          <w:sz w:val="20"/>
          <w:szCs w:val="20"/>
          <w:lang w:val="en-US"/>
        </w:rPr>
      </w:pPr>
      <w:r w:rsidRPr="00C7404C">
        <w:rPr>
          <w:b/>
          <w:sz w:val="20"/>
          <w:szCs w:val="20"/>
          <w:lang w:val="en-US"/>
        </w:rPr>
        <w:t xml:space="preserve">Fig S8. Uncertainty maps. </w:t>
      </w:r>
      <w:r w:rsidRPr="00C7404C">
        <w:rPr>
          <w:sz w:val="20"/>
          <w:szCs w:val="20"/>
          <w:lang w:val="en-US"/>
        </w:rPr>
        <w:t>The three maps illustrate respectively the standard deviation of the prediction of bare ground (red), tree (green) and short vegetation (blue) considering model uncertainty (top), the spatial structure of the calibrating dataset (middle) and the choice of the climate dataset (bottom).</w:t>
      </w:r>
    </w:p>
    <w:p w14:paraId="0BE370A2" w14:textId="77777777" w:rsidR="00C7404C" w:rsidRPr="00C7404C" w:rsidRDefault="00C7404C" w:rsidP="00C7404C">
      <w:pPr>
        <w:rPr>
          <w:sz w:val="20"/>
          <w:szCs w:val="20"/>
          <w:lang w:val="en-US"/>
        </w:rPr>
      </w:pPr>
      <w:r w:rsidRPr="00C7404C">
        <w:rPr>
          <w:sz w:val="20"/>
          <w:szCs w:val="20"/>
          <w:lang w:val="en-US"/>
        </w:rPr>
        <w:br w:type="page"/>
      </w:r>
    </w:p>
    <w:p w14:paraId="2F64AD67" w14:textId="77777777" w:rsidR="00C7404C" w:rsidRDefault="00C7404C" w:rsidP="00C7404C">
      <w:pPr>
        <w:jc w:val="both"/>
        <w:rPr>
          <w:sz w:val="20"/>
          <w:szCs w:val="20"/>
        </w:rPr>
      </w:pPr>
      <w:r w:rsidRPr="008348ED">
        <w:rPr>
          <w:noProof/>
          <w:sz w:val="20"/>
          <w:szCs w:val="20"/>
        </w:rPr>
        <w:lastRenderedPageBreak/>
        <w:drawing>
          <wp:inline distT="0" distB="0" distL="0" distR="0" wp14:anchorId="1D387504" wp14:editId="19EDDCD8">
            <wp:extent cx="5760720" cy="3198495"/>
            <wp:effectExtent l="0" t="0" r="0" b="1905"/>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60720" cy="3198495"/>
                    </a:xfrm>
                    <a:prstGeom prst="rect">
                      <a:avLst/>
                    </a:prstGeom>
                  </pic:spPr>
                </pic:pic>
              </a:graphicData>
            </a:graphic>
          </wp:inline>
        </w:drawing>
      </w:r>
    </w:p>
    <w:p w14:paraId="445D04E3" w14:textId="77777777" w:rsidR="00C7404C" w:rsidRPr="00C7404C" w:rsidRDefault="00C7404C" w:rsidP="00C7404C">
      <w:pPr>
        <w:jc w:val="both"/>
        <w:rPr>
          <w:sz w:val="20"/>
          <w:szCs w:val="20"/>
          <w:lang w:val="en-US"/>
        </w:rPr>
      </w:pPr>
      <w:r w:rsidRPr="00C7404C">
        <w:rPr>
          <w:b/>
          <w:sz w:val="20"/>
          <w:szCs w:val="20"/>
          <w:lang w:val="en-US"/>
        </w:rPr>
        <w:t>Fig S9. The distribution of the 10 folds identified by the blockCV approach for spatial and environmental cross-validation</w:t>
      </w:r>
      <w:r w:rsidRPr="00C7404C">
        <w:rPr>
          <w:sz w:val="20"/>
          <w:szCs w:val="20"/>
          <w:lang w:val="en-US"/>
        </w:rPr>
        <w:t xml:space="preserve">. In this example, we highlight the distribution of the block “6” to facilitate the understanding of the figure. The ‘BlockCV’ package generates spatially and environmentally separated folds based on the spatial distribution of the training points and their coverage of the environmental parameters considered in the model. The blockCV is here illustrated over a map of the historical annual mean temperature from the NEX historical climate dataset. </w:t>
      </w:r>
    </w:p>
    <w:p w14:paraId="3F914258" w14:textId="77777777" w:rsidR="00C7404C" w:rsidRPr="00C7404C" w:rsidRDefault="00C7404C" w:rsidP="00C7404C">
      <w:pPr>
        <w:jc w:val="both"/>
        <w:rPr>
          <w:sz w:val="20"/>
          <w:szCs w:val="20"/>
          <w:lang w:val="en-US"/>
        </w:rPr>
      </w:pPr>
    </w:p>
    <w:p w14:paraId="42AB078E" w14:textId="77777777" w:rsidR="00C7404C" w:rsidRPr="00C7404C" w:rsidRDefault="00C7404C" w:rsidP="00C7404C">
      <w:pPr>
        <w:rPr>
          <w:sz w:val="20"/>
          <w:szCs w:val="20"/>
          <w:lang w:val="en-US"/>
        </w:rPr>
      </w:pPr>
      <w:r w:rsidRPr="00C7404C">
        <w:rPr>
          <w:sz w:val="20"/>
          <w:szCs w:val="20"/>
          <w:lang w:val="en-US"/>
        </w:rPr>
        <w:br w:type="page"/>
      </w:r>
    </w:p>
    <w:p w14:paraId="364DA768" w14:textId="77777777" w:rsidR="00C7404C" w:rsidRDefault="00C7404C" w:rsidP="00C7404C">
      <w:pPr>
        <w:jc w:val="both"/>
        <w:rPr>
          <w:sz w:val="20"/>
          <w:szCs w:val="20"/>
        </w:rPr>
      </w:pPr>
      <w:r w:rsidRPr="00F20DC8">
        <w:rPr>
          <w:noProof/>
          <w:sz w:val="20"/>
          <w:szCs w:val="20"/>
        </w:rPr>
        <w:lastRenderedPageBreak/>
        <w:drawing>
          <wp:inline distT="0" distB="0" distL="0" distR="0" wp14:anchorId="553DFB65" wp14:editId="45E242FC">
            <wp:extent cx="5760720" cy="3938905"/>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60720" cy="3938905"/>
                    </a:xfrm>
                    <a:prstGeom prst="rect">
                      <a:avLst/>
                    </a:prstGeom>
                  </pic:spPr>
                </pic:pic>
              </a:graphicData>
            </a:graphic>
          </wp:inline>
        </w:drawing>
      </w:r>
    </w:p>
    <w:p w14:paraId="5C1C0BEF" w14:textId="77777777" w:rsidR="00C7404C" w:rsidRPr="00C7404C" w:rsidRDefault="00C7404C" w:rsidP="00C7404C">
      <w:pPr>
        <w:jc w:val="both"/>
        <w:rPr>
          <w:sz w:val="20"/>
          <w:szCs w:val="20"/>
          <w:lang w:val="en-US"/>
        </w:rPr>
      </w:pPr>
      <w:r w:rsidRPr="00C7404C">
        <w:rPr>
          <w:b/>
          <w:sz w:val="20"/>
          <w:szCs w:val="20"/>
          <w:lang w:val="en-US"/>
        </w:rPr>
        <w:t>Fig S10</w:t>
      </w:r>
      <w:r w:rsidRPr="00C7404C">
        <w:rPr>
          <w:sz w:val="20"/>
          <w:szCs w:val="20"/>
          <w:lang w:val="en-US"/>
        </w:rPr>
        <w:t>. Flow chart to generate the map synthesizing all the sources of uncertainties and variability. n corresponds to the number of variables.</w:t>
      </w:r>
    </w:p>
    <w:p w14:paraId="3B02B0C8" w14:textId="77777777" w:rsidR="00C7404C" w:rsidRPr="00C7404C" w:rsidRDefault="00C7404C" w:rsidP="00C7404C">
      <w:pPr>
        <w:jc w:val="both"/>
        <w:rPr>
          <w:sz w:val="20"/>
          <w:szCs w:val="20"/>
          <w:lang w:val="en-US"/>
        </w:rPr>
      </w:pPr>
    </w:p>
    <w:p w14:paraId="7144C424" w14:textId="77777777" w:rsidR="00C7404C" w:rsidRDefault="00C7404C" w:rsidP="00C7404C">
      <w:pPr>
        <w:jc w:val="both"/>
        <w:rPr>
          <w:sz w:val="20"/>
          <w:szCs w:val="20"/>
        </w:rPr>
      </w:pPr>
      <w:r w:rsidRPr="00C7404C">
        <w:rPr>
          <w:sz w:val="20"/>
          <w:szCs w:val="20"/>
          <w:lang w:val="en-US"/>
        </w:rPr>
        <w:br w:type="page"/>
      </w:r>
      <w:r w:rsidRPr="00F20DC8">
        <w:rPr>
          <w:noProof/>
          <w:sz w:val="20"/>
          <w:szCs w:val="20"/>
        </w:rPr>
        <w:lastRenderedPageBreak/>
        <w:drawing>
          <wp:inline distT="0" distB="0" distL="0" distR="0" wp14:anchorId="1430899A" wp14:editId="251B9A6F">
            <wp:extent cx="5760720" cy="398335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60720" cy="3983355"/>
                    </a:xfrm>
                    <a:prstGeom prst="rect">
                      <a:avLst/>
                    </a:prstGeom>
                  </pic:spPr>
                </pic:pic>
              </a:graphicData>
            </a:graphic>
          </wp:inline>
        </w:drawing>
      </w:r>
      <w:r w:rsidRPr="00C7404C">
        <w:rPr>
          <w:b/>
          <w:sz w:val="20"/>
          <w:szCs w:val="20"/>
          <w:lang w:val="en-US"/>
        </w:rPr>
        <w:t>Fig S11</w:t>
      </w:r>
      <w:r w:rsidRPr="00C7404C">
        <w:rPr>
          <w:sz w:val="20"/>
          <w:szCs w:val="20"/>
          <w:lang w:val="en-US"/>
        </w:rPr>
        <w:t xml:space="preserve">. Flow chart to generate the alternative potential ecosystems map. n corresponds to the number of variables. </w:t>
      </w:r>
      <w:r>
        <w:rPr>
          <w:sz w:val="20"/>
          <w:szCs w:val="20"/>
        </w:rPr>
        <w:t xml:space="preserve">This process was used to </w:t>
      </w:r>
      <w:r w:rsidRPr="00C63217">
        <w:rPr>
          <w:sz w:val="20"/>
          <w:szCs w:val="20"/>
        </w:rPr>
        <w:t>generate Figure 2.</w:t>
      </w:r>
    </w:p>
    <w:p w14:paraId="762590F6" w14:textId="77777777" w:rsidR="00C7404C" w:rsidRDefault="00C7404C" w:rsidP="00C7404C">
      <w:pPr>
        <w:jc w:val="both"/>
        <w:rPr>
          <w:sz w:val="20"/>
          <w:szCs w:val="20"/>
        </w:rPr>
      </w:pPr>
    </w:p>
    <w:p w14:paraId="1A371F30" w14:textId="77777777" w:rsidR="00C7404C" w:rsidRDefault="00C7404C" w:rsidP="00C7404C">
      <w:pPr>
        <w:jc w:val="both"/>
        <w:rPr>
          <w:b/>
          <w:sz w:val="20"/>
          <w:szCs w:val="20"/>
        </w:rPr>
      </w:pPr>
    </w:p>
    <w:p w14:paraId="186D1677" w14:textId="3E7B7BAC" w:rsidR="00F64134" w:rsidRDefault="00F64134">
      <w:pPr>
        <w:spacing w:line="360" w:lineRule="auto"/>
        <w:rPr>
          <w:lang w:val="en-US"/>
        </w:rPr>
      </w:pPr>
    </w:p>
    <w:sectPr w:rsidR="00F64134">
      <w:pgSz w:w="11906" w:h="16838"/>
      <w:pgMar w:top="1440" w:right="1440" w:bottom="1440" w:left="1440" w:header="0" w:footer="0" w:gutter="0"/>
      <w:pgNumType w:start="1"/>
      <w:cols w:space="720"/>
      <w:formProt w:val="0"/>
      <w:docGrid w:linePitch="10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Noto Sans Devanagari">
    <w:altName w:val="Mangal"/>
    <w:charset w:val="00"/>
    <w:family w:val="swiss"/>
    <w:pitch w:val="variable"/>
    <w:sig w:usb0="80008023" w:usb1="00002046"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F63A60"/>
    <w:multiLevelType w:val="multilevel"/>
    <w:tmpl w:val="64966536"/>
    <w:lvl w:ilvl="0">
      <w:start w:val="3"/>
      <w:numFmt w:val="bullet"/>
      <w:lvlText w:val="-"/>
      <w:lvlJc w:val="left"/>
      <w:pPr>
        <w:tabs>
          <w:tab w:val="num" w:pos="0"/>
        </w:tabs>
        <w:ind w:left="720" w:hanging="360"/>
      </w:pPr>
      <w:rPr>
        <w:rFonts w:ascii="Arial" w:hAnsi="Arial" w:cs="Aria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3417212E"/>
    <w:multiLevelType w:val="multilevel"/>
    <w:tmpl w:val="3B4E825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4E06721F"/>
    <w:multiLevelType w:val="hybridMultilevel"/>
    <w:tmpl w:val="D9669652"/>
    <w:lvl w:ilvl="0" w:tplc="8D36E6D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50A4E92"/>
    <w:multiLevelType w:val="hybridMultilevel"/>
    <w:tmpl w:val="50067E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67969144">
    <w:abstractNumId w:val="0"/>
  </w:num>
  <w:num w:numId="2" w16cid:durableId="1684278346">
    <w:abstractNumId w:val="1"/>
  </w:num>
  <w:num w:numId="3" w16cid:durableId="193538978">
    <w:abstractNumId w:val="2"/>
  </w:num>
  <w:num w:numId="4" w16cid:durableId="101843019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4134"/>
    <w:rsid w:val="00015F92"/>
    <w:rsid w:val="00065CBB"/>
    <w:rsid w:val="00070005"/>
    <w:rsid w:val="00080EAE"/>
    <w:rsid w:val="00096955"/>
    <w:rsid w:val="000D7F3B"/>
    <w:rsid w:val="00167DA8"/>
    <w:rsid w:val="00172499"/>
    <w:rsid w:val="00184F9F"/>
    <w:rsid w:val="0019015F"/>
    <w:rsid w:val="001A7A6F"/>
    <w:rsid w:val="001B48FA"/>
    <w:rsid w:val="001B74C7"/>
    <w:rsid w:val="001C43A9"/>
    <w:rsid w:val="002452EF"/>
    <w:rsid w:val="002A416C"/>
    <w:rsid w:val="002C1326"/>
    <w:rsid w:val="002C6177"/>
    <w:rsid w:val="002C7317"/>
    <w:rsid w:val="002D07D3"/>
    <w:rsid w:val="002F3A4E"/>
    <w:rsid w:val="002F5971"/>
    <w:rsid w:val="00304C1A"/>
    <w:rsid w:val="00316EC0"/>
    <w:rsid w:val="003242FA"/>
    <w:rsid w:val="003272A6"/>
    <w:rsid w:val="0037445F"/>
    <w:rsid w:val="003B5ECB"/>
    <w:rsid w:val="003C0FD6"/>
    <w:rsid w:val="003D72E6"/>
    <w:rsid w:val="00433EA0"/>
    <w:rsid w:val="00444F68"/>
    <w:rsid w:val="00465C6F"/>
    <w:rsid w:val="00563667"/>
    <w:rsid w:val="005900E2"/>
    <w:rsid w:val="00592497"/>
    <w:rsid w:val="005D7891"/>
    <w:rsid w:val="0065393C"/>
    <w:rsid w:val="006C3721"/>
    <w:rsid w:val="00706A3E"/>
    <w:rsid w:val="007335E6"/>
    <w:rsid w:val="0076290E"/>
    <w:rsid w:val="00815F15"/>
    <w:rsid w:val="00817DE8"/>
    <w:rsid w:val="008D6E89"/>
    <w:rsid w:val="00951AD3"/>
    <w:rsid w:val="009E4BB9"/>
    <w:rsid w:val="00AE3B68"/>
    <w:rsid w:val="00B02E85"/>
    <w:rsid w:val="00B14C52"/>
    <w:rsid w:val="00B366E5"/>
    <w:rsid w:val="00BA17A8"/>
    <w:rsid w:val="00C52099"/>
    <w:rsid w:val="00C53B96"/>
    <w:rsid w:val="00C7404C"/>
    <w:rsid w:val="00CB0145"/>
    <w:rsid w:val="00CD2B78"/>
    <w:rsid w:val="00D901DD"/>
    <w:rsid w:val="00E1495A"/>
    <w:rsid w:val="00E429B8"/>
    <w:rsid w:val="00E643E1"/>
    <w:rsid w:val="00E71917"/>
    <w:rsid w:val="00E71D80"/>
    <w:rsid w:val="00E9160E"/>
    <w:rsid w:val="00EA3160"/>
    <w:rsid w:val="00EA785C"/>
    <w:rsid w:val="00EF469C"/>
    <w:rsid w:val="00F64134"/>
    <w:rsid w:val="00F74CB1"/>
    <w:rsid w:val="00FD4B16"/>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6D1623"/>
  <w15:docId w15:val="{34AA5957-61F6-4AE1-9133-54D6063D1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fr-FR"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76" w:lineRule="auto"/>
    </w:pPr>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mmentTextChar">
    <w:name w:val="Comment Text Char"/>
    <w:basedOn w:val="DefaultParagraphFont"/>
    <w:link w:val="CommentText"/>
    <w:uiPriority w:val="99"/>
    <w:qFormat/>
    <w:rPr>
      <w:sz w:val="20"/>
      <w:szCs w:val="20"/>
    </w:rPr>
  </w:style>
  <w:style w:type="character" w:styleId="CommentReference">
    <w:name w:val="annotation reference"/>
    <w:basedOn w:val="DefaultParagraphFont"/>
    <w:uiPriority w:val="99"/>
    <w:semiHidden/>
    <w:unhideWhenUsed/>
    <w:qFormat/>
    <w:rPr>
      <w:sz w:val="16"/>
      <w:szCs w:val="16"/>
    </w:rPr>
  </w:style>
  <w:style w:type="character" w:customStyle="1" w:styleId="BalloonTextChar">
    <w:name w:val="Balloon Text Char"/>
    <w:basedOn w:val="DefaultParagraphFont"/>
    <w:link w:val="BalloonText"/>
    <w:uiPriority w:val="99"/>
    <w:semiHidden/>
    <w:qFormat/>
    <w:rsid w:val="00E2561C"/>
    <w:rPr>
      <w:rFonts w:ascii="Segoe UI" w:hAnsi="Segoe UI" w:cs="Segoe UI"/>
      <w:sz w:val="18"/>
      <w:szCs w:val="18"/>
    </w:rPr>
  </w:style>
  <w:style w:type="character" w:customStyle="1" w:styleId="CommentSubjectChar">
    <w:name w:val="Comment Subject Char"/>
    <w:basedOn w:val="CommentTextChar"/>
    <w:link w:val="CommentSubject"/>
    <w:uiPriority w:val="99"/>
    <w:semiHidden/>
    <w:qFormat/>
    <w:rsid w:val="00E72FC9"/>
    <w:rPr>
      <w:b/>
      <w:bCs/>
      <w:sz w:val="20"/>
      <w:szCs w:val="20"/>
    </w:rPr>
  </w:style>
  <w:style w:type="character" w:customStyle="1" w:styleId="LienInternet">
    <w:name w:val="Lien Internet"/>
    <w:basedOn w:val="DefaultParagraphFont"/>
    <w:uiPriority w:val="99"/>
    <w:unhideWhenUsed/>
    <w:rsid w:val="007907FA"/>
    <w:rPr>
      <w:color w:val="0000FF" w:themeColor="hyperlink"/>
      <w:u w:val="single"/>
    </w:rPr>
  </w:style>
  <w:style w:type="character" w:styleId="UnresolvedMention">
    <w:name w:val="Unresolved Mention"/>
    <w:basedOn w:val="DefaultParagraphFont"/>
    <w:uiPriority w:val="99"/>
    <w:semiHidden/>
    <w:unhideWhenUsed/>
    <w:qFormat/>
    <w:rsid w:val="007907FA"/>
    <w:rPr>
      <w:color w:val="605E5C"/>
      <w:shd w:val="clear" w:color="auto" w:fill="E1DFDD"/>
    </w:rPr>
  </w:style>
  <w:style w:type="character" w:styleId="Strong">
    <w:name w:val="Strong"/>
    <w:basedOn w:val="DefaultParagraphFont"/>
    <w:uiPriority w:val="22"/>
    <w:qFormat/>
    <w:rsid w:val="001E4565"/>
    <w:rPr>
      <w:b/>
      <w:bCs/>
    </w:rPr>
  </w:style>
  <w:style w:type="paragraph" w:styleId="Title">
    <w:name w:val="Title"/>
    <w:basedOn w:val="Normal"/>
    <w:next w:val="BodyText"/>
    <w:uiPriority w:val="10"/>
    <w:qFormat/>
    <w:pPr>
      <w:keepNext/>
      <w:keepLines/>
      <w:spacing w:after="60"/>
    </w:pPr>
    <w:rPr>
      <w:sz w:val="52"/>
      <w:szCs w:val="52"/>
    </w:rPr>
  </w:style>
  <w:style w:type="paragraph" w:styleId="BodyText">
    <w:name w:val="Body Text"/>
    <w:basedOn w:val="Normal"/>
    <w:pPr>
      <w:spacing w:after="140"/>
    </w:pPr>
  </w:style>
  <w:style w:type="paragraph" w:styleId="List">
    <w:name w:val="List"/>
    <w:basedOn w:val="BodyText"/>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customStyle="1" w:styleId="Index">
    <w:name w:val="Index"/>
    <w:basedOn w:val="Normal"/>
    <w:qFormat/>
    <w:pPr>
      <w:suppressLineNumbers/>
    </w:pPr>
    <w:rPr>
      <w:rFonts w:cs="Noto Sans Devanagari"/>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unhideWhenUsed/>
    <w:qFormat/>
    <w:pPr>
      <w:spacing w:line="240" w:lineRule="auto"/>
    </w:pPr>
    <w:rPr>
      <w:sz w:val="20"/>
      <w:szCs w:val="20"/>
    </w:rPr>
  </w:style>
  <w:style w:type="paragraph" w:styleId="BalloonText">
    <w:name w:val="Balloon Text"/>
    <w:basedOn w:val="Normal"/>
    <w:link w:val="BalloonTextChar"/>
    <w:uiPriority w:val="99"/>
    <w:semiHidden/>
    <w:unhideWhenUsed/>
    <w:qFormat/>
    <w:rsid w:val="00E2561C"/>
    <w:pPr>
      <w:spacing w:line="240" w:lineRule="auto"/>
    </w:pPr>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qFormat/>
    <w:rsid w:val="00E72FC9"/>
    <w:rPr>
      <w:b/>
      <w:bCs/>
    </w:rPr>
  </w:style>
  <w:style w:type="paragraph" w:styleId="Revision">
    <w:name w:val="Revision"/>
    <w:uiPriority w:val="99"/>
    <w:semiHidden/>
    <w:qFormat/>
    <w:rsid w:val="00C42D6A"/>
  </w:style>
  <w:style w:type="paragraph" w:styleId="ListParagraph">
    <w:name w:val="List Paragraph"/>
    <w:basedOn w:val="Normal"/>
    <w:uiPriority w:val="34"/>
    <w:qFormat/>
    <w:rsid w:val="00D7797C"/>
    <w:pPr>
      <w:ind w:left="720"/>
      <w:contextualSpacing/>
    </w:pPr>
  </w:style>
  <w:style w:type="table" w:customStyle="1" w:styleId="TableNormal1">
    <w:name w:val="Table Normal1"/>
    <w:tblPr>
      <w:tblCellMar>
        <w:top w:w="0" w:type="dxa"/>
        <w:left w:w="0" w:type="dxa"/>
        <w:bottom w:w="0" w:type="dxa"/>
        <w:right w:w="0" w:type="dxa"/>
      </w:tblCellMar>
    </w:tblPr>
  </w:style>
  <w:style w:type="paragraph" w:styleId="NormalWeb">
    <w:name w:val="Normal (Web)"/>
    <w:basedOn w:val="Normal"/>
    <w:uiPriority w:val="99"/>
    <w:semiHidden/>
    <w:unhideWhenUsed/>
    <w:rsid w:val="00E643E1"/>
    <w:pPr>
      <w:suppressAutoHyphens w:val="0"/>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E643E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35994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C45CC1-A7D8-4991-BBA4-5CBA2212B8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1858</Words>
  <Characters>10591</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Francois Bastin</dc:creator>
  <dc:description/>
  <cp:lastModifiedBy>Poonam Mutha</cp:lastModifiedBy>
  <cp:revision>8</cp:revision>
  <dcterms:created xsi:type="dcterms:W3CDTF">2024-01-02T19:30:00Z</dcterms:created>
  <dcterms:modified xsi:type="dcterms:W3CDTF">2024-02-02T04:51:00Z</dcterms:modified>
  <dc:language>fr-FR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Mendeley Citation Style_1">
    <vt:lpwstr>http://www.zotero.org/styles/nature</vt:lpwstr>
  </property>
  <property fmtid="{D5CDD505-2E9C-101B-9397-08002B2CF9AE}" pid="7" name="Mendeley Document_1">
    <vt:lpwstr>True</vt:lpwstr>
  </property>
  <property fmtid="{D5CDD505-2E9C-101B-9397-08002B2CF9AE}" pid="8" name="Mendeley Recent Style Id 0_1">
    <vt:lpwstr>http://www.zotero.org/styles/apa</vt:lpwstr>
  </property>
  <property fmtid="{D5CDD505-2E9C-101B-9397-08002B2CF9AE}" pid="9" name="Mendeley Recent Style Id 1_1">
    <vt:lpwstr>http://www.zotero.org/styles/american-sociological-association</vt:lpwstr>
  </property>
  <property fmtid="{D5CDD505-2E9C-101B-9397-08002B2CF9AE}" pid="10" name="Mendeley Recent Style Id 2_1">
    <vt:lpwstr>http://www.zotero.org/styles/harvard-cite-them-right</vt:lpwstr>
  </property>
  <property fmtid="{D5CDD505-2E9C-101B-9397-08002B2CF9AE}" pid="11" name="Mendeley Recent Style Id 3_1">
    <vt:lpwstr>http://www.zotero.org/styles/ecology</vt:lpwstr>
  </property>
  <property fmtid="{D5CDD505-2E9C-101B-9397-08002B2CF9AE}" pid="12" name="Mendeley Recent Style Id 4_1">
    <vt:lpwstr>http://www.zotero.org/styles/ecology-letters</vt:lpwstr>
  </property>
  <property fmtid="{D5CDD505-2E9C-101B-9397-08002B2CF9AE}" pid="13" name="Mendeley Recent Style Id 5_1">
    <vt:lpwstr>http://www.zotero.org/styles/harvard1</vt:lpwstr>
  </property>
  <property fmtid="{D5CDD505-2E9C-101B-9397-08002B2CF9AE}" pid="14" name="Mendeley Recent Style Id 6_1">
    <vt:lpwstr>http://www.zotero.org/styles/ieee</vt:lpwstr>
  </property>
  <property fmtid="{D5CDD505-2E9C-101B-9397-08002B2CF9AE}" pid="15" name="Mendeley Recent Style Id 7_1">
    <vt:lpwstr>http://www.zotero.org/styles/modern-humanities-research-association</vt:lpwstr>
  </property>
  <property fmtid="{D5CDD505-2E9C-101B-9397-08002B2CF9AE}" pid="16" name="Mendeley Recent Style Id 8_1">
    <vt:lpwstr>http://www.zotero.org/styles/nature</vt:lpwstr>
  </property>
  <property fmtid="{D5CDD505-2E9C-101B-9397-08002B2CF9AE}" pid="17" name="Mendeley Recent Style Id 9_1">
    <vt:lpwstr>http://www.zotero.org/styles/science</vt:lpwstr>
  </property>
  <property fmtid="{D5CDD505-2E9C-101B-9397-08002B2CF9AE}" pid="18" name="Mendeley Recent Style Name 0_1">
    <vt:lpwstr>American Psychological Association 7th edition</vt:lpwstr>
  </property>
  <property fmtid="{D5CDD505-2E9C-101B-9397-08002B2CF9AE}" pid="19" name="Mendeley Recent Style Name 1_1">
    <vt:lpwstr>American Sociological Association 6th edition</vt:lpwstr>
  </property>
  <property fmtid="{D5CDD505-2E9C-101B-9397-08002B2CF9AE}" pid="20" name="Mendeley Recent Style Name 2_1">
    <vt:lpwstr>Cite Them Right 10th edition - Harvard</vt:lpwstr>
  </property>
  <property fmtid="{D5CDD505-2E9C-101B-9397-08002B2CF9AE}" pid="21" name="Mendeley Recent Style Name 3_1">
    <vt:lpwstr>Ecology</vt:lpwstr>
  </property>
  <property fmtid="{D5CDD505-2E9C-101B-9397-08002B2CF9AE}" pid="22" name="Mendeley Recent Style Name 4_1">
    <vt:lpwstr>Ecology Letters</vt:lpwstr>
  </property>
  <property fmtid="{D5CDD505-2E9C-101B-9397-08002B2CF9AE}" pid="23" name="Mendeley Recent Style Name 5_1">
    <vt:lpwstr>Harvard reference format 1 (deprecated)</vt:lpwstr>
  </property>
  <property fmtid="{D5CDD505-2E9C-101B-9397-08002B2CF9AE}" pid="24" name="Mendeley Recent Style Name 6_1">
    <vt:lpwstr>IEEE</vt:lpwstr>
  </property>
  <property fmtid="{D5CDD505-2E9C-101B-9397-08002B2CF9AE}" pid="25" name="Mendeley Recent Style Name 7_1">
    <vt:lpwstr>Modern Humanities Research Association 3rd edition (note with bibliography)</vt:lpwstr>
  </property>
  <property fmtid="{D5CDD505-2E9C-101B-9397-08002B2CF9AE}" pid="26" name="Mendeley Recent Style Name 8_1">
    <vt:lpwstr>Nature</vt:lpwstr>
  </property>
  <property fmtid="{D5CDD505-2E9C-101B-9397-08002B2CF9AE}" pid="27" name="Mendeley Recent Style Name 9_1">
    <vt:lpwstr>Science</vt:lpwstr>
  </property>
  <property fmtid="{D5CDD505-2E9C-101B-9397-08002B2CF9AE}" pid="28" name="Mendeley Unique User Id_1">
    <vt:lpwstr>790ad58c-9295-3336-ad57-46407073510c</vt:lpwstr>
  </property>
  <property fmtid="{D5CDD505-2E9C-101B-9397-08002B2CF9AE}" pid="29" name="ScaleCrop">
    <vt:bool>false</vt:bool>
  </property>
  <property fmtid="{D5CDD505-2E9C-101B-9397-08002B2CF9AE}" pid="30" name="ShareDoc">
    <vt:bool>false</vt:bool>
  </property>
</Properties>
</file>