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9D17" w14:textId="0BB5C1A8" w:rsidR="003B4AF6" w:rsidRDefault="00C304E1">
      <w:pPr>
        <w:rPr>
          <w:b/>
          <w:bCs/>
        </w:rPr>
      </w:pPr>
      <w:r w:rsidRPr="00C304E1">
        <w:rPr>
          <w:b/>
          <w:bCs/>
        </w:rPr>
        <w:t>Supplemental Figures</w:t>
      </w:r>
      <w:r w:rsidR="00BA5B9F">
        <w:rPr>
          <w:b/>
          <w:bCs/>
        </w:rPr>
        <w:t xml:space="preserve"> </w:t>
      </w:r>
    </w:p>
    <w:p w14:paraId="546D5226" w14:textId="77777777" w:rsidR="00BA5B9F" w:rsidRDefault="00BA5B9F">
      <w:pPr>
        <w:rPr>
          <w:b/>
          <w:bCs/>
        </w:rPr>
      </w:pPr>
    </w:p>
    <w:p w14:paraId="5F988477" w14:textId="77777777" w:rsidR="00BA5B9F" w:rsidRDefault="00BA5B9F">
      <w:pPr>
        <w:rPr>
          <w:b/>
          <w:bCs/>
        </w:rPr>
      </w:pPr>
    </w:p>
    <w:p w14:paraId="63FDB66C" w14:textId="77777777" w:rsidR="002311E7" w:rsidRDefault="002311E7">
      <w:pPr>
        <w:rPr>
          <w:b/>
          <w:bCs/>
        </w:rPr>
      </w:pPr>
    </w:p>
    <w:p w14:paraId="0EDC20F2" w14:textId="01D474E4" w:rsidR="002311E7" w:rsidRDefault="002311E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E94F677" wp14:editId="40D94FBE">
            <wp:extent cx="5943600" cy="3542665"/>
            <wp:effectExtent l="0" t="0" r="0" b="635"/>
            <wp:docPr id="1035841669" name="Picture 3" descr="A graph of a number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41669" name="Picture 3" descr="A graph of a number of line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E47AB" w14:textId="77777777" w:rsidR="002311E7" w:rsidRDefault="002311E7">
      <w:pPr>
        <w:rPr>
          <w:b/>
          <w:bCs/>
        </w:rPr>
      </w:pPr>
    </w:p>
    <w:p w14:paraId="5D610668" w14:textId="77777777" w:rsidR="002311E7" w:rsidRPr="00DA0216" w:rsidRDefault="002311E7" w:rsidP="002311E7">
      <w:pPr>
        <w:spacing w:line="480" w:lineRule="auto"/>
      </w:pPr>
      <w:r w:rsidRPr="002311E7">
        <w:rPr>
          <w:b/>
          <w:bCs/>
        </w:rPr>
        <w:t>Figure S1.</w:t>
      </w:r>
      <w:r w:rsidRPr="00DA0216">
        <w:t xml:space="preserve"> DNA-based alignments between chromosome-level genomes of </w:t>
      </w:r>
      <w:r w:rsidRPr="00DA0216">
        <w:rPr>
          <w:i/>
          <w:iCs/>
        </w:rPr>
        <w:t xml:space="preserve">M. truncatula </w:t>
      </w:r>
      <w:r w:rsidRPr="00DA0216">
        <w:t xml:space="preserve">and HM078 contigs. (A) Chromosomes of R108 aligned to the 9 largest contigs of HM078, and (B) chromosomes of A17 aligned to the 9 largest contigs of HM078. The alignment of the HM078 contigs to </w:t>
      </w:r>
      <w:r w:rsidRPr="00DA0216">
        <w:rPr>
          <w:i/>
          <w:iCs/>
        </w:rPr>
        <w:t xml:space="preserve">M. truncatula </w:t>
      </w:r>
      <w:r w:rsidRPr="00DA0216">
        <w:t xml:space="preserve">accessions R108 and A17 are largely similar, except for the chromosome 4-8 translocation in A17, which is not present in HM078 (circled). </w:t>
      </w:r>
    </w:p>
    <w:p w14:paraId="6E3FA735" w14:textId="635DA2D7" w:rsidR="002311E7" w:rsidRPr="00337CA5" w:rsidRDefault="002311E7" w:rsidP="002311E7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1A3CF10B" wp14:editId="11ABBE1B">
            <wp:extent cx="6253132" cy="4019107"/>
            <wp:effectExtent l="0" t="0" r="0" b="0"/>
            <wp:docPr id="650504912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04912" name="Picture 4" descr="A screenshot of a compu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308" cy="402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E9DE2" w14:textId="77777777" w:rsidR="002311E7" w:rsidRPr="00DA0216" w:rsidRDefault="002311E7" w:rsidP="002311E7">
      <w:pPr>
        <w:spacing w:line="480" w:lineRule="auto"/>
      </w:pPr>
      <w:r w:rsidRPr="002311E7">
        <w:rPr>
          <w:b/>
          <w:bCs/>
        </w:rPr>
        <w:t>Figure S2.</w:t>
      </w:r>
      <w:r w:rsidRPr="00337CA5">
        <w:t xml:space="preserve"> </w:t>
      </w:r>
      <w:r w:rsidRPr="00DA0216">
        <w:t xml:space="preserve">Anchoring of twenty-three </w:t>
      </w:r>
      <w:r w:rsidRPr="00DA0216">
        <w:rPr>
          <w:i/>
          <w:iCs/>
        </w:rPr>
        <w:t xml:space="preserve">MtHM078 </w:t>
      </w:r>
      <w:r w:rsidRPr="00DA0216">
        <w:t xml:space="preserve">primary contigs to the chromosomes of the </w:t>
      </w:r>
      <w:r w:rsidRPr="00DA0216">
        <w:rPr>
          <w:i/>
          <w:iCs/>
        </w:rPr>
        <w:t xml:space="preserve">MedtrR108_hic </w:t>
      </w:r>
      <w:r w:rsidRPr="00DA0216">
        <w:t>genome</w:t>
      </w:r>
      <w:r>
        <w:t xml:space="preserve">. </w:t>
      </w:r>
      <w:r w:rsidRPr="00DA0216">
        <w:t xml:space="preserve">Start sites of </w:t>
      </w:r>
      <w:r w:rsidRPr="00DA0216">
        <w:rPr>
          <w:i/>
          <w:iCs/>
        </w:rPr>
        <w:t xml:space="preserve">MtHM078 </w:t>
      </w:r>
      <w:r w:rsidRPr="00DA0216">
        <w:t>primary contigs are labelled in green.</w:t>
      </w:r>
    </w:p>
    <w:p w14:paraId="34FBA3B8" w14:textId="234141BF" w:rsidR="002311E7" w:rsidRDefault="002311E7" w:rsidP="002311E7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1983F410" wp14:editId="63753A3E">
            <wp:extent cx="6116282" cy="5577840"/>
            <wp:effectExtent l="0" t="0" r="5715" b="0"/>
            <wp:docPr id="1180171434" name="Picture 5" descr="A graph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71434" name="Picture 5" descr="A graph of a computer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483" cy="558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4A1A9" w14:textId="77777777" w:rsidR="002311E7" w:rsidRDefault="002311E7" w:rsidP="002311E7">
      <w:pPr>
        <w:spacing w:line="480" w:lineRule="auto"/>
      </w:pPr>
      <w:r w:rsidRPr="002311E7">
        <w:rPr>
          <w:b/>
          <w:bCs/>
        </w:rPr>
        <w:t>Figure S3.</w:t>
      </w:r>
      <w:r w:rsidRPr="00F52290">
        <w:t xml:space="preserve"> Gene density displayed across the </w:t>
      </w:r>
      <w:r w:rsidRPr="00F52290">
        <w:rPr>
          <w:i/>
          <w:iCs/>
        </w:rPr>
        <w:t xml:space="preserve">MtHM078 v1.0 </w:t>
      </w:r>
      <w:r w:rsidRPr="00F52290">
        <w:t xml:space="preserve">genome. Counts, on the Y-axis, are in genes per megabase (Mbp), which are displayed by bar plots. Dark blue regions indicate high gene density, while white regions indicate no genes are annotated. Multi-megabase gene-poor regions are located approximately in the center of each pseudo-chromosome in the </w:t>
      </w:r>
      <w:r w:rsidRPr="00F52290">
        <w:rPr>
          <w:i/>
          <w:iCs/>
        </w:rPr>
        <w:t xml:space="preserve">MtHM078 v1.0 </w:t>
      </w:r>
      <w:r w:rsidRPr="00F52290">
        <w:t xml:space="preserve">genome. </w:t>
      </w:r>
    </w:p>
    <w:p w14:paraId="767AA5BC" w14:textId="77777777" w:rsidR="002311E7" w:rsidRDefault="002311E7" w:rsidP="002311E7">
      <w:pPr>
        <w:spacing w:line="480" w:lineRule="auto"/>
      </w:pPr>
    </w:p>
    <w:p w14:paraId="0FF49E00" w14:textId="58BEEDDC" w:rsidR="002311E7" w:rsidRDefault="002311E7" w:rsidP="002311E7">
      <w:pPr>
        <w:spacing w:line="48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FB7E4C5" wp14:editId="7CB7A756">
            <wp:extent cx="6413206" cy="2207623"/>
            <wp:effectExtent l="0" t="0" r="635" b="2540"/>
            <wp:docPr id="1432317574" name="Picture 6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17574" name="Picture 6" descr="A close-up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607" cy="220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1D87C" w14:textId="77777777" w:rsidR="00BA5B9F" w:rsidRDefault="00BA5B9F" w:rsidP="002311E7">
      <w:pPr>
        <w:spacing w:line="480" w:lineRule="auto"/>
        <w:rPr>
          <w:b/>
          <w:bCs/>
        </w:rPr>
      </w:pPr>
    </w:p>
    <w:p w14:paraId="5A35193A" w14:textId="6E56B898" w:rsidR="002311E7" w:rsidRDefault="002311E7" w:rsidP="002311E7">
      <w:pPr>
        <w:spacing w:line="480" w:lineRule="auto"/>
      </w:pPr>
      <w:r w:rsidRPr="002311E7">
        <w:rPr>
          <w:b/>
          <w:bCs/>
        </w:rPr>
        <w:t>Figure S4.</w:t>
      </w:r>
      <w:r w:rsidRPr="00453F15">
        <w:t xml:space="preserve"> Transcription factor genes annotated in the </w:t>
      </w:r>
      <w:r w:rsidRPr="00453F15">
        <w:rPr>
          <w:i/>
          <w:iCs/>
        </w:rPr>
        <w:t>MtHM078 v1.0</w:t>
      </w:r>
      <w:r w:rsidRPr="00453F15">
        <w:t xml:space="preserve"> genome. A total of 1,232 transcription factors are visualized genome-wide from 10 of the most abundant families including AP2, B3-domain, bHLH, BZIP, C2H2, MADS-box, MYB, NAC, WRKY, and WD40. In QTL </w:t>
      </w:r>
      <w:r w:rsidRPr="00453F15">
        <w:rPr>
          <w:i/>
          <w:iCs/>
        </w:rPr>
        <w:t>rnpm1</w:t>
      </w:r>
      <w:r w:rsidRPr="00453F15">
        <w:t xml:space="preserve">, MYB, MADS-box, C2H2, and B3-domain transcription factors were identified. In QTL rnpm2, a C2H2 transcription factor gene was identified. QTL </w:t>
      </w:r>
      <w:r w:rsidRPr="00453F15">
        <w:rPr>
          <w:i/>
          <w:iCs/>
        </w:rPr>
        <w:t xml:space="preserve">rnpm1 </w:t>
      </w:r>
      <w:r w:rsidRPr="00453F15">
        <w:t xml:space="preserve">and </w:t>
      </w:r>
      <w:r w:rsidRPr="00453F15">
        <w:rPr>
          <w:i/>
          <w:iCs/>
        </w:rPr>
        <w:t xml:space="preserve">rnpm2 </w:t>
      </w:r>
      <w:r w:rsidRPr="00453F15">
        <w:t>are labelled in green boxes.</w:t>
      </w:r>
    </w:p>
    <w:p w14:paraId="0E180609" w14:textId="77777777" w:rsidR="00BA5B9F" w:rsidRDefault="00BA5B9F" w:rsidP="002311E7">
      <w:pPr>
        <w:spacing w:line="480" w:lineRule="auto"/>
      </w:pPr>
    </w:p>
    <w:p w14:paraId="4A84D802" w14:textId="77777777" w:rsidR="00BA5B9F" w:rsidRPr="00453F15" w:rsidRDefault="00BA5B9F" w:rsidP="002311E7">
      <w:pPr>
        <w:spacing w:line="480" w:lineRule="auto"/>
      </w:pPr>
    </w:p>
    <w:p w14:paraId="4215B08B" w14:textId="2D12928E" w:rsidR="002311E7" w:rsidRDefault="002311E7" w:rsidP="002311E7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3C8D213C" wp14:editId="5182A0C1">
            <wp:extent cx="5943600" cy="3745230"/>
            <wp:effectExtent l="0" t="0" r="0" b="1270"/>
            <wp:docPr id="379450696" name="Picture 7" descr="A diagram of a dna seque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50696" name="Picture 7" descr="A diagram of a dna sequenc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12B49" w14:textId="63F43CC5" w:rsidR="00C304E1" w:rsidRPr="00BA5B9F" w:rsidRDefault="002311E7" w:rsidP="00BA5B9F">
      <w:pPr>
        <w:spacing w:line="480" w:lineRule="auto"/>
      </w:pPr>
      <w:r w:rsidRPr="002311E7">
        <w:rPr>
          <w:b/>
          <w:bCs/>
        </w:rPr>
        <w:t>Figure S5.</w:t>
      </w:r>
      <w:r w:rsidRPr="004F7B4B">
        <w:t xml:space="preserve"> PCR amplification </w:t>
      </w:r>
      <w:r>
        <w:t xml:space="preserve">of </w:t>
      </w:r>
      <w:r w:rsidRPr="004F7B4B">
        <w:t xml:space="preserve">the </w:t>
      </w:r>
      <w:r w:rsidRPr="004F7B4B">
        <w:rPr>
          <w:i/>
          <w:iCs/>
        </w:rPr>
        <w:t>PHO2A</w:t>
      </w:r>
      <w:r w:rsidRPr="004F7B4B">
        <w:t xml:space="preserve"> locus </w:t>
      </w:r>
      <w:r>
        <w:t>showing</w:t>
      </w:r>
      <w:r w:rsidRPr="004F7B4B">
        <w:t xml:space="preserve"> </w:t>
      </w:r>
      <w:r>
        <w:t>LTR-RT</w:t>
      </w:r>
      <w:r w:rsidRPr="004F7B4B">
        <w:t xml:space="preserve"> insertion </w:t>
      </w:r>
      <w:r>
        <w:t xml:space="preserve">site in </w:t>
      </w:r>
      <w:r w:rsidRPr="004F7B4B">
        <w:t xml:space="preserve">HM078. (A) Structure of the </w:t>
      </w:r>
      <w:r w:rsidRPr="004F7B4B">
        <w:rPr>
          <w:i/>
          <w:iCs/>
        </w:rPr>
        <w:t>PHO2A</w:t>
      </w:r>
      <w:r w:rsidRPr="004F7B4B">
        <w:t xml:space="preserve"> gene and primer locations. A light blue arrow indicates the 6.4 kb</w:t>
      </w:r>
      <w:r>
        <w:t>p</w:t>
      </w:r>
      <w:r w:rsidRPr="004F7B4B">
        <w:t xml:space="preserve"> </w:t>
      </w:r>
      <w:r w:rsidRPr="004F7B4B">
        <w:rPr>
          <w:i/>
          <w:iCs/>
        </w:rPr>
        <w:t>PHO2A</w:t>
      </w:r>
      <w:r w:rsidRPr="004F7B4B">
        <w:t xml:space="preserve"> gene, while dark blue arrows indicate approximate CDS locations, and the green box denotes the ubiquitin-conjugating enzyme E2 catalytic domain. (B) Structure and primer locations for an insertion of a Ty3/gypsy</w:t>
      </w:r>
      <w:r w:rsidRPr="004F7B4B">
        <w:rPr>
          <w:i/>
          <w:iCs/>
        </w:rPr>
        <w:t xml:space="preserve"> </w:t>
      </w:r>
      <w:r w:rsidRPr="004F7B4B">
        <w:t xml:space="preserve">LTR-RT-like repeat sequence at the </w:t>
      </w:r>
      <w:r w:rsidRPr="004F7B4B">
        <w:rPr>
          <w:i/>
          <w:iCs/>
        </w:rPr>
        <w:t>PHO2A</w:t>
      </w:r>
      <w:r w:rsidRPr="004F7B4B">
        <w:t xml:space="preserve"> gene locus in HM078. A light orange box indicates the 10.85 kb</w:t>
      </w:r>
      <w:r>
        <w:t>p</w:t>
      </w:r>
      <w:r w:rsidRPr="004F7B4B">
        <w:t xml:space="preserve"> LTR retrotransposon, while two dark orange arrows indicate putative Ribonuclease H domains. The LTR-RT-like repeat was inserted in the second CDS of </w:t>
      </w:r>
      <w:r w:rsidRPr="004F7B4B">
        <w:rPr>
          <w:i/>
          <w:iCs/>
        </w:rPr>
        <w:t>PHO2A</w:t>
      </w:r>
      <w:r w:rsidRPr="004F7B4B">
        <w:t xml:space="preserve">, indicated by the gray lines. </w:t>
      </w:r>
      <w:r>
        <w:t>(</w:t>
      </w:r>
      <w:r w:rsidRPr="004F7B4B">
        <w:t>C</w:t>
      </w:r>
      <w:r>
        <w:t>)</w:t>
      </w:r>
      <w:r w:rsidRPr="004F7B4B">
        <w:t xml:space="preserve"> PCR amplification of gDNA showing the presence of the </w:t>
      </w:r>
      <w:r w:rsidRPr="004F7B4B">
        <w:rPr>
          <w:i/>
          <w:iCs/>
        </w:rPr>
        <w:t>PHO2A</w:t>
      </w:r>
      <w:r w:rsidRPr="004F7B4B">
        <w:t xml:space="preserve"> locus in A17, R108, HM002, HM050 and absence of the of the </w:t>
      </w:r>
      <w:r w:rsidRPr="004F7B4B">
        <w:rPr>
          <w:i/>
          <w:iCs/>
        </w:rPr>
        <w:t>PHO2A</w:t>
      </w:r>
      <w:r w:rsidRPr="004F7B4B">
        <w:t xml:space="preserve"> locus in HM078, as well as the presence of the LTR-RT-like insertion in HM078 at the </w:t>
      </w:r>
      <w:r w:rsidRPr="004F7B4B">
        <w:rPr>
          <w:i/>
          <w:iCs/>
        </w:rPr>
        <w:t>PHO2A</w:t>
      </w:r>
      <w:r w:rsidRPr="004F7B4B">
        <w:t xml:space="preserve"> locus. </w:t>
      </w:r>
    </w:p>
    <w:sectPr w:rsidR="00C304E1" w:rsidRPr="00BA5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65"/>
    <w:rsid w:val="000D5173"/>
    <w:rsid w:val="002311E7"/>
    <w:rsid w:val="003B4AF6"/>
    <w:rsid w:val="008737B6"/>
    <w:rsid w:val="00BA5B9F"/>
    <w:rsid w:val="00C304E1"/>
    <w:rsid w:val="00F3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133E1"/>
  <w15:chartTrackingRefBased/>
  <w15:docId w15:val="{7F7F2D37-2EA4-8041-B677-556DF7E7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R Botkin</dc:creator>
  <cp:keywords/>
  <dc:description/>
  <cp:lastModifiedBy>Jacob R Botkin</cp:lastModifiedBy>
  <cp:revision>5</cp:revision>
  <dcterms:created xsi:type="dcterms:W3CDTF">2023-12-30T17:25:00Z</dcterms:created>
  <dcterms:modified xsi:type="dcterms:W3CDTF">2023-12-30T18:02:00Z</dcterms:modified>
</cp:coreProperties>
</file>