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36E61" w14:textId="77777777" w:rsidR="00661BDF" w:rsidRDefault="00661BDF" w:rsidP="00661BDF">
      <w:pPr>
        <w:spacing w:before="280" w:after="280"/>
        <w:jc w:val="both"/>
        <w:rPr>
          <w:rFonts w:ascii="Arial" w:eastAsia="Arial" w:hAnsi="Arial" w:cs="Arial"/>
          <w:color w:val="000000"/>
          <w:highlight w:val="white"/>
        </w:rPr>
      </w:pPr>
      <w:r>
        <w:rPr>
          <w:rFonts w:ascii="Arial" w:eastAsia="Arial" w:hAnsi="Arial" w:cs="Arial"/>
          <w:noProof/>
          <w:color w:val="000000"/>
          <w:highlight w:val="white"/>
          <w:lang w:val="de-DE" w:eastAsia="de-DE"/>
        </w:rPr>
        <w:drawing>
          <wp:inline distT="0" distB="0" distL="0" distR="0" wp14:anchorId="61A46420" wp14:editId="7AA20C0B">
            <wp:extent cx="5486400" cy="5016500"/>
            <wp:effectExtent l="0" t="0" r="0" b="0"/>
            <wp:docPr id="73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0E5A21" w14:textId="77777777" w:rsidR="00661BDF" w:rsidRDefault="00661BDF" w:rsidP="00661BDF">
      <w:pPr>
        <w:spacing w:before="280" w:after="280"/>
        <w:jc w:val="both"/>
        <w:rPr>
          <w:rFonts w:ascii="Arial" w:eastAsia="Arial" w:hAnsi="Arial" w:cs="Arial"/>
          <w:color w:val="000000"/>
          <w:sz w:val="20"/>
          <w:szCs w:val="20"/>
          <w:highlight w:val="white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Supplementary Figure 1: Isolation and characterization of </w:t>
      </w:r>
      <w:r w:rsidRPr="00D40CBB">
        <w:rPr>
          <w:rFonts w:ascii="Arial" w:eastAsia="Arial" w:hAnsi="Arial" w:cs="Arial"/>
          <w:b/>
          <w:i/>
          <w:iCs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mutants.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color w:val="000000"/>
          <w:sz w:val="20"/>
          <w:szCs w:val="20"/>
        </w:rPr>
        <w:t>A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Schematic representation of the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locus shows the intron/exon structure, the position of each T-DNA insertion is depicted by an inverted triangle and arrows show the positions of primers used for RT-PCR and qRT-PCR. </w:t>
      </w:r>
      <w:r w:rsidRPr="00860415">
        <w:rPr>
          <w:rFonts w:ascii="Arial" w:eastAsia="Arial" w:hAnsi="Arial" w:cs="Arial"/>
          <w:b/>
          <w:bCs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Morphological phenotype of WT and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mutant plants. </w:t>
      </w:r>
      <w:r w:rsidRPr="00DF4D42">
        <w:rPr>
          <w:rFonts w:ascii="Arial" w:eastAsia="Arial" w:hAnsi="Arial" w:cs="Arial"/>
          <w:i/>
          <w:iCs/>
          <w:color w:val="000000"/>
          <w:sz w:val="20"/>
          <w:szCs w:val="20"/>
        </w:rPr>
        <w:t>A. thaliana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plants were grown in soil under long day condition (16h/8h) for 4 weeks (upper panel) and 6 weeks (lower panel). </w:t>
      </w:r>
      <w:r>
        <w:rPr>
          <w:rFonts w:ascii="Arial" w:eastAsia="Arial" w:hAnsi="Arial" w:cs="Arial"/>
          <w:b/>
          <w:color w:val="000000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Genotyping of WT and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mutants by gene-specific primers (upper gel panel) and T-DNA-specific primers (lower gel panel). </w:t>
      </w:r>
      <w:r>
        <w:rPr>
          <w:rFonts w:ascii="Arial" w:eastAsia="Arial" w:hAnsi="Arial" w:cs="Arial"/>
          <w:b/>
          <w:color w:val="000000"/>
          <w:sz w:val="20"/>
          <w:szCs w:val="20"/>
        </w:rPr>
        <w:t>D&amp;E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The transcript levels of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in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loss-of-function mutants assayed by semi-quantitative RT-PCR and quantitative real-time PCR. Primers for </w:t>
      </w:r>
      <w:r>
        <w:rPr>
          <w:rFonts w:ascii="Arial" w:eastAsia="Arial" w:hAnsi="Arial" w:cs="Arial"/>
          <w:i/>
          <w:color w:val="000000"/>
          <w:sz w:val="20"/>
          <w:szCs w:val="20"/>
        </w:rPr>
        <w:t>UBQ10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and A</w:t>
      </w:r>
      <w:r>
        <w:rPr>
          <w:rFonts w:ascii="Arial" w:eastAsia="Arial" w:hAnsi="Arial" w:cs="Arial"/>
          <w:i/>
          <w:color w:val="000000"/>
          <w:sz w:val="20"/>
          <w:szCs w:val="20"/>
        </w:rPr>
        <w:t>CTIN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expression levels were used for normalization.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Bars represent means ± SE of three independent biological replicates and each replicate is composed of three technical replicates. Asterisks indicate a significant difference to WT under the same conditions based on a two-tailed Student T-test. ***</w:t>
      </w:r>
      <w:r>
        <w:rPr>
          <w:rFonts w:ascii="Arial" w:eastAsia="Arial" w:hAnsi="Arial" w:cs="Arial"/>
          <w:i/>
          <w:color w:val="000000"/>
          <w:sz w:val="20"/>
          <w:szCs w:val="20"/>
        </w:rPr>
        <w:t>P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 value &lt;0.001. </w:t>
      </w:r>
      <w:r>
        <w:rPr>
          <w:rFonts w:ascii="Arial" w:eastAsia="Arial" w:hAnsi="Arial" w:cs="Arial"/>
          <w:b/>
          <w:color w:val="000000"/>
          <w:sz w:val="20"/>
          <w:szCs w:val="20"/>
          <w:highlight w:val="white"/>
        </w:rPr>
        <w:t>F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. GUS staining patterns in tissues of transgenic </w:t>
      </w:r>
      <w:r w:rsidRPr="00DF4D42">
        <w:rPr>
          <w:rFonts w:ascii="Arial" w:eastAsia="Arial" w:hAnsi="Arial" w:cs="Arial"/>
          <w:i/>
          <w:iCs/>
          <w:color w:val="000000"/>
          <w:sz w:val="20"/>
          <w:szCs w:val="20"/>
        </w:rPr>
        <w:t>A. thaliana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plants harboring the </w:t>
      </w:r>
      <w:r>
        <w:rPr>
          <w:rFonts w:ascii="Arial" w:eastAsia="Arial" w:hAnsi="Arial" w:cs="Arial"/>
          <w:i/>
          <w:color w:val="000000"/>
          <w:sz w:val="20"/>
          <w:szCs w:val="20"/>
          <w:highlight w:val="white"/>
        </w:rPr>
        <w:t>pDEK2::GUS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transgene. GUS staining is shown in the following tissues: 5-day-old seedling (i), shoot (ii), apical meristem of 10-day-old seedlings shoot (ii-iv), root tip (v) and lateral root primordium (vi-vii). Scale bars 50 μm</w:t>
      </w:r>
      <w:r>
        <w:rPr>
          <w:rFonts w:ascii="Arial" w:eastAsia="Arial" w:hAnsi="Arial" w:cs="Arial"/>
          <w:b/>
          <w:color w:val="000000"/>
          <w:sz w:val="20"/>
          <w:szCs w:val="20"/>
          <w:highlight w:val="white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(i-ii), 0.5 mm (iii-vii).</w:t>
      </w:r>
    </w:p>
    <w:p w14:paraId="5510BDB1" w14:textId="77777777" w:rsidR="00661BDF" w:rsidRDefault="00661BDF" w:rsidP="00661BDF">
      <w:pPr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noProof/>
          <w:color w:val="000000"/>
          <w:lang w:val="de-DE" w:eastAsia="de-DE"/>
        </w:rPr>
        <w:lastRenderedPageBreak/>
        <w:drawing>
          <wp:inline distT="0" distB="0" distL="0" distR="0" wp14:anchorId="6F8AC16A" wp14:editId="392AF705">
            <wp:extent cx="5829300" cy="1778000"/>
            <wp:effectExtent l="0" t="0" r="0" b="0"/>
            <wp:docPr id="78" name="image1.jpg" descr="A collage of images of plan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.jpg" descr="A collage of images of plants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1778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4A0850" w14:textId="77777777" w:rsidR="00661BDF" w:rsidRDefault="00661BDF" w:rsidP="00661BDF">
      <w:pPr>
        <w:rPr>
          <w:rFonts w:ascii="Arial" w:eastAsia="Arial" w:hAnsi="Arial" w:cs="Arial"/>
          <w:b/>
          <w:color w:val="000000"/>
        </w:rPr>
      </w:pPr>
    </w:p>
    <w:p w14:paraId="792DDD2B" w14:textId="77777777" w:rsidR="00661BDF" w:rsidRDefault="00661BDF" w:rsidP="00661BDF">
      <w:pP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Supplementary Figure 2: Generation of YFP tagged </w:t>
      </w:r>
      <w:r>
        <w:rPr>
          <w:rFonts w:ascii="Arial" w:eastAsia="Arial" w:hAnsi="Arial" w:cs="Arial"/>
          <w:b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lines. A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Picture of 4 weeks-old WT,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dek2-1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,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dek2-2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and two complementation lines C22 and C23 expressing </w:t>
      </w:r>
      <w:r>
        <w:rPr>
          <w:rFonts w:ascii="Arial" w:eastAsia="Arial" w:hAnsi="Arial" w:cs="Arial"/>
          <w:i/>
          <w:color w:val="000000"/>
          <w:sz w:val="20"/>
          <w:szCs w:val="20"/>
        </w:rPr>
        <w:t>pDEK2:DEK2-YFP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in the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dek2-1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background. </w:t>
      </w:r>
      <w:r>
        <w:rPr>
          <w:rFonts w:ascii="Arial" w:eastAsia="Arial" w:hAnsi="Arial" w:cs="Arial"/>
          <w:b/>
          <w:color w:val="000000"/>
          <w:sz w:val="20"/>
          <w:szCs w:val="20"/>
        </w:rPr>
        <w:t>B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. Confocal images of the root and apical meristem of 5 days old seedlings showing the expression of DEK2-YFP in the nuclei. </w:t>
      </w:r>
    </w:p>
    <w:p w14:paraId="6F4EDBF4" w14:textId="77777777" w:rsidR="00755780" w:rsidRDefault="00755780"/>
    <w:p w14:paraId="495B1C27" w14:textId="77777777" w:rsidR="00661BDF" w:rsidRDefault="00661BDF" w:rsidP="00661BDF">
      <w:pPr>
        <w:jc w:val="center"/>
        <w:rPr>
          <w:rFonts w:ascii="Arial" w:eastAsia="Arial" w:hAnsi="Arial" w:cs="Arial"/>
          <w:color w:val="000000"/>
          <w:highlight w:val="yellow"/>
        </w:rPr>
      </w:pPr>
      <w:r>
        <w:rPr>
          <w:rFonts w:ascii="Arial" w:eastAsia="Arial" w:hAnsi="Arial" w:cs="Arial"/>
          <w:noProof/>
          <w:color w:val="000000"/>
          <w:lang w:val="de-DE" w:eastAsia="de-DE"/>
        </w:rPr>
        <w:drawing>
          <wp:inline distT="0" distB="0" distL="0" distR="0" wp14:anchorId="6F70ADC3" wp14:editId="50C70A40">
            <wp:extent cx="2806700" cy="2921000"/>
            <wp:effectExtent l="0" t="0" r="0" b="0"/>
            <wp:docPr id="79" name="image5.jpg" descr="A close-up of a test resul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.jpg" descr="A close-up of a test result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6700" cy="292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53CF65" w14:textId="77777777" w:rsidR="00661BDF" w:rsidRDefault="00661BDF" w:rsidP="00661BDF">
      <w:pPr>
        <w:jc w:val="both"/>
        <w:rPr>
          <w:rFonts w:ascii="Arial" w:eastAsia="Arial" w:hAnsi="Arial" w:cs="Arial"/>
          <w:color w:val="000000"/>
          <w:highlight w:val="yellow"/>
        </w:rPr>
      </w:pPr>
    </w:p>
    <w:p w14:paraId="75483D9D" w14:textId="77777777" w:rsidR="00661BDF" w:rsidRDefault="00661BDF" w:rsidP="00661BDF">
      <w:pPr>
        <w:jc w:val="both"/>
        <w:rPr>
          <w:rFonts w:ascii="Arial" w:eastAsia="Arial" w:hAnsi="Arial" w:cs="Arial"/>
          <w:color w:val="000000"/>
          <w:highlight w:val="yellow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Supplementary Figure 3: Electrophoretic mobility shift assay (EMSA). </w:t>
      </w:r>
      <w:r>
        <w:rPr>
          <w:rFonts w:ascii="Arial" w:eastAsia="Arial" w:hAnsi="Arial" w:cs="Arial"/>
          <w:color w:val="000000"/>
          <w:sz w:val="20"/>
          <w:szCs w:val="20"/>
        </w:rPr>
        <w:t>EMSA was carried out with the kit controls (left panel) and with biotin labeled TCP binding sequence (GTGGGCCC) and His-MBP-DEK2 (right panel). Unlabeled TCP binding sequence was used as the competitor.</w:t>
      </w:r>
    </w:p>
    <w:p w14:paraId="56459553" w14:textId="77777777" w:rsidR="00661BDF" w:rsidRDefault="00661BDF"/>
    <w:p w14:paraId="10FD00B7" w14:textId="77777777" w:rsidR="00661BDF" w:rsidRDefault="00661BDF" w:rsidP="00661BDF">
      <w:pP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noProof/>
          <w:color w:val="000000"/>
          <w14:ligatures w14:val="standardContextual"/>
        </w:rPr>
        <w:lastRenderedPageBreak/>
        <w:drawing>
          <wp:inline distT="0" distB="0" distL="0" distR="0" wp14:anchorId="36B59397" wp14:editId="6EEBD015">
            <wp:extent cx="5943600" cy="2737485"/>
            <wp:effectExtent l="0" t="0" r="0" b="5715"/>
            <wp:docPr id="1529182649" name="Picture 4" descr="A close-up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182649" name="Picture 4" descr="A close-up of a scree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12008" w14:textId="77777777" w:rsidR="00661BDF" w:rsidRDefault="00661BDF" w:rsidP="00661BDF">
      <w:pPr>
        <w:jc w:val="both"/>
        <w:rPr>
          <w:rFonts w:ascii="Arial" w:eastAsia="Arial" w:hAnsi="Arial" w:cs="Arial"/>
          <w:b/>
          <w:color w:val="000000"/>
        </w:rPr>
      </w:pPr>
      <w:bookmarkStart w:id="1" w:name="_heading=h.tyjcwt" w:colFirst="0" w:colLast="0"/>
      <w:bookmarkEnd w:id="1"/>
    </w:p>
    <w:p w14:paraId="0D06AB8D" w14:textId="77777777" w:rsidR="00661BDF" w:rsidRDefault="00661BDF" w:rsidP="00661BDF">
      <w:pPr>
        <w:jc w:val="both"/>
        <w:rPr>
          <w:rFonts w:ascii="Arial" w:eastAsia="Arial" w:hAnsi="Arial" w:cs="Arial"/>
          <w:b/>
          <w:color w:val="000000"/>
        </w:rPr>
      </w:pPr>
    </w:p>
    <w:p w14:paraId="53EFEF20" w14:textId="77777777" w:rsidR="00661BDF" w:rsidRDefault="00661BDF" w:rsidP="00661BDF">
      <w:pP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Supplementary Figure 4: Similarity between </w:t>
      </w:r>
      <w:r w:rsidRPr="005321EF">
        <w:rPr>
          <w:rFonts w:ascii="Arial" w:eastAsia="Arial" w:hAnsi="Arial" w:cs="Arial"/>
          <w:b/>
          <w:i/>
          <w:iCs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 transcriptome and published transcriptome data using Genevestigator.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The 200 most up- and down-regulated genes in </w:t>
      </w:r>
      <w:r>
        <w:rPr>
          <w:rFonts w:ascii="Arial" w:eastAsia="Arial" w:hAnsi="Arial" w:cs="Arial"/>
          <w:i/>
          <w:color w:val="000000"/>
          <w:sz w:val="20"/>
          <w:szCs w:val="20"/>
        </w:rPr>
        <w:t>dek2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were used as a signature to search for experiments with similar transcriptome changes. The relative similarity scores between the signature input and a particular experiment is 1.06. </w:t>
      </w:r>
    </w:p>
    <w:p w14:paraId="1B10B1C1" w14:textId="77777777" w:rsidR="00661BDF" w:rsidRDefault="00661BDF"/>
    <w:sectPr w:rsidR="00661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BDF"/>
    <w:rsid w:val="00661BD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E85C"/>
  <w15:chartTrackingRefBased/>
  <w15:docId w15:val="{71C88294-6864-4127-A17A-6EA612F17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1BDF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355</Words>
  <Characters>2024</Characters>
  <Application>Microsoft Office Word</Application>
  <DocSecurity>0</DocSecurity>
  <Lines>16</Lines>
  <Paragraphs>4</Paragraphs>
  <ScaleCrop>false</ScaleCrop>
  <Company>Springer Nature</Company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2024-03-05T04:52:00Z</dcterms:created>
  <dcterms:modified xsi:type="dcterms:W3CDTF">2024-03-05T04:53:00Z</dcterms:modified>
</cp:coreProperties>
</file>