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3A7F3" w14:textId="0C707F4E" w:rsidR="00AC20E8" w:rsidRDefault="00AC20E8" w:rsidP="00AC20E8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Supplementary figures</w:t>
      </w:r>
    </w:p>
    <w:p w14:paraId="3B200E17" w14:textId="78D0F359" w:rsidR="00490075" w:rsidRDefault="00490075">
      <w:r>
        <w:rPr>
          <w:noProof/>
        </w:rPr>
        <w:drawing>
          <wp:inline distT="0" distB="0" distL="0" distR="0" wp14:anchorId="031497C5" wp14:editId="6BD190CE">
            <wp:extent cx="5943600" cy="2153285"/>
            <wp:effectExtent l="0" t="0" r="0" b="0"/>
            <wp:docPr id="17149792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5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9798E" w14:textId="77777777" w:rsidR="00490075" w:rsidRDefault="00490075"/>
    <w:p w14:paraId="2988322A" w14:textId="109064B3" w:rsidR="00490075" w:rsidRDefault="00490075" w:rsidP="007608F8">
      <w:pPr>
        <w:spacing w:after="0" w:line="48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Fig. S1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P</w:t>
      </w:r>
      <w:r w:rsidRPr="004A3B1A">
        <w:rPr>
          <w:rFonts w:ascii="Times New Roman" w:hAnsi="Times New Roman" w:cs="Times New Roman"/>
          <w:kern w:val="0"/>
          <w:sz w:val="24"/>
          <w:szCs w:val="24"/>
        </w:rPr>
        <w:t>opulation str</w:t>
      </w:r>
      <w:r>
        <w:rPr>
          <w:rFonts w:ascii="Times New Roman" w:hAnsi="Times New Roman" w:cs="Times New Roman"/>
          <w:kern w:val="0"/>
          <w:sz w:val="24"/>
          <w:szCs w:val="24"/>
        </w:rPr>
        <w:t>atification</w:t>
      </w:r>
      <w:r w:rsidRPr="004A3B1A">
        <w:rPr>
          <w:rFonts w:ascii="Times New Roman" w:hAnsi="Times New Roman" w:cs="Times New Roman"/>
          <w:kern w:val="0"/>
          <w:sz w:val="24"/>
          <w:szCs w:val="24"/>
        </w:rPr>
        <w:t xml:space="preserve"> and </w:t>
      </w:r>
      <w:r>
        <w:rPr>
          <w:rFonts w:ascii="Times New Roman" w:hAnsi="Times New Roman" w:cs="Times New Roman"/>
          <w:kern w:val="0"/>
          <w:sz w:val="24"/>
          <w:szCs w:val="24"/>
        </w:rPr>
        <w:t>LD analysis</w:t>
      </w:r>
      <w:r w:rsidRPr="004A3B1A">
        <w:rPr>
          <w:rFonts w:ascii="Times New Roman" w:hAnsi="Times New Roman" w:cs="Times New Roman"/>
          <w:kern w:val="0"/>
          <w:sz w:val="24"/>
          <w:szCs w:val="24"/>
        </w:rPr>
        <w:t xml:space="preserve"> of the </w:t>
      </w:r>
      <w:r>
        <w:rPr>
          <w:rFonts w:ascii="Times New Roman" w:hAnsi="Times New Roman" w:cs="Times New Roman"/>
          <w:kern w:val="0"/>
          <w:sz w:val="24"/>
          <w:szCs w:val="24"/>
        </w:rPr>
        <w:t>198 oil palm individuals.</w:t>
      </w:r>
    </w:p>
    <w:p w14:paraId="68F942CE" w14:textId="790CC36D" w:rsidR="00490075" w:rsidRPr="00FA2D10" w:rsidRDefault="00490075" w:rsidP="007608F8">
      <w:pPr>
        <w:spacing w:after="0" w:line="480" w:lineRule="auto"/>
        <w:jc w:val="both"/>
      </w:pPr>
      <w:r w:rsidRPr="008377B5">
        <w:rPr>
          <w:rFonts w:ascii="Times New Roman" w:hAnsi="Times New Roman" w:cs="Times New Roman"/>
          <w:b/>
          <w:bCs/>
          <w:kern w:val="0"/>
          <w:sz w:val="24"/>
          <w:szCs w:val="24"/>
        </w:rPr>
        <w:t>(</w:t>
      </w:r>
      <w:r w:rsidR="007608F8"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 w:rsidRPr="008377B5">
        <w:rPr>
          <w:rFonts w:ascii="Times New Roman" w:hAnsi="Times New Roman" w:cs="Times New Roman"/>
          <w:b/>
          <w:bCs/>
          <w:kern w:val="0"/>
          <w:sz w:val="24"/>
          <w:szCs w:val="24"/>
        </w:rPr>
        <w:t>)</w:t>
      </w:r>
      <w:r w:rsidRPr="00437DB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37DB3">
        <w:rPr>
          <w:rFonts w:ascii="Times New Roman" w:eastAsia="SimSun" w:hAnsi="Times New Roman" w:cs="Times New Roman"/>
          <w:kern w:val="0"/>
          <w:sz w:val="24"/>
          <w:szCs w:val="24"/>
          <w:lang w:eastAsia="en-US"/>
        </w:rPr>
        <w:t>Dynamics of population structure under different K (K = 2-9) values.</w:t>
      </w:r>
      <w:r w:rsidRPr="00437DB3">
        <w:t xml:space="preserve"> </w:t>
      </w:r>
      <w:r w:rsidRPr="008377B5">
        <w:rPr>
          <w:rFonts w:ascii="Times New Roman" w:hAnsi="Times New Roman" w:cs="Times New Roman"/>
          <w:b/>
          <w:bCs/>
          <w:kern w:val="0"/>
          <w:sz w:val="24"/>
          <w:szCs w:val="24"/>
        </w:rPr>
        <w:t>(</w:t>
      </w:r>
      <w:r w:rsidR="007608F8">
        <w:rPr>
          <w:rFonts w:ascii="Times New Roman" w:hAnsi="Times New Roman" w:cs="Times New Roman"/>
          <w:b/>
          <w:bCs/>
          <w:kern w:val="0"/>
          <w:sz w:val="24"/>
          <w:szCs w:val="24"/>
        </w:rPr>
        <w:t>b</w:t>
      </w:r>
      <w:r w:rsidRPr="008377B5">
        <w:rPr>
          <w:rFonts w:ascii="Times New Roman" w:hAnsi="Times New Roman" w:cs="Times New Roman"/>
          <w:b/>
          <w:bCs/>
          <w:kern w:val="0"/>
          <w:sz w:val="24"/>
          <w:szCs w:val="24"/>
        </w:rPr>
        <w:t>)</w:t>
      </w:r>
      <w:r w:rsidRPr="00437DB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37DB3">
        <w:rPr>
          <w:rFonts w:asciiTheme="majorBidi" w:hAnsiTheme="majorBidi" w:cstheme="majorBidi"/>
          <w:sz w:val="24"/>
          <w:szCs w:val="24"/>
        </w:rPr>
        <w:t xml:space="preserve">The CV error computed by Admixture. </w:t>
      </w:r>
      <w:r w:rsidRPr="008377B5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7608F8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8377B5"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437DB3">
        <w:rPr>
          <w:rFonts w:asciiTheme="majorBidi" w:hAnsiTheme="majorBidi" w:cstheme="majorBidi"/>
          <w:sz w:val="24"/>
          <w:szCs w:val="24"/>
        </w:rPr>
        <w:t xml:space="preserve"> Phylogenetic tree. </w:t>
      </w:r>
      <w:r w:rsidRPr="008377B5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7608F8">
        <w:rPr>
          <w:rFonts w:asciiTheme="majorBidi" w:hAnsiTheme="majorBidi" w:cstheme="majorBidi"/>
          <w:b/>
          <w:bCs/>
          <w:sz w:val="24"/>
          <w:szCs w:val="24"/>
        </w:rPr>
        <w:t>d</w:t>
      </w:r>
      <w:r w:rsidRPr="008377B5"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437DB3">
        <w:rPr>
          <w:rFonts w:asciiTheme="majorBidi" w:hAnsiTheme="majorBidi" w:cstheme="majorBidi"/>
          <w:sz w:val="24"/>
          <w:szCs w:val="24"/>
        </w:rPr>
        <w:t xml:space="preserve"> Kinship analysis. </w:t>
      </w:r>
      <w:r w:rsidRPr="008377B5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7608F8">
        <w:rPr>
          <w:rFonts w:asciiTheme="majorBidi" w:hAnsiTheme="majorBidi" w:cstheme="majorBidi"/>
          <w:b/>
          <w:bCs/>
          <w:sz w:val="24"/>
          <w:szCs w:val="24"/>
        </w:rPr>
        <w:t>e</w:t>
      </w:r>
      <w:r w:rsidRPr="008377B5"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437DB3">
        <w:rPr>
          <w:rFonts w:asciiTheme="majorBidi" w:hAnsiTheme="majorBidi" w:cstheme="majorBidi"/>
          <w:sz w:val="24"/>
          <w:szCs w:val="24"/>
        </w:rPr>
        <w:t xml:space="preserve"> PCA analysis</w:t>
      </w:r>
      <w:r w:rsidRPr="00A676C7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377B5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7608F8">
        <w:rPr>
          <w:rFonts w:asciiTheme="majorBidi" w:hAnsiTheme="majorBidi" w:cstheme="majorBidi"/>
          <w:b/>
          <w:bCs/>
          <w:sz w:val="24"/>
          <w:szCs w:val="24"/>
        </w:rPr>
        <w:t>f</w:t>
      </w:r>
      <w:r w:rsidRPr="008377B5">
        <w:rPr>
          <w:rFonts w:asciiTheme="majorBidi" w:hAnsiTheme="majorBidi" w:cstheme="majorBidi"/>
          <w:b/>
          <w:bCs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 xml:space="preserve"> LD decay </w:t>
      </w:r>
      <w:r w:rsidRPr="006E3D43">
        <w:rPr>
          <w:rFonts w:ascii="Times New Roman" w:hAnsi="Times New Roman" w:cs="Times New Roman"/>
          <w:kern w:val="0"/>
          <w:sz w:val="24"/>
          <w:szCs w:val="24"/>
        </w:rPr>
        <w:t>of the population.</w:t>
      </w:r>
    </w:p>
    <w:p w14:paraId="3D84D8F7" w14:textId="77777777" w:rsidR="00490075" w:rsidRDefault="00490075" w:rsidP="00490075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4018ABFF" w14:textId="77777777" w:rsidR="00490075" w:rsidRDefault="00490075"/>
    <w:p w14:paraId="354C6B38" w14:textId="5D091287" w:rsidR="00BA3156" w:rsidRDefault="00490075">
      <w:r>
        <w:rPr>
          <w:noProof/>
        </w:rPr>
        <w:lastRenderedPageBreak/>
        <w:drawing>
          <wp:inline distT="0" distB="0" distL="0" distR="0" wp14:anchorId="6FB9DA0B" wp14:editId="3CDFABE0">
            <wp:extent cx="4285615" cy="5918200"/>
            <wp:effectExtent l="0" t="0" r="635" b="6350"/>
            <wp:docPr id="19669028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591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24972" w14:textId="1C30F74E" w:rsidR="00490075" w:rsidRPr="0005729D" w:rsidRDefault="00490075" w:rsidP="00B11C57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Fig. S2 </w:t>
      </w:r>
      <w:r w:rsidRPr="0005729D">
        <w:rPr>
          <w:rFonts w:asciiTheme="majorBidi" w:hAnsiTheme="majorBidi" w:cstheme="majorBidi"/>
          <w:color w:val="000000" w:themeColor="text1"/>
          <w:sz w:val="24"/>
          <w:szCs w:val="24"/>
        </w:rPr>
        <w:t>Quantile-quantile</w:t>
      </w:r>
      <w:r w:rsidRPr="0079218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(</w:t>
      </w:r>
      <w:r w:rsidRPr="00792187">
        <w:rPr>
          <w:rFonts w:ascii="Times New Roman" w:hAnsi="Times New Roman" w:cs="Times New Roman"/>
          <w:kern w:val="0"/>
          <w:sz w:val="24"/>
          <w:szCs w:val="24"/>
        </w:rPr>
        <w:t>QQ</w:t>
      </w:r>
      <w:r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792187">
        <w:rPr>
          <w:rFonts w:ascii="Times New Roman" w:hAnsi="Times New Roman" w:cs="Times New Roman"/>
          <w:kern w:val="0"/>
          <w:sz w:val="24"/>
          <w:szCs w:val="24"/>
        </w:rPr>
        <w:t xml:space="preserve"> plots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of the </w:t>
      </w:r>
      <w:r w:rsidRPr="00AE1BC0">
        <w:rPr>
          <w:rFonts w:asciiTheme="majorBidi" w:hAnsiTheme="majorBidi" w:cstheme="majorBidi"/>
          <w:color w:val="000000" w:themeColor="text1"/>
          <w:sz w:val="24"/>
          <w:szCs w:val="24"/>
        </w:rPr>
        <w:t>GLM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79218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r w:rsidR="007608F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</w:t>
      </w:r>
      <w:r w:rsidRPr="0079218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)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GLM-Q </w:t>
      </w:r>
      <w:r w:rsidRPr="0079218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r w:rsidR="007608F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b</w:t>
      </w:r>
      <w:r w:rsidRPr="0079218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)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MLM-K </w:t>
      </w:r>
      <w:r w:rsidRPr="0079218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r w:rsidR="007608F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</w:t>
      </w:r>
      <w:r w:rsidRPr="0079218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)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 and MLM-</w:t>
      </w:r>
      <w:r w:rsidRPr="0079218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QK </w:t>
      </w:r>
      <w:r w:rsidRPr="0079218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r w:rsidR="007608F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d</w:t>
      </w:r>
      <w:r w:rsidRPr="0079218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)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792187">
        <w:rPr>
          <w:rFonts w:asciiTheme="majorBidi" w:hAnsiTheme="majorBidi" w:cstheme="majorBidi"/>
          <w:color w:val="000000" w:themeColor="text1"/>
          <w:sz w:val="24"/>
          <w:szCs w:val="24"/>
        </w:rPr>
        <w:t>models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Pr="0005729D">
        <w:rPr>
          <w:rFonts w:asciiTheme="majorBidi" w:hAnsiTheme="majorBidi" w:cstheme="majorBidi"/>
          <w:color w:val="000000" w:themeColor="text1"/>
          <w:sz w:val="24"/>
          <w:szCs w:val="24"/>
        </w:rPr>
        <w:t>The plot shows the expected vs. observed -log10(p-value) of each marker (dot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s</w:t>
      </w:r>
      <w:r w:rsidRPr="0005729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). Red-line is the standard relationship among markers. </w:t>
      </w:r>
    </w:p>
    <w:p w14:paraId="46F840ED" w14:textId="77777777" w:rsidR="00490075" w:rsidRDefault="00490075" w:rsidP="00490075">
      <w:p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4C984A3" w14:textId="77777777" w:rsidR="00490075" w:rsidRDefault="00490075"/>
    <w:sectPr w:rsidR="00490075" w:rsidSect="005C2E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075"/>
    <w:rsid w:val="003512E9"/>
    <w:rsid w:val="00490075"/>
    <w:rsid w:val="005C2E5E"/>
    <w:rsid w:val="0061377F"/>
    <w:rsid w:val="007608F8"/>
    <w:rsid w:val="00AC20E8"/>
    <w:rsid w:val="00B11C57"/>
    <w:rsid w:val="00B74916"/>
    <w:rsid w:val="00BA3156"/>
    <w:rsid w:val="00C36924"/>
    <w:rsid w:val="00E5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4F3EA"/>
  <w15:chartTrackingRefBased/>
  <w15:docId w15:val="{8287047F-6044-4E85-8B27-6A4790C69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 Min Htwe 尹敏慧</dc:creator>
  <cp:keywords/>
  <dc:description/>
  <cp:lastModifiedBy>Yin Min Htwe 尹敏慧</cp:lastModifiedBy>
  <cp:revision>4</cp:revision>
  <dcterms:created xsi:type="dcterms:W3CDTF">2023-12-04T09:36:00Z</dcterms:created>
  <dcterms:modified xsi:type="dcterms:W3CDTF">2024-01-02T03:16:00Z</dcterms:modified>
</cp:coreProperties>
</file>