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42876" w14:textId="77777777" w:rsidR="00A363CB" w:rsidRPr="00466595" w:rsidRDefault="00A363CB" w:rsidP="00A363CB">
      <w:pPr>
        <w:pStyle w:val="MDPI13authornames"/>
        <w:spacing w:after="0" w:line="480" w:lineRule="auto"/>
        <w:rPr>
          <w:rFonts w:ascii="Times New Roman" w:hAnsi="Times New Roman"/>
          <w:color w:val="auto"/>
          <w:sz w:val="22"/>
          <w:lang w:val="en-GB"/>
        </w:rPr>
      </w:pPr>
      <w:r w:rsidRPr="00466595">
        <w:rPr>
          <w:rFonts w:ascii="Times New Roman" w:hAnsi="Times New Roman"/>
          <w:color w:val="auto"/>
          <w:sz w:val="22"/>
          <w:lang w:val="en-GB"/>
        </w:rPr>
        <w:t xml:space="preserve">Toxicometabolomics-Based Cardiotoxicity Evaluation of Thiazolidinedione Exposure in Human-Derived Cardiomyocytes </w:t>
      </w:r>
    </w:p>
    <w:p w14:paraId="4CC120AA" w14:textId="77777777" w:rsidR="00A363CB" w:rsidRPr="00466595" w:rsidRDefault="00A363CB" w:rsidP="00A363CB">
      <w:pPr>
        <w:pStyle w:val="MDPI13authornames"/>
        <w:spacing w:after="0" w:line="480" w:lineRule="auto"/>
        <w:rPr>
          <w:rFonts w:ascii="Times New Roman" w:hAnsi="Times New Roman"/>
          <w:color w:val="000000" w:themeColor="text1"/>
          <w:szCs w:val="20"/>
          <w:lang w:val="en-GB"/>
        </w:rPr>
      </w:pPr>
      <w:r w:rsidRPr="00466595">
        <w:rPr>
          <w:rFonts w:ascii="Times New Roman" w:hAnsi="Times New Roman"/>
          <w:color w:val="000000" w:themeColor="text1"/>
          <w:szCs w:val="20"/>
          <w:lang w:val="en-GB"/>
        </w:rPr>
        <w:t>Abdullah Al Sultan</w:t>
      </w:r>
      <w:r w:rsidRPr="00466595">
        <w:rPr>
          <w:rFonts w:ascii="Times New Roman" w:hAnsi="Times New Roman"/>
          <w:color w:val="000000" w:themeColor="text1"/>
          <w:szCs w:val="20"/>
          <w:vertAlign w:val="superscript"/>
          <w:lang w:val="en-GB"/>
        </w:rPr>
        <w:t>1,2</w:t>
      </w:r>
      <w:r w:rsidRPr="00466595">
        <w:rPr>
          <w:rFonts w:ascii="Times New Roman" w:hAnsi="Times New Roman"/>
          <w:color w:val="000000" w:themeColor="text1"/>
          <w:szCs w:val="20"/>
          <w:lang w:val="en-GB"/>
        </w:rPr>
        <w:t>, Zahra Rattray</w:t>
      </w:r>
      <w:r w:rsidRPr="003A0961">
        <w:rPr>
          <w:rFonts w:ascii="Times New Roman" w:hAnsi="Times New Roman"/>
          <w:color w:val="000000" w:themeColor="text1"/>
          <w:szCs w:val="20"/>
          <w:vertAlign w:val="superscript"/>
          <w:lang w:val="en-GB"/>
        </w:rPr>
        <w:t>1</w:t>
      </w:r>
      <w:r w:rsidRPr="00466595">
        <w:rPr>
          <w:rFonts w:ascii="Times New Roman" w:hAnsi="Times New Roman"/>
          <w:color w:val="000000" w:themeColor="text1"/>
          <w:szCs w:val="20"/>
          <w:lang w:val="en-GB"/>
        </w:rPr>
        <w:t xml:space="preserve"> &amp; Nicholas J. W. Rattray</w:t>
      </w:r>
      <w:r w:rsidRPr="00466595">
        <w:rPr>
          <w:rFonts w:ascii="Times New Roman" w:hAnsi="Times New Roman"/>
          <w:color w:val="000000" w:themeColor="text1"/>
          <w:szCs w:val="20"/>
          <w:vertAlign w:val="superscript"/>
          <w:lang w:val="en-GB"/>
        </w:rPr>
        <w:t>1,</w:t>
      </w:r>
      <w:r>
        <w:rPr>
          <w:rFonts w:ascii="Times New Roman" w:hAnsi="Times New Roman"/>
          <w:color w:val="000000" w:themeColor="text1"/>
          <w:szCs w:val="20"/>
          <w:vertAlign w:val="superscript"/>
          <w:lang w:val="en-GB"/>
        </w:rPr>
        <w:t>3</w:t>
      </w:r>
      <w:r w:rsidRPr="00466595">
        <w:rPr>
          <w:rFonts w:ascii="Times New Roman" w:hAnsi="Times New Roman"/>
          <w:color w:val="000000" w:themeColor="text1"/>
          <w:szCs w:val="20"/>
          <w:lang w:val="en-GB"/>
        </w:rPr>
        <w:t>*</w:t>
      </w:r>
    </w:p>
    <w:p w14:paraId="280F05E2" w14:textId="77777777" w:rsidR="00A363CB" w:rsidRPr="00466595" w:rsidRDefault="00A363CB" w:rsidP="00A363CB">
      <w:pPr>
        <w:spacing w:line="480" w:lineRule="auto"/>
        <w:rPr>
          <w:color w:val="000000" w:themeColor="text1"/>
          <w:sz w:val="20"/>
          <w:szCs w:val="20"/>
          <w:lang w:val="en-GB"/>
        </w:rPr>
      </w:pPr>
      <w:r w:rsidRPr="00466595">
        <w:rPr>
          <w:color w:val="000000" w:themeColor="text1"/>
          <w:sz w:val="20"/>
          <w:szCs w:val="20"/>
          <w:vertAlign w:val="superscript"/>
          <w:lang w:val="en-GB"/>
        </w:rPr>
        <w:t>1</w:t>
      </w:r>
      <w:r w:rsidRPr="00466595">
        <w:rPr>
          <w:color w:val="000000" w:themeColor="text1"/>
          <w:sz w:val="20"/>
          <w:szCs w:val="20"/>
          <w:lang w:val="en-GB"/>
        </w:rPr>
        <w:t>Strathclyde Institute of Pharmacy and Biomedical Sciences, University of Strathclyde, 161 Cathedral Street, Glasgow, UK, G4 0RE</w:t>
      </w:r>
    </w:p>
    <w:p w14:paraId="636166B2" w14:textId="77777777" w:rsidR="00A363CB" w:rsidRDefault="00A363CB" w:rsidP="00A363CB">
      <w:pPr>
        <w:pStyle w:val="MDPI16affiliation"/>
        <w:spacing w:line="480" w:lineRule="auto"/>
        <w:ind w:left="0" w:firstLine="0"/>
        <w:rPr>
          <w:rFonts w:ascii="Times New Roman" w:hAnsi="Times New Roman"/>
          <w:iCs/>
          <w:sz w:val="20"/>
          <w:szCs w:val="20"/>
          <w:lang w:val="en-GB"/>
        </w:rPr>
      </w:pPr>
      <w:r w:rsidRPr="00466595">
        <w:rPr>
          <w:rFonts w:ascii="Times New Roman" w:hAnsi="Times New Roman"/>
          <w:color w:val="000000" w:themeColor="text1"/>
          <w:sz w:val="20"/>
          <w:szCs w:val="20"/>
          <w:vertAlign w:val="superscript"/>
          <w:lang w:val="en-GB"/>
        </w:rPr>
        <w:t>2</w:t>
      </w:r>
      <w:r w:rsidRPr="00466595">
        <w:rPr>
          <w:rFonts w:ascii="Times New Roman" w:hAnsi="Times New Roman"/>
          <w:iCs/>
          <w:sz w:val="20"/>
          <w:szCs w:val="20"/>
          <w:lang w:val="en-GB"/>
        </w:rPr>
        <w:t>Faculty of Pharmacy, Kuwait University, Safat, 13110, Kuwait</w:t>
      </w:r>
    </w:p>
    <w:p w14:paraId="2AADB253" w14:textId="68AE7300" w:rsidR="00A363CB" w:rsidRPr="00466595" w:rsidRDefault="00A363CB" w:rsidP="00A363CB">
      <w:pPr>
        <w:pStyle w:val="MDPI16affiliation"/>
        <w:spacing w:line="480" w:lineRule="auto"/>
        <w:ind w:left="0" w:firstLine="0"/>
        <w:rPr>
          <w:rFonts w:ascii="Times New Roman" w:hAnsi="Times New Roman"/>
          <w:iCs/>
          <w:sz w:val="20"/>
          <w:szCs w:val="20"/>
          <w:lang w:val="en-GB"/>
        </w:rPr>
      </w:pPr>
      <w:r w:rsidRPr="003A0961">
        <w:rPr>
          <w:rFonts w:ascii="Times New Roman" w:hAnsi="Times New Roman"/>
          <w:iCs/>
          <w:sz w:val="20"/>
          <w:szCs w:val="20"/>
          <w:vertAlign w:val="superscript"/>
          <w:lang w:val="en-GB"/>
        </w:rPr>
        <w:t>3</w:t>
      </w:r>
      <w:r>
        <w:rPr>
          <w:rFonts w:ascii="Times New Roman" w:hAnsi="Times New Roman"/>
          <w:iCs/>
          <w:sz w:val="20"/>
          <w:szCs w:val="20"/>
          <w:lang w:val="en-GB"/>
        </w:rPr>
        <w:t>Strathclyde Centre for Molecular Bioscience, University of Strathclyde</w:t>
      </w:r>
    </w:p>
    <w:p w14:paraId="649EF710" w14:textId="77777777" w:rsidR="00A363CB" w:rsidRPr="00466595" w:rsidRDefault="00A363CB" w:rsidP="00A363CB">
      <w:pPr>
        <w:spacing w:line="480" w:lineRule="auto"/>
        <w:rPr>
          <w:color w:val="000000" w:themeColor="text1"/>
          <w:sz w:val="20"/>
          <w:szCs w:val="20"/>
          <w:lang w:val="en-GB"/>
        </w:rPr>
      </w:pPr>
      <w:r w:rsidRPr="00466595">
        <w:rPr>
          <w:sz w:val="20"/>
          <w:szCs w:val="20"/>
        </w:rPr>
        <w:t xml:space="preserve">Corresponding Author </w:t>
      </w:r>
      <w:hyperlink r:id="rId5" w:history="1">
        <w:r w:rsidRPr="00466595">
          <w:rPr>
            <w:rStyle w:val="Hyperlink"/>
            <w:sz w:val="20"/>
            <w:szCs w:val="20"/>
          </w:rPr>
          <w:t>*nicholas.rattray@strath.ac.uk</w:t>
        </w:r>
      </w:hyperlink>
    </w:p>
    <w:p w14:paraId="3D5DC135" w14:textId="4C442770" w:rsidR="00481A4D" w:rsidRDefault="00481A4D"/>
    <w:p w14:paraId="01553FE2" w14:textId="77777777" w:rsidR="00E312D3" w:rsidRPr="00E312D3" w:rsidRDefault="00E312D3" w:rsidP="00E312D3">
      <w:pPr>
        <w:pStyle w:val="paragraph"/>
        <w:spacing w:before="0" w:beforeAutospacing="0" w:after="120" w:afterAutospacing="0" w:line="360" w:lineRule="auto"/>
        <w:jc w:val="both"/>
        <w:textAlignment w:val="baseline"/>
        <w:rPr>
          <w:rFonts w:ascii="Segoe UI" w:hAnsi="Segoe UI" w:cs="Segoe UI"/>
          <w:sz w:val="14"/>
          <w:szCs w:val="14"/>
        </w:rPr>
      </w:pPr>
      <w:r w:rsidRPr="00E312D3">
        <w:rPr>
          <w:rStyle w:val="normaltextrun"/>
          <w:b/>
          <w:bCs/>
          <w:color w:val="000000"/>
          <w:sz w:val="20"/>
          <w:szCs w:val="20"/>
        </w:rPr>
        <w:t>Supplementary File</w:t>
      </w:r>
      <w:r w:rsidRPr="00E312D3">
        <w:rPr>
          <w:rStyle w:val="eop"/>
          <w:color w:val="000000"/>
          <w:sz w:val="20"/>
          <w:szCs w:val="20"/>
        </w:rPr>
        <w:t> </w:t>
      </w:r>
    </w:p>
    <w:p w14:paraId="78D0831B" w14:textId="701B88BD" w:rsidR="00E312D3" w:rsidRPr="0095089E" w:rsidRDefault="00E312D3" w:rsidP="0095089E">
      <w:pPr>
        <w:pStyle w:val="paragraph"/>
        <w:spacing w:before="0" w:beforeAutospacing="0" w:line="360" w:lineRule="auto"/>
        <w:jc w:val="both"/>
        <w:textAlignment w:val="baseline"/>
        <w:rPr>
          <w:rFonts w:ascii="Segoe UI" w:hAnsi="Segoe UI" w:cs="Segoe UI"/>
          <w:sz w:val="14"/>
          <w:szCs w:val="14"/>
        </w:rPr>
      </w:pPr>
      <w:r w:rsidRPr="00E312D3">
        <w:rPr>
          <w:rStyle w:val="normaltextrun"/>
          <w:b/>
          <w:bCs/>
          <w:color w:val="000000"/>
          <w:sz w:val="20"/>
          <w:szCs w:val="20"/>
        </w:rPr>
        <w:t xml:space="preserve">This file is divided into </w:t>
      </w:r>
      <w:r w:rsidR="00891926">
        <w:rPr>
          <w:rStyle w:val="normaltextrun"/>
          <w:b/>
          <w:bCs/>
          <w:color w:val="000000"/>
          <w:sz w:val="20"/>
          <w:szCs w:val="20"/>
        </w:rPr>
        <w:t>two</w:t>
      </w:r>
      <w:r w:rsidRPr="00E312D3">
        <w:rPr>
          <w:rStyle w:val="normaltextrun"/>
          <w:b/>
          <w:bCs/>
          <w:color w:val="000000"/>
          <w:sz w:val="20"/>
          <w:szCs w:val="20"/>
        </w:rPr>
        <w:t xml:space="preserve"> sections: supplementary data</w:t>
      </w:r>
      <w:r w:rsidR="0010395B">
        <w:rPr>
          <w:rStyle w:val="normaltextrun"/>
          <w:b/>
          <w:bCs/>
          <w:color w:val="000000"/>
          <w:sz w:val="20"/>
          <w:szCs w:val="20"/>
        </w:rPr>
        <w:t xml:space="preserve"> and</w:t>
      </w:r>
      <w:r w:rsidRPr="00E312D3">
        <w:rPr>
          <w:rStyle w:val="normaltextrun"/>
          <w:b/>
          <w:bCs/>
          <w:color w:val="000000"/>
          <w:sz w:val="20"/>
          <w:szCs w:val="20"/>
        </w:rPr>
        <w:t xml:space="preserve"> supplementary figures. </w:t>
      </w:r>
      <w:r w:rsidRPr="00E312D3">
        <w:rPr>
          <w:rStyle w:val="eop"/>
          <w:color w:val="000000"/>
          <w:sz w:val="20"/>
          <w:szCs w:val="20"/>
        </w:rPr>
        <w:t> </w:t>
      </w:r>
    </w:p>
    <w:p w14:paraId="011B6B50" w14:textId="685E097D" w:rsidR="00E312D3" w:rsidRPr="00880ECD" w:rsidRDefault="00E312D3" w:rsidP="00880ECD">
      <w:pPr>
        <w:pStyle w:val="Heading1"/>
        <w:rPr>
          <w:rStyle w:val="eop"/>
        </w:rPr>
      </w:pPr>
      <w:r w:rsidRPr="00880ECD">
        <w:rPr>
          <w:rStyle w:val="normaltextrun"/>
        </w:rPr>
        <w:t>Supplementary Data </w:t>
      </w:r>
      <w:r w:rsidRPr="00880ECD">
        <w:rPr>
          <w:rStyle w:val="eop"/>
        </w:rPr>
        <w:t> </w:t>
      </w:r>
    </w:p>
    <w:p w14:paraId="5CD3D53B" w14:textId="4EFDDDCA" w:rsidR="003F74CA" w:rsidRDefault="00E312D3" w:rsidP="00880ECD">
      <w:pPr>
        <w:pStyle w:val="Heading2"/>
      </w:pPr>
      <w:r w:rsidRPr="003F74CA">
        <w:t xml:space="preserve">Determination of </w:t>
      </w:r>
      <w:r w:rsidR="003F74CA" w:rsidRPr="003F74CA">
        <w:t>H</w:t>
      </w:r>
      <w:r w:rsidRPr="003F74CA">
        <w:t>alf-</w:t>
      </w:r>
      <w:r w:rsidR="003F74CA" w:rsidRPr="003F74CA">
        <w:t>M</w:t>
      </w:r>
      <w:r w:rsidRPr="003F74CA">
        <w:t xml:space="preserve">aximal </w:t>
      </w:r>
      <w:r w:rsidR="003F74CA" w:rsidRPr="003F74CA">
        <w:t>I</w:t>
      </w:r>
      <w:r w:rsidRPr="003F74CA">
        <w:t xml:space="preserve">nhibitory </w:t>
      </w:r>
      <w:r w:rsidR="003F74CA" w:rsidRPr="003F74CA">
        <w:t>C</w:t>
      </w:r>
      <w:r w:rsidRPr="003F74CA">
        <w:t>oncentration</w:t>
      </w:r>
      <w:r w:rsidR="003F74CA" w:rsidRPr="003F74CA">
        <w:t xml:space="preserve"> (</w:t>
      </w:r>
      <w:r w:rsidR="003F74CA" w:rsidRPr="003F74CA">
        <w:rPr>
          <w:lang w:val="en-GB"/>
        </w:rPr>
        <w:t>IC</w:t>
      </w:r>
      <w:r w:rsidR="003F74CA" w:rsidRPr="003F74CA">
        <w:rPr>
          <w:vertAlign w:val="subscript"/>
          <w:lang w:val="en-GB"/>
        </w:rPr>
        <w:t>50</w:t>
      </w:r>
      <w:r w:rsidR="003F74CA" w:rsidRPr="003F74CA">
        <w:t xml:space="preserve">) </w:t>
      </w:r>
      <w:r w:rsidRPr="003F74CA">
        <w:t xml:space="preserve">using MTT </w:t>
      </w:r>
      <w:r w:rsidR="00880ECD">
        <w:t>Assay</w:t>
      </w:r>
    </w:p>
    <w:p w14:paraId="3946E6D0" w14:textId="38E87B7D" w:rsidR="003F74CA" w:rsidRDefault="003F74CA" w:rsidP="0095089E">
      <w:pPr>
        <w:pStyle w:val="paragraph"/>
        <w:spacing w:before="0" w:beforeAutospacing="0" w:line="360" w:lineRule="auto"/>
        <w:jc w:val="both"/>
        <w:textAlignment w:val="baseline"/>
        <w:rPr>
          <w:rStyle w:val="eop"/>
          <w:color w:val="000000"/>
          <w:sz w:val="20"/>
          <w:szCs w:val="20"/>
        </w:rPr>
      </w:pPr>
      <w:r w:rsidRPr="003F74CA">
        <w:rPr>
          <w:rStyle w:val="normaltextrun"/>
          <w:color w:val="000000"/>
          <w:sz w:val="20"/>
          <w:szCs w:val="20"/>
        </w:rPr>
        <w:t>The effect of TZD agents on cardiomyocyte proliferation was measured using an MTT (3-(4,5-dimethylthiazol-2-yl)-2,5-diphenyltetrazolium bromide) Assay Kit (Cat. No. V13154; Thermo Fisher, Eugene, Oregon, USA). AC16 cells were seeded in 96-well microplates</w:t>
      </w:r>
      <w:r w:rsidRPr="003F74CA">
        <w:rPr>
          <w:rStyle w:val="normaltextrun"/>
          <w:b/>
          <w:bCs/>
          <w:color w:val="000000"/>
          <w:sz w:val="20"/>
          <w:szCs w:val="20"/>
        </w:rPr>
        <w:t xml:space="preserve"> </w:t>
      </w:r>
      <w:r w:rsidRPr="003F74CA">
        <w:rPr>
          <w:rStyle w:val="normaltextrun"/>
          <w:color w:val="000000"/>
          <w:sz w:val="20"/>
          <w:szCs w:val="20"/>
        </w:rPr>
        <w:t>(Cat. No. 655180; Greiner Bio-One, Gillingham, Dorset, UK) (1 × 10</w:t>
      </w:r>
      <w:r w:rsidRPr="003F74CA">
        <w:rPr>
          <w:rStyle w:val="normaltextrun"/>
          <w:color w:val="000000"/>
          <w:sz w:val="20"/>
          <w:szCs w:val="20"/>
          <w:vertAlign w:val="superscript"/>
        </w:rPr>
        <w:t>4</w:t>
      </w:r>
      <w:r w:rsidRPr="003F74CA">
        <w:rPr>
          <w:rStyle w:val="normaltextrun"/>
          <w:color w:val="000000"/>
          <w:sz w:val="20"/>
          <w:szCs w:val="20"/>
        </w:rPr>
        <w:t xml:space="preserve"> cells/well) and exposed to increasing concentrations of </w:t>
      </w:r>
      <w:r>
        <w:rPr>
          <w:rStyle w:val="normaltextrun"/>
          <w:color w:val="000000"/>
          <w:sz w:val="20"/>
          <w:szCs w:val="20"/>
        </w:rPr>
        <w:t>the TZD agent</w:t>
      </w:r>
      <w:r w:rsidRPr="003F74CA">
        <w:rPr>
          <w:rStyle w:val="normaltextrun"/>
          <w:color w:val="000000"/>
          <w:sz w:val="20"/>
          <w:szCs w:val="20"/>
        </w:rPr>
        <w:t xml:space="preserve"> (0.01, 0.1, 1, 5, 10, 20 and 50 </w:t>
      </w:r>
      <w:proofErr w:type="spellStart"/>
      <w:r w:rsidRPr="003F74CA">
        <w:rPr>
          <w:rStyle w:val="normaltextrun"/>
          <w:color w:val="000000"/>
          <w:sz w:val="20"/>
          <w:szCs w:val="20"/>
        </w:rPr>
        <w:t>μM</w:t>
      </w:r>
      <w:proofErr w:type="spellEnd"/>
      <w:r w:rsidRPr="003F74CA">
        <w:rPr>
          <w:rStyle w:val="normaltextrun"/>
          <w:color w:val="000000"/>
          <w:sz w:val="20"/>
          <w:szCs w:val="20"/>
        </w:rPr>
        <w:t xml:space="preserve">) for 24 h. Following the incubation period, the MTT solution (5 mg/mL) was added to each well, the supernatants were removed and 50 </w:t>
      </w:r>
      <w:proofErr w:type="spellStart"/>
      <w:r w:rsidRPr="003F74CA">
        <w:rPr>
          <w:rStyle w:val="normaltextrun"/>
          <w:color w:val="000000"/>
          <w:sz w:val="20"/>
          <w:szCs w:val="20"/>
        </w:rPr>
        <w:t>μL</w:t>
      </w:r>
      <w:proofErr w:type="spellEnd"/>
      <w:r w:rsidRPr="003F74CA">
        <w:rPr>
          <w:rStyle w:val="normaltextrun"/>
          <w:color w:val="000000"/>
          <w:sz w:val="20"/>
          <w:szCs w:val="20"/>
        </w:rPr>
        <w:t xml:space="preserve"> of DMSO was used to dissolve the yielded formazan precipitate. A plate reader (</w:t>
      </w:r>
      <w:proofErr w:type="spellStart"/>
      <w:r w:rsidRPr="003F74CA">
        <w:rPr>
          <w:rStyle w:val="normaltextrun"/>
          <w:color w:val="000000"/>
          <w:sz w:val="20"/>
          <w:szCs w:val="20"/>
        </w:rPr>
        <w:t>GloMax</w:t>
      </w:r>
      <w:proofErr w:type="spellEnd"/>
      <w:r w:rsidRPr="003F74CA">
        <w:rPr>
          <w:rStyle w:val="normaltextrun"/>
          <w:color w:val="000000"/>
          <w:sz w:val="20"/>
          <w:szCs w:val="20"/>
        </w:rPr>
        <w:t xml:space="preserve"> Explorer Multimode Microplate Reader; Promega, Madison, WI,</w:t>
      </w:r>
      <w:r w:rsidRPr="003F74CA">
        <w:rPr>
          <w:rStyle w:val="normaltextrun"/>
          <w:b/>
          <w:bCs/>
          <w:color w:val="000000"/>
          <w:sz w:val="20"/>
          <w:szCs w:val="20"/>
        </w:rPr>
        <w:t xml:space="preserve"> </w:t>
      </w:r>
      <w:r w:rsidRPr="003F74CA">
        <w:rPr>
          <w:rStyle w:val="normaltextrun"/>
          <w:color w:val="000000"/>
          <w:sz w:val="20"/>
          <w:szCs w:val="20"/>
        </w:rPr>
        <w:t>USA) was used to measure formazan absorbance at 560 nm.</w:t>
      </w:r>
      <w:r w:rsidRPr="003F74CA">
        <w:rPr>
          <w:rStyle w:val="eop"/>
          <w:color w:val="000000"/>
          <w:sz w:val="20"/>
          <w:szCs w:val="20"/>
        </w:rPr>
        <w:t> </w:t>
      </w:r>
    </w:p>
    <w:p w14:paraId="6A2BCC4C" w14:textId="77777777" w:rsidR="003F74CA" w:rsidRDefault="003F74CA" w:rsidP="0095089E">
      <w:pPr>
        <w:pStyle w:val="paragraph"/>
        <w:spacing w:before="0" w:beforeAutospacing="0" w:line="360" w:lineRule="auto"/>
        <w:jc w:val="both"/>
        <w:textAlignment w:val="baseline"/>
        <w:rPr>
          <w:rStyle w:val="normaltextrun"/>
          <w:color w:val="000000"/>
          <w:sz w:val="20"/>
          <w:szCs w:val="20"/>
        </w:rPr>
      </w:pPr>
      <w:r w:rsidRPr="003F74CA">
        <w:rPr>
          <w:rStyle w:val="normaltextrun"/>
          <w:color w:val="000000"/>
          <w:sz w:val="20"/>
          <w:szCs w:val="20"/>
        </w:rPr>
        <w:t xml:space="preserve">Cell viability was expressed as a percentage and calculated as follows: </w:t>
      </w:r>
    </w:p>
    <w:p w14:paraId="15FD5B41" w14:textId="77777777" w:rsidR="003F74CA" w:rsidRDefault="003F74CA" w:rsidP="0095089E">
      <w:pPr>
        <w:pStyle w:val="paragraph"/>
        <w:spacing w:before="0" w:beforeAutospacing="0" w:line="360" w:lineRule="auto"/>
        <w:jc w:val="center"/>
        <w:textAlignment w:val="baseline"/>
        <w:rPr>
          <w:rStyle w:val="normaltextrun"/>
          <w:color w:val="000000"/>
          <w:sz w:val="20"/>
          <w:szCs w:val="20"/>
        </w:rPr>
      </w:pPr>
      <w:r w:rsidRPr="003F74CA">
        <w:rPr>
          <w:rStyle w:val="normaltextrun"/>
          <w:color w:val="000000"/>
          <w:sz w:val="20"/>
          <w:szCs w:val="20"/>
        </w:rPr>
        <w:t>(A-treatment – A-blank)</w:t>
      </w:r>
      <w:proofErr w:type="gramStart"/>
      <w:r w:rsidRPr="003F74CA">
        <w:rPr>
          <w:rStyle w:val="normaltextrun"/>
          <w:color w:val="000000"/>
          <w:sz w:val="20"/>
          <w:szCs w:val="20"/>
        </w:rPr>
        <w:t>/(</w:t>
      </w:r>
      <w:proofErr w:type="gramEnd"/>
      <w:r w:rsidRPr="003F74CA">
        <w:rPr>
          <w:rStyle w:val="normaltextrun"/>
          <w:color w:val="000000"/>
          <w:sz w:val="20"/>
          <w:szCs w:val="20"/>
        </w:rPr>
        <w:t xml:space="preserve">A-control – A-blank) × 100%, </w:t>
      </w:r>
    </w:p>
    <w:p w14:paraId="35B9AFB4" w14:textId="78209B93" w:rsidR="003F74CA" w:rsidRDefault="003F74CA" w:rsidP="0095089E">
      <w:pPr>
        <w:pStyle w:val="paragraph"/>
        <w:spacing w:before="0" w:beforeAutospacing="0" w:line="360" w:lineRule="auto"/>
        <w:textAlignment w:val="baseline"/>
        <w:rPr>
          <w:rStyle w:val="normaltextrun"/>
          <w:color w:val="000000"/>
          <w:sz w:val="20"/>
          <w:szCs w:val="20"/>
        </w:rPr>
      </w:pPr>
      <w:r w:rsidRPr="003F74CA">
        <w:rPr>
          <w:rStyle w:val="normaltextrun"/>
          <w:color w:val="000000"/>
          <w:sz w:val="20"/>
          <w:szCs w:val="20"/>
        </w:rPr>
        <w:t>where A = absorbance.</w:t>
      </w:r>
    </w:p>
    <w:p w14:paraId="50222334" w14:textId="21C5A0E2" w:rsidR="003F74CA" w:rsidRPr="0089627C" w:rsidRDefault="003F74CA" w:rsidP="0095089E">
      <w:pPr>
        <w:pStyle w:val="paragraph"/>
        <w:spacing w:before="0" w:beforeAutospacing="0" w:line="360" w:lineRule="auto"/>
        <w:jc w:val="both"/>
        <w:textAlignment w:val="baseline"/>
        <w:rPr>
          <w:rFonts w:ascii="Segoe UI" w:hAnsi="Segoe UI" w:cs="Segoe UI"/>
          <w:sz w:val="20"/>
          <w:szCs w:val="20"/>
        </w:rPr>
      </w:pPr>
      <w:r w:rsidRPr="0089627C">
        <w:rPr>
          <w:rStyle w:val="normaltextrun"/>
          <w:color w:val="000000"/>
          <w:sz w:val="20"/>
          <w:szCs w:val="20"/>
        </w:rPr>
        <w:t>The h</w:t>
      </w:r>
      <w:r w:rsidRPr="0089627C">
        <w:rPr>
          <w:rStyle w:val="normaltextrun"/>
          <w:sz w:val="20"/>
          <w:szCs w:val="20"/>
        </w:rPr>
        <w:t>alf maximal inhibitory concentration (</w:t>
      </w:r>
      <w:r w:rsidRPr="0089627C">
        <w:rPr>
          <w:rStyle w:val="normaltextrun"/>
          <w:color w:val="000000"/>
          <w:sz w:val="20"/>
          <w:szCs w:val="20"/>
        </w:rPr>
        <w:t>IC</w:t>
      </w:r>
      <w:r w:rsidRPr="0089627C">
        <w:rPr>
          <w:rStyle w:val="normaltextrun"/>
          <w:color w:val="000000"/>
          <w:sz w:val="20"/>
          <w:szCs w:val="20"/>
          <w:vertAlign w:val="subscript"/>
        </w:rPr>
        <w:t>50</w:t>
      </w:r>
      <w:r w:rsidRPr="0089627C">
        <w:rPr>
          <w:rStyle w:val="normaltextrun"/>
          <w:color w:val="000000"/>
          <w:sz w:val="20"/>
          <w:szCs w:val="20"/>
        </w:rPr>
        <w:t>) value was determined from a three-parameter nonlinear regression curve fitted to PGZ concentration and the obtained absorbance values using GraphPad Prism 9 software (San Diego, CA, USA).</w:t>
      </w:r>
      <w:r w:rsidRPr="0089627C">
        <w:rPr>
          <w:rStyle w:val="eop"/>
          <w:color w:val="000000"/>
          <w:sz w:val="20"/>
          <w:szCs w:val="20"/>
        </w:rPr>
        <w:t> </w:t>
      </w:r>
    </w:p>
    <w:p w14:paraId="7A9EF479" w14:textId="1BAF9E14" w:rsidR="00E312D3" w:rsidRPr="0089627C" w:rsidRDefault="0089627C" w:rsidP="0095089E">
      <w:pPr>
        <w:spacing w:after="100" w:afterAutospacing="1" w:line="360" w:lineRule="auto"/>
        <w:rPr>
          <w:sz w:val="20"/>
          <w:szCs w:val="20"/>
        </w:rPr>
      </w:pPr>
      <w:r w:rsidRPr="0089627C">
        <w:rPr>
          <w:sz w:val="20"/>
          <w:szCs w:val="20"/>
        </w:rPr>
        <w:t xml:space="preserve">The results revealed that both drugs led to a concentration-dependent decline in cell viability, and the </w:t>
      </w:r>
      <w:r w:rsidRPr="0089627C">
        <w:rPr>
          <w:rStyle w:val="normaltextrun"/>
          <w:color w:val="000000"/>
          <w:sz w:val="20"/>
          <w:szCs w:val="20"/>
        </w:rPr>
        <w:t>IC</w:t>
      </w:r>
      <w:r w:rsidRPr="0089627C">
        <w:rPr>
          <w:rStyle w:val="normaltextrun"/>
          <w:color w:val="000000"/>
          <w:sz w:val="20"/>
          <w:szCs w:val="20"/>
          <w:vertAlign w:val="subscript"/>
        </w:rPr>
        <w:t xml:space="preserve">50 </w:t>
      </w:r>
      <w:r w:rsidRPr="0089627C">
        <w:rPr>
          <w:rStyle w:val="normaltextrun"/>
          <w:color w:val="000000"/>
          <w:sz w:val="20"/>
          <w:szCs w:val="20"/>
        </w:rPr>
        <w:t>values against AC16 were 4.74</w:t>
      </w:r>
      <w:r w:rsidR="0094344C">
        <w:rPr>
          <w:rStyle w:val="normaltextrun"/>
          <w:color w:val="000000"/>
          <w:sz w:val="20"/>
          <w:szCs w:val="20"/>
        </w:rPr>
        <w:t>µM</w:t>
      </w:r>
      <w:r w:rsidRPr="0089627C">
        <w:rPr>
          <w:rStyle w:val="normaltextrun"/>
          <w:color w:val="000000"/>
          <w:sz w:val="20"/>
          <w:szCs w:val="20"/>
        </w:rPr>
        <w:t xml:space="preserve"> and 2.05</w:t>
      </w:r>
      <w:r w:rsidR="0094344C" w:rsidRPr="0094344C">
        <w:rPr>
          <w:rStyle w:val="Hyperlink"/>
          <w:color w:val="000000"/>
          <w:sz w:val="20"/>
          <w:szCs w:val="20"/>
        </w:rPr>
        <w:t xml:space="preserve"> </w:t>
      </w:r>
      <w:r w:rsidR="0094344C">
        <w:rPr>
          <w:rStyle w:val="normaltextrun"/>
          <w:color w:val="000000"/>
          <w:sz w:val="20"/>
          <w:szCs w:val="20"/>
        </w:rPr>
        <w:t>µM</w:t>
      </w:r>
      <w:r w:rsidRPr="0089627C">
        <w:rPr>
          <w:rStyle w:val="normaltextrun"/>
          <w:color w:val="000000"/>
          <w:sz w:val="20"/>
          <w:szCs w:val="20"/>
        </w:rPr>
        <w:t xml:space="preserve"> in </w:t>
      </w:r>
      <w:r w:rsidR="00FE40D2">
        <w:rPr>
          <w:rStyle w:val="normaltextrun"/>
          <w:color w:val="000000"/>
          <w:sz w:val="20"/>
          <w:szCs w:val="20"/>
        </w:rPr>
        <w:t>pioglitazone</w:t>
      </w:r>
      <w:r w:rsidRPr="0089627C">
        <w:rPr>
          <w:rStyle w:val="normaltextrun"/>
          <w:color w:val="000000"/>
          <w:sz w:val="20"/>
          <w:szCs w:val="20"/>
        </w:rPr>
        <w:t xml:space="preserve"> and </w:t>
      </w:r>
      <w:r w:rsidR="00FE40D2">
        <w:rPr>
          <w:rStyle w:val="normaltextrun"/>
          <w:color w:val="000000"/>
          <w:sz w:val="20"/>
          <w:szCs w:val="20"/>
        </w:rPr>
        <w:t>rosiglitazone</w:t>
      </w:r>
      <w:r w:rsidRPr="0089627C">
        <w:rPr>
          <w:rStyle w:val="normaltextrun"/>
          <w:color w:val="000000"/>
          <w:sz w:val="20"/>
          <w:szCs w:val="20"/>
        </w:rPr>
        <w:t>, respectively.</w:t>
      </w:r>
    </w:p>
    <w:p w14:paraId="63D5248C" w14:textId="77777777" w:rsidR="000E223C" w:rsidRDefault="000E223C" w:rsidP="00E312D3">
      <w:pPr>
        <w:rPr>
          <w:sz w:val="20"/>
          <w:szCs w:val="20"/>
        </w:rPr>
      </w:pPr>
    </w:p>
    <w:p w14:paraId="15D9CC93" w14:textId="77777777" w:rsidR="000E223C" w:rsidRDefault="000E223C" w:rsidP="00E312D3">
      <w:pPr>
        <w:rPr>
          <w:sz w:val="20"/>
          <w:szCs w:val="20"/>
        </w:rPr>
      </w:pPr>
    </w:p>
    <w:p w14:paraId="33C130CC" w14:textId="399784F7" w:rsidR="00880ECD" w:rsidRPr="00336EF6" w:rsidRDefault="000E223C" w:rsidP="00880ECD">
      <w:pPr>
        <w:pStyle w:val="Heading2"/>
        <w:rPr>
          <w:bCs/>
          <w:color w:val="000000"/>
          <w:szCs w:val="20"/>
          <w:shd w:val="clear" w:color="auto" w:fill="FFFFFF"/>
        </w:rPr>
      </w:pPr>
      <w:r w:rsidRPr="00880ECD">
        <w:rPr>
          <w:rStyle w:val="normaltextrun"/>
          <w:bCs/>
          <w:color w:val="000000"/>
          <w:szCs w:val="20"/>
          <w:shd w:val="clear" w:color="auto" w:fill="FFFFFF"/>
        </w:rPr>
        <w:lastRenderedPageBreak/>
        <w:t>Toxicometabol</w:t>
      </w:r>
      <w:r w:rsidR="00A878A9" w:rsidRPr="00880ECD">
        <w:rPr>
          <w:rStyle w:val="normaltextrun"/>
          <w:bCs/>
          <w:color w:val="000000"/>
          <w:szCs w:val="20"/>
          <w:shd w:val="clear" w:color="auto" w:fill="FFFFFF"/>
        </w:rPr>
        <w:t>omics</w:t>
      </w:r>
      <w:r w:rsidRPr="00880ECD">
        <w:rPr>
          <w:rStyle w:val="normaltextrun"/>
          <w:bCs/>
          <w:color w:val="000000"/>
          <w:szCs w:val="20"/>
          <w:shd w:val="clear" w:color="auto" w:fill="FFFFFF"/>
        </w:rPr>
        <w:t xml:space="preserve"> Pipeline Methodology </w:t>
      </w:r>
    </w:p>
    <w:p w14:paraId="351B4205" w14:textId="679EB31D" w:rsidR="00121A0A" w:rsidRPr="00336EF6" w:rsidRDefault="00121A0A" w:rsidP="00336EF6">
      <w:pPr>
        <w:pStyle w:val="Heading3"/>
        <w:rPr>
          <w:rStyle w:val="eop"/>
          <w:bCs/>
          <w:color w:val="000000"/>
          <w:szCs w:val="20"/>
          <w:shd w:val="clear" w:color="auto" w:fill="FFFFFF"/>
        </w:rPr>
      </w:pPr>
      <w:r w:rsidRPr="00336EF6">
        <w:rPr>
          <w:rStyle w:val="normaltextrun"/>
          <w:bCs/>
          <w:color w:val="000000"/>
          <w:szCs w:val="20"/>
          <w:shd w:val="clear" w:color="auto" w:fill="FFFFFF"/>
        </w:rPr>
        <w:t>Micro-flow LC–MS-based Metabolomic Data Acquisition </w:t>
      </w:r>
      <w:r w:rsidRPr="00336EF6">
        <w:rPr>
          <w:rStyle w:val="eop"/>
          <w:bCs/>
          <w:color w:val="000000"/>
          <w:szCs w:val="20"/>
          <w:shd w:val="clear" w:color="auto" w:fill="FFFFFF"/>
        </w:rPr>
        <w:t> </w:t>
      </w:r>
    </w:p>
    <w:p w14:paraId="55EB70C7" w14:textId="22363913" w:rsidR="001E44F3" w:rsidRPr="00142DE8" w:rsidRDefault="001E44F3" w:rsidP="009F3CEA">
      <w:pPr>
        <w:spacing w:after="100" w:afterAutospacing="1" w:line="360" w:lineRule="auto"/>
        <w:jc w:val="both"/>
        <w:rPr>
          <w:sz w:val="20"/>
          <w:szCs w:val="20"/>
          <w:lang w:val="en-GB"/>
        </w:rPr>
      </w:pPr>
      <w:r w:rsidRPr="00142DE8">
        <w:rPr>
          <w:sz w:val="20"/>
          <w:szCs w:val="20"/>
          <w:lang w:val="en-GB"/>
        </w:rPr>
        <w:t xml:space="preserve">Metabolite extracts of the AC16 cell biomass and corresponding culture media were randomised and subsequently analysed by high-performance liquid chromatography-electrospray ionisation quadrupole orbitrap mass spectrometry (HPLC-ESI-HRMS) using a Thermo Scientific™ Vanquish™ binary LC system coupled to a Thermo Scientific™ Orbitrap Exploris™ 240 mass spectrometer. The LC separations were carried out on an </w:t>
      </w:r>
      <w:proofErr w:type="spellStart"/>
      <w:r w:rsidRPr="00142DE8">
        <w:rPr>
          <w:sz w:val="20"/>
          <w:szCs w:val="20"/>
          <w:lang w:val="en-GB"/>
        </w:rPr>
        <w:t>Accucore</w:t>
      </w:r>
      <w:proofErr w:type="spellEnd"/>
      <w:r w:rsidRPr="00142DE8">
        <w:rPr>
          <w:sz w:val="20"/>
          <w:szCs w:val="20"/>
          <w:lang w:val="en-GB"/>
        </w:rPr>
        <w:t xml:space="preserve"> C18 HPLC column (2.6 </w:t>
      </w:r>
      <w:proofErr w:type="spellStart"/>
      <w:r w:rsidRPr="00142DE8">
        <w:rPr>
          <w:sz w:val="20"/>
          <w:szCs w:val="20"/>
          <w:lang w:val="en-GB"/>
        </w:rPr>
        <w:t>μm</w:t>
      </w:r>
      <w:proofErr w:type="spellEnd"/>
      <w:r w:rsidRPr="00142DE8">
        <w:rPr>
          <w:sz w:val="20"/>
          <w:szCs w:val="20"/>
          <w:lang w:val="en-GB"/>
        </w:rPr>
        <w:t xml:space="preserve">, 100 mm × 2.1 mm I.D.; Thermo Fisher) </w:t>
      </w:r>
      <w:proofErr w:type="spellStart"/>
      <w:r w:rsidRPr="00142DE8">
        <w:rPr>
          <w:sz w:val="20"/>
          <w:szCs w:val="20"/>
          <w:lang w:val="en-GB"/>
        </w:rPr>
        <w:t>thermostatted</w:t>
      </w:r>
      <w:proofErr w:type="spellEnd"/>
      <w:r w:rsidRPr="00142DE8">
        <w:rPr>
          <w:sz w:val="20"/>
          <w:szCs w:val="20"/>
          <w:lang w:val="en-GB"/>
        </w:rPr>
        <w:t xml:space="preserve"> at 40°C and operated at a flow rate of 400 </w:t>
      </w:r>
      <w:proofErr w:type="spellStart"/>
      <w:r w:rsidRPr="00142DE8">
        <w:rPr>
          <w:sz w:val="20"/>
          <w:szCs w:val="20"/>
          <w:lang w:val="en-GB"/>
        </w:rPr>
        <w:t>μl</w:t>
      </w:r>
      <w:proofErr w:type="spellEnd"/>
      <w:r w:rsidRPr="00142DE8">
        <w:rPr>
          <w:sz w:val="20"/>
          <w:szCs w:val="20"/>
          <w:lang w:val="en-GB"/>
        </w:rPr>
        <w:t xml:space="preserve">/min. A 5 </w:t>
      </w:r>
      <w:proofErr w:type="spellStart"/>
      <w:r w:rsidRPr="00142DE8">
        <w:rPr>
          <w:sz w:val="20"/>
          <w:szCs w:val="20"/>
          <w:lang w:val="en-GB"/>
        </w:rPr>
        <w:t>μl</w:t>
      </w:r>
      <w:proofErr w:type="spellEnd"/>
      <w:r w:rsidRPr="00142DE8">
        <w:rPr>
          <w:sz w:val="20"/>
          <w:szCs w:val="20"/>
          <w:lang w:val="en-GB"/>
        </w:rPr>
        <w:t xml:space="preserve"> sample injection was used with an elution gradient consisting of water (eluent A) and acetonitrile (eluent B), each containing 0.1% formic acid.</w:t>
      </w:r>
    </w:p>
    <w:p w14:paraId="7E1E2AE0" w14:textId="10B3FDB2" w:rsidR="00142DE8" w:rsidRPr="00142DE8" w:rsidRDefault="00142DE8" w:rsidP="009F3CEA">
      <w:pPr>
        <w:spacing w:after="100" w:afterAutospacing="1" w:line="360" w:lineRule="auto"/>
        <w:jc w:val="both"/>
        <w:rPr>
          <w:sz w:val="20"/>
          <w:szCs w:val="20"/>
          <w:lang w:val="en-GB"/>
        </w:rPr>
      </w:pPr>
      <w:r w:rsidRPr="00142DE8">
        <w:rPr>
          <w:sz w:val="20"/>
          <w:szCs w:val="20"/>
          <w:lang w:val="en-GB"/>
        </w:rPr>
        <w:t xml:space="preserve">The mass spectrometer (Orbitrap Exploris™ 240) was equipped with a heated electrospray ion source (HESI-II). The HESI-II was operated in positive (+ESI) mode and set as follows: spray voltage 3700 V; sheath gas flow rate: 40 (arbitrary units); auxiliary gas flow rate: 10 (arbitrary units); sweep gas flow rate: 1 (arbitrary units); ion transfer tube temperature: 300°C; and vaporiser temperature: 280°C. The </w:t>
      </w:r>
      <w:r w:rsidR="003B5744">
        <w:rPr>
          <w:sz w:val="20"/>
          <w:szCs w:val="20"/>
          <w:lang w:val="en-GB"/>
        </w:rPr>
        <w:t xml:space="preserve">duty cycle consisted of a </w:t>
      </w:r>
      <w:r w:rsidRPr="00142DE8">
        <w:rPr>
          <w:sz w:val="20"/>
          <w:szCs w:val="20"/>
          <w:lang w:val="en-GB"/>
        </w:rPr>
        <w:t>full MS scan with an MS1 resolution of 60,000</w:t>
      </w:r>
      <w:r w:rsidR="003B5744">
        <w:rPr>
          <w:sz w:val="20"/>
          <w:szCs w:val="20"/>
          <w:lang w:val="en-GB"/>
        </w:rPr>
        <w:t xml:space="preserve"> and the</w:t>
      </w:r>
      <w:r w:rsidR="002A6B38">
        <w:rPr>
          <w:sz w:val="20"/>
          <w:szCs w:val="20"/>
          <w:lang w:val="en-GB"/>
        </w:rPr>
        <w:t>n</w:t>
      </w:r>
      <w:r w:rsidR="003B5744">
        <w:rPr>
          <w:sz w:val="20"/>
          <w:szCs w:val="20"/>
          <w:lang w:val="en-GB"/>
        </w:rPr>
        <w:t xml:space="preserve"> </w:t>
      </w:r>
      <w:r w:rsidR="002A6B38">
        <w:rPr>
          <w:sz w:val="20"/>
          <w:szCs w:val="20"/>
          <w:lang w:val="en-GB"/>
        </w:rPr>
        <w:t xml:space="preserve">5 </w:t>
      </w:r>
      <w:r w:rsidR="003B5744">
        <w:rPr>
          <w:sz w:val="20"/>
          <w:szCs w:val="20"/>
          <w:lang w:val="en-GB"/>
        </w:rPr>
        <w:t xml:space="preserve">subsequent data dependent </w:t>
      </w:r>
      <w:r w:rsidR="002A6B38">
        <w:rPr>
          <w:sz w:val="20"/>
          <w:szCs w:val="20"/>
          <w:lang w:val="en-GB"/>
        </w:rPr>
        <w:t xml:space="preserve">acquisition scans using 30,000 </w:t>
      </w:r>
      <w:proofErr w:type="spellStart"/>
      <w:r w:rsidR="002A6B38">
        <w:rPr>
          <w:sz w:val="20"/>
          <w:szCs w:val="20"/>
          <w:lang w:val="en-GB"/>
        </w:rPr>
        <w:t>resoluiton</w:t>
      </w:r>
      <w:proofErr w:type="spellEnd"/>
      <w:r w:rsidRPr="00142DE8">
        <w:rPr>
          <w:sz w:val="20"/>
          <w:szCs w:val="20"/>
          <w:lang w:val="en-GB"/>
        </w:rPr>
        <w:t xml:space="preserve"> and an RF lens of 70% in an m/z scan range of 70–1050. </w:t>
      </w:r>
      <w:proofErr w:type="spellStart"/>
      <w:r w:rsidRPr="00142DE8">
        <w:rPr>
          <w:sz w:val="20"/>
          <w:szCs w:val="20"/>
          <w:lang w:val="en-GB"/>
        </w:rPr>
        <w:t>XCalibur</w:t>
      </w:r>
      <w:proofErr w:type="spellEnd"/>
      <w:r w:rsidRPr="00142DE8">
        <w:rPr>
          <w:sz w:val="20"/>
          <w:szCs w:val="20"/>
          <w:lang w:val="en-GB"/>
        </w:rPr>
        <w:t> ™ 4.2 software (Thermo Fisher Scientific) was used for data acquisition.</w:t>
      </w:r>
    </w:p>
    <w:p w14:paraId="7E3AA765" w14:textId="7E7F31B1" w:rsidR="004A394D" w:rsidRPr="004A394D" w:rsidRDefault="004A394D" w:rsidP="00336EF6">
      <w:pPr>
        <w:pStyle w:val="Heading3"/>
        <w:rPr>
          <w:lang w:val="en-GB"/>
        </w:rPr>
      </w:pPr>
      <w:bookmarkStart w:id="0" w:name="_Toc145869199"/>
      <w:r w:rsidRPr="004A394D">
        <w:rPr>
          <w:lang w:val="en-GB"/>
        </w:rPr>
        <w:t>Data Processing Using Compound Discoverer 3.2</w:t>
      </w:r>
      <w:bookmarkEnd w:id="0"/>
    </w:p>
    <w:p w14:paraId="10A25434" w14:textId="3D16F94F" w:rsidR="004A394D" w:rsidRDefault="004A394D" w:rsidP="004A394D">
      <w:pPr>
        <w:spacing w:after="100" w:afterAutospacing="1" w:line="360" w:lineRule="auto"/>
        <w:jc w:val="both"/>
        <w:rPr>
          <w:sz w:val="20"/>
          <w:szCs w:val="20"/>
          <w:lang w:val="en-GB"/>
        </w:rPr>
      </w:pPr>
      <w:r w:rsidRPr="004A394D">
        <w:rPr>
          <w:sz w:val="20"/>
          <w:szCs w:val="20"/>
          <w:lang w:val="en-GB"/>
        </w:rPr>
        <w:t xml:space="preserve">The acquired LC-MS data were processed using Compound Discoverer 3.2 software </w:t>
      </w:r>
      <w:r w:rsidRPr="004A394D">
        <w:rPr>
          <w:sz w:val="20"/>
          <w:szCs w:val="20"/>
          <w:bdr w:val="none" w:sz="0" w:space="0" w:color="auto" w:frame="1"/>
          <w:lang w:val="en-GB"/>
        </w:rPr>
        <w:t>(Thermo Fisher, San Jose, CA, USA)</w:t>
      </w:r>
      <w:r w:rsidR="00E3431E">
        <w:rPr>
          <w:sz w:val="20"/>
          <w:szCs w:val="20"/>
          <w:bdr w:val="none" w:sz="0" w:space="0" w:color="auto" w:frame="1"/>
          <w:lang w:val="en-GB"/>
        </w:rPr>
        <w:t xml:space="preserve">. </w:t>
      </w:r>
      <w:r w:rsidRPr="004A394D">
        <w:rPr>
          <w:sz w:val="20"/>
          <w:szCs w:val="20"/>
          <w:lang w:val="en-GB"/>
        </w:rPr>
        <w:t xml:space="preserve">Briefly, raw data files were aligned with adaptive curve settings with 3 ppm mass tolerance and a 0.3 min retention time shift. Unknown compounds were detected with 3 ppm tolerance, 30% relative intensity tolerance and 20,000 minimum detectable peak intensity and subsequently grouped by mass tolerance and retention time tolerance by 3 ppm mass and 0.2 min, respectively. Subsequently, the normalisation procedure took place, at which peak areas across all the samples were normalised to the total area of the corresponding samples. Features identified in the processed raw data of mass spectral peaks within a 5-ppm mass error were searched against the </w:t>
      </w:r>
      <w:proofErr w:type="spellStart"/>
      <w:r w:rsidRPr="004A394D">
        <w:rPr>
          <w:sz w:val="20"/>
          <w:szCs w:val="20"/>
          <w:lang w:val="en-GB"/>
        </w:rPr>
        <w:t>mzCloud</w:t>
      </w:r>
      <w:proofErr w:type="spellEnd"/>
      <w:r w:rsidRPr="004A394D">
        <w:rPr>
          <w:sz w:val="20"/>
          <w:szCs w:val="20"/>
          <w:lang w:val="en-GB"/>
        </w:rPr>
        <w:t xml:space="preserve"> spectral library and </w:t>
      </w:r>
      <w:proofErr w:type="spellStart"/>
      <w:r w:rsidRPr="004A394D">
        <w:rPr>
          <w:sz w:val="20"/>
          <w:szCs w:val="20"/>
          <w:lang w:val="en-GB"/>
        </w:rPr>
        <w:t>ChemSpider</w:t>
      </w:r>
      <w:proofErr w:type="spellEnd"/>
      <w:r w:rsidRPr="004A394D">
        <w:rPr>
          <w:sz w:val="20"/>
          <w:szCs w:val="20"/>
          <w:lang w:val="en-GB"/>
        </w:rPr>
        <w:t xml:space="preserve">™ databases. Databases selected by </w:t>
      </w:r>
      <w:proofErr w:type="spellStart"/>
      <w:r w:rsidRPr="004A394D">
        <w:rPr>
          <w:sz w:val="20"/>
          <w:szCs w:val="20"/>
          <w:lang w:val="en-GB"/>
        </w:rPr>
        <w:t>ChemSpider</w:t>
      </w:r>
      <w:proofErr w:type="spellEnd"/>
      <w:r w:rsidRPr="004A394D">
        <w:rPr>
          <w:sz w:val="20"/>
          <w:szCs w:val="20"/>
          <w:lang w:val="en-GB"/>
        </w:rPr>
        <w:t xml:space="preserve"> were the Human Metabolome Database (HMDB), </w:t>
      </w:r>
      <w:proofErr w:type="spellStart"/>
      <w:r w:rsidRPr="004A394D">
        <w:rPr>
          <w:sz w:val="20"/>
          <w:szCs w:val="20"/>
          <w:lang w:val="en-GB"/>
        </w:rPr>
        <w:t>BioCyc</w:t>
      </w:r>
      <w:proofErr w:type="spellEnd"/>
      <w:r w:rsidRPr="004A394D">
        <w:rPr>
          <w:sz w:val="20"/>
          <w:szCs w:val="20"/>
          <w:lang w:val="en-GB"/>
        </w:rPr>
        <w:t>, Chemical Entities of Biological Interest (</w:t>
      </w:r>
      <w:proofErr w:type="spellStart"/>
      <w:r w:rsidRPr="004A394D">
        <w:rPr>
          <w:sz w:val="20"/>
          <w:szCs w:val="20"/>
          <w:lang w:val="en-GB"/>
        </w:rPr>
        <w:t>ChEBI</w:t>
      </w:r>
      <w:proofErr w:type="spellEnd"/>
      <w:r w:rsidRPr="004A394D">
        <w:rPr>
          <w:sz w:val="20"/>
          <w:szCs w:val="20"/>
          <w:lang w:val="en-GB"/>
        </w:rPr>
        <w:t xml:space="preserve">), Kyoto Encyclopaedia of Genes and Genomes (KEGG), </w:t>
      </w:r>
      <w:proofErr w:type="spellStart"/>
      <w:r w:rsidRPr="004A394D">
        <w:rPr>
          <w:sz w:val="20"/>
          <w:szCs w:val="20"/>
          <w:lang w:val="en-GB"/>
        </w:rPr>
        <w:t>Taneisa</w:t>
      </w:r>
      <w:proofErr w:type="spellEnd"/>
      <w:r w:rsidRPr="004A394D">
        <w:rPr>
          <w:sz w:val="20"/>
          <w:szCs w:val="20"/>
          <w:lang w:val="en-GB"/>
        </w:rPr>
        <w:t xml:space="preserve"> Grier, Toxin, Toxin-Target Database, </w:t>
      </w:r>
      <w:proofErr w:type="spellStart"/>
      <w:r w:rsidRPr="004A394D">
        <w:rPr>
          <w:sz w:val="20"/>
          <w:szCs w:val="20"/>
          <w:lang w:val="en-GB"/>
        </w:rPr>
        <w:t>WikiPathways</w:t>
      </w:r>
      <w:proofErr w:type="spellEnd"/>
      <w:r w:rsidRPr="004A394D">
        <w:rPr>
          <w:sz w:val="20"/>
          <w:szCs w:val="20"/>
          <w:lang w:val="en-GB"/>
        </w:rPr>
        <w:t xml:space="preserve"> and </w:t>
      </w:r>
      <w:proofErr w:type="spellStart"/>
      <w:r w:rsidRPr="004A394D">
        <w:rPr>
          <w:sz w:val="20"/>
          <w:szCs w:val="20"/>
          <w:lang w:val="en-GB"/>
        </w:rPr>
        <w:t>xPharm</w:t>
      </w:r>
      <w:proofErr w:type="spellEnd"/>
      <w:r w:rsidRPr="004A394D">
        <w:rPr>
          <w:sz w:val="20"/>
          <w:szCs w:val="20"/>
          <w:lang w:val="en-GB"/>
        </w:rPr>
        <w:t>.</w:t>
      </w:r>
      <w:r w:rsidR="000D476B">
        <w:rPr>
          <w:sz w:val="20"/>
          <w:szCs w:val="20"/>
          <w:lang w:val="en-GB"/>
        </w:rPr>
        <w:t xml:space="preserve"> All data reported align to MSI Level 2 identification.</w:t>
      </w:r>
      <w:r w:rsidR="008D6804">
        <w:rPr>
          <w:sz w:val="20"/>
          <w:szCs w:val="20"/>
          <w:lang w:val="en-GB"/>
        </w:rPr>
        <w:t xml:space="preserve"> </w:t>
      </w:r>
    </w:p>
    <w:p w14:paraId="384B1B5E" w14:textId="77777777" w:rsidR="0044669A" w:rsidRDefault="0044669A" w:rsidP="004A394D">
      <w:pPr>
        <w:spacing w:after="100" w:afterAutospacing="1" w:line="360" w:lineRule="auto"/>
        <w:jc w:val="both"/>
        <w:rPr>
          <w:sz w:val="20"/>
          <w:szCs w:val="20"/>
          <w:lang w:val="en-GB"/>
        </w:rPr>
      </w:pPr>
    </w:p>
    <w:p w14:paraId="3A57AFE2" w14:textId="77777777" w:rsidR="0044669A" w:rsidRDefault="0044669A" w:rsidP="004A394D">
      <w:pPr>
        <w:spacing w:after="100" w:afterAutospacing="1" w:line="360" w:lineRule="auto"/>
        <w:jc w:val="both"/>
        <w:rPr>
          <w:sz w:val="20"/>
          <w:szCs w:val="20"/>
          <w:lang w:val="en-GB"/>
        </w:rPr>
      </w:pPr>
    </w:p>
    <w:p w14:paraId="032E75F5" w14:textId="77777777" w:rsidR="0044669A" w:rsidRDefault="0044669A" w:rsidP="004A394D">
      <w:pPr>
        <w:spacing w:after="100" w:afterAutospacing="1" w:line="360" w:lineRule="auto"/>
        <w:jc w:val="both"/>
        <w:rPr>
          <w:sz w:val="20"/>
          <w:szCs w:val="20"/>
          <w:lang w:val="en-GB"/>
        </w:rPr>
      </w:pPr>
    </w:p>
    <w:p w14:paraId="65C400B9" w14:textId="77777777" w:rsidR="0044669A" w:rsidRDefault="0044669A" w:rsidP="004A394D">
      <w:pPr>
        <w:spacing w:after="100" w:afterAutospacing="1" w:line="360" w:lineRule="auto"/>
        <w:jc w:val="both"/>
        <w:rPr>
          <w:sz w:val="20"/>
          <w:szCs w:val="20"/>
          <w:lang w:val="en-GB"/>
        </w:rPr>
      </w:pPr>
    </w:p>
    <w:p w14:paraId="1B3F90FD" w14:textId="77777777" w:rsidR="0044669A" w:rsidRPr="004A394D" w:rsidRDefault="0044669A" w:rsidP="004A394D">
      <w:pPr>
        <w:spacing w:after="100" w:afterAutospacing="1" w:line="360" w:lineRule="auto"/>
        <w:jc w:val="both"/>
        <w:rPr>
          <w:sz w:val="20"/>
          <w:szCs w:val="20"/>
          <w:lang w:val="en-GB"/>
        </w:rPr>
      </w:pPr>
    </w:p>
    <w:p w14:paraId="28969FA7" w14:textId="010CA889" w:rsidR="001E44F3" w:rsidRDefault="0010395B" w:rsidP="0010395B">
      <w:pPr>
        <w:pStyle w:val="Heading1"/>
      </w:pPr>
      <w:r>
        <w:lastRenderedPageBreak/>
        <w:t xml:space="preserve">Supplementary Figures </w:t>
      </w:r>
    </w:p>
    <w:p w14:paraId="23B74FC6" w14:textId="1813EC57" w:rsidR="0049182D" w:rsidRPr="0049182D" w:rsidRDefault="0049182D" w:rsidP="0049182D">
      <w:r>
        <w:rPr>
          <w:noProof/>
        </w:rPr>
        <w:drawing>
          <wp:inline distT="0" distB="0" distL="0" distR="0" wp14:anchorId="4F5E7F26" wp14:editId="57BFF521">
            <wp:extent cx="5731510" cy="4372610"/>
            <wp:effectExtent l="0" t="0" r="0" b="0"/>
            <wp:docPr id="1137843284" name="Picture 1" descr="A graph of different colore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843284" name="Picture 1" descr="A graph of different colored circles&#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4372610"/>
                    </a:xfrm>
                    <a:prstGeom prst="rect">
                      <a:avLst/>
                    </a:prstGeom>
                  </pic:spPr>
                </pic:pic>
              </a:graphicData>
            </a:graphic>
          </wp:inline>
        </w:drawing>
      </w:r>
    </w:p>
    <w:p w14:paraId="38C4FCA3" w14:textId="77777777" w:rsidR="0049182D" w:rsidRDefault="0049182D" w:rsidP="0049182D">
      <w:pPr>
        <w:jc w:val="both"/>
        <w:rPr>
          <w:b/>
          <w:bCs/>
          <w:color w:val="000000" w:themeColor="text1"/>
          <w:sz w:val="20"/>
          <w:szCs w:val="20"/>
          <w:shd w:val="clear" w:color="auto" w:fill="FFFFFF"/>
          <w:lang w:val="en-GB"/>
        </w:rPr>
      </w:pPr>
    </w:p>
    <w:p w14:paraId="2EB0E52A" w14:textId="181E0AAB" w:rsidR="0049182D" w:rsidRPr="009A4479" w:rsidRDefault="0049182D" w:rsidP="0049182D">
      <w:pPr>
        <w:jc w:val="both"/>
        <w:rPr>
          <w:color w:val="000000" w:themeColor="text1"/>
          <w:sz w:val="20"/>
          <w:szCs w:val="20"/>
          <w:lang w:val="en-GB"/>
        </w:rPr>
      </w:pPr>
      <w:r w:rsidRPr="009A4479">
        <w:rPr>
          <w:b/>
          <w:bCs/>
          <w:color w:val="000000" w:themeColor="text1"/>
          <w:sz w:val="20"/>
          <w:szCs w:val="20"/>
          <w:shd w:val="clear" w:color="auto" w:fill="FFFFFF"/>
          <w:lang w:val="en-GB"/>
        </w:rPr>
        <w:t>Figure S1. Multivariate statistical analysis of the acquired LC–MS data.</w:t>
      </w:r>
      <w:r w:rsidRPr="009A4479">
        <w:rPr>
          <w:color w:val="000000" w:themeColor="text1"/>
          <w:sz w:val="20"/>
          <w:szCs w:val="20"/>
          <w:shd w:val="clear" w:color="auto" w:fill="FFFFFF"/>
          <w:lang w:val="en-GB"/>
        </w:rPr>
        <w:t xml:space="preserve"> </w:t>
      </w:r>
      <w:r w:rsidRPr="009A4479">
        <w:rPr>
          <w:color w:val="000000" w:themeColor="text1"/>
          <w:sz w:val="20"/>
          <w:szCs w:val="20"/>
          <w:lang w:val="en-GB"/>
        </w:rPr>
        <w:t xml:space="preserve">OPLS-DA plots showing the separation </w:t>
      </w:r>
      <w:r w:rsidRPr="009A4479">
        <w:rPr>
          <w:color w:val="000000" w:themeColor="text1"/>
          <w:sz w:val="20"/>
          <w:szCs w:val="20"/>
          <w:lang w:val="en-GB" w:eastAsia="en-GB"/>
        </w:rPr>
        <w:t xml:space="preserve">between the (a) </w:t>
      </w:r>
      <w:r w:rsidRPr="009A4479">
        <w:rPr>
          <w:color w:val="000000" w:themeColor="text1"/>
          <w:sz w:val="20"/>
          <w:szCs w:val="20"/>
          <w:lang w:val="en-GB"/>
        </w:rPr>
        <w:t>PGZ-treated vs. control groups and the (c) ROSI-treated vs. control groups. (b) and (d) show the cross-validated cumulative modelled variation R</w:t>
      </w:r>
      <w:r w:rsidRPr="009A4479">
        <w:rPr>
          <w:color w:val="000000" w:themeColor="text1"/>
          <w:sz w:val="20"/>
          <w:szCs w:val="20"/>
          <w:vertAlign w:val="superscript"/>
          <w:lang w:val="en-GB"/>
        </w:rPr>
        <w:t>2</w:t>
      </w:r>
      <w:r w:rsidRPr="009A4479">
        <w:rPr>
          <w:color w:val="000000" w:themeColor="text1"/>
          <w:sz w:val="20"/>
          <w:szCs w:val="20"/>
          <w:lang w:val="en-GB"/>
        </w:rPr>
        <w:t>X, R</w:t>
      </w:r>
      <w:r w:rsidRPr="009A4479">
        <w:rPr>
          <w:color w:val="000000" w:themeColor="text1"/>
          <w:sz w:val="20"/>
          <w:szCs w:val="20"/>
          <w:vertAlign w:val="superscript"/>
          <w:lang w:val="en-GB"/>
        </w:rPr>
        <w:t>2</w:t>
      </w:r>
      <w:r w:rsidRPr="009A4479">
        <w:rPr>
          <w:color w:val="000000" w:themeColor="text1"/>
          <w:sz w:val="20"/>
          <w:szCs w:val="20"/>
          <w:lang w:val="en-GB"/>
        </w:rPr>
        <w:t>Y and Q</w:t>
      </w:r>
      <w:r w:rsidRPr="009A4479">
        <w:rPr>
          <w:color w:val="000000" w:themeColor="text1"/>
          <w:sz w:val="20"/>
          <w:szCs w:val="20"/>
          <w:vertAlign w:val="subscript"/>
          <w:lang w:val="en-GB"/>
        </w:rPr>
        <w:t>2</w:t>
      </w:r>
      <w:r w:rsidRPr="009A4479">
        <w:rPr>
          <w:color w:val="000000" w:themeColor="text1"/>
          <w:sz w:val="20"/>
          <w:szCs w:val="20"/>
          <w:lang w:val="en-GB"/>
        </w:rPr>
        <w:t xml:space="preserve"> coefficients of the predictive loading (p1) and orthogonal (o1, o2) components</w:t>
      </w:r>
      <w:r w:rsidR="00ED3B7A">
        <w:rPr>
          <w:color w:val="000000" w:themeColor="text1"/>
          <w:sz w:val="20"/>
          <w:szCs w:val="20"/>
          <w:lang w:val="en-GB"/>
        </w:rPr>
        <w:t xml:space="preserve"> </w:t>
      </w:r>
      <w:r w:rsidR="00ED3B7A" w:rsidRPr="00ED3B7A">
        <w:rPr>
          <w:sz w:val="20"/>
          <w:szCs w:val="20"/>
        </w:rPr>
        <w:t>applied on OPLS-DA data</w:t>
      </w:r>
      <w:r w:rsidRPr="009A4479">
        <w:rPr>
          <w:color w:val="000000" w:themeColor="text1"/>
          <w:sz w:val="20"/>
          <w:szCs w:val="20"/>
          <w:lang w:val="en-GB"/>
        </w:rPr>
        <w:t>. The supervised OPLS-DA model illustrated in (a) yielded satisfactory fitness and a high predictive ability value (</w:t>
      </w:r>
      <w:r w:rsidRPr="009A4479">
        <w:rPr>
          <w:i/>
          <w:color w:val="000000" w:themeColor="text1"/>
          <w:sz w:val="20"/>
          <w:szCs w:val="20"/>
          <w:lang w:val="en-GB"/>
        </w:rPr>
        <w:t>R</w:t>
      </w:r>
      <w:r w:rsidRPr="009A4479">
        <w:rPr>
          <w:color w:val="000000" w:themeColor="text1"/>
          <w:sz w:val="20"/>
          <w:szCs w:val="20"/>
          <w:vertAlign w:val="superscript"/>
          <w:lang w:val="en-GB"/>
        </w:rPr>
        <w:t>2</w:t>
      </w:r>
      <w:r w:rsidRPr="009A4479">
        <w:rPr>
          <w:color w:val="000000" w:themeColor="text1"/>
          <w:sz w:val="20"/>
          <w:szCs w:val="20"/>
          <w:lang w:val="en-GB"/>
        </w:rPr>
        <w:t> = 0.747 and </w:t>
      </w:r>
      <w:r w:rsidRPr="009A4479">
        <w:rPr>
          <w:i/>
          <w:color w:val="000000" w:themeColor="text1"/>
          <w:sz w:val="20"/>
          <w:szCs w:val="20"/>
          <w:lang w:val="en-GB"/>
        </w:rPr>
        <w:t>Q</w:t>
      </w:r>
      <w:r w:rsidRPr="009A4479">
        <w:rPr>
          <w:color w:val="000000" w:themeColor="text1"/>
          <w:sz w:val="20"/>
          <w:szCs w:val="20"/>
          <w:vertAlign w:val="superscript"/>
          <w:lang w:val="en-GB"/>
        </w:rPr>
        <w:t xml:space="preserve">2 </w:t>
      </w:r>
      <w:r w:rsidRPr="009A4479">
        <w:rPr>
          <w:color w:val="000000" w:themeColor="text1"/>
          <w:sz w:val="20"/>
          <w:szCs w:val="20"/>
          <w:lang w:val="en-GB"/>
        </w:rPr>
        <w:t xml:space="preserve">= 0.618, respectively), while </w:t>
      </w:r>
      <w:r w:rsidRPr="009A4479">
        <w:rPr>
          <w:color w:val="000000" w:themeColor="text1"/>
          <w:sz w:val="20"/>
          <w:szCs w:val="20"/>
          <w:bdr w:val="none" w:sz="0" w:space="0" w:color="auto" w:frame="1"/>
          <w:lang w:val="en-GB"/>
        </w:rPr>
        <w:t>the OPLS-DA score plot of the metabolite profiling data in (</w:t>
      </w:r>
      <w:r w:rsidRPr="009A4479">
        <w:rPr>
          <w:bCs/>
          <w:color w:val="000000" w:themeColor="text1"/>
          <w:sz w:val="20"/>
          <w:szCs w:val="20"/>
          <w:shd w:val="clear" w:color="auto" w:fill="FFFFFF"/>
          <w:lang w:val="en-GB"/>
        </w:rPr>
        <w:t>c)</w:t>
      </w:r>
      <w:r w:rsidRPr="009A4479">
        <w:rPr>
          <w:b/>
          <w:color w:val="000000" w:themeColor="text1"/>
          <w:sz w:val="20"/>
          <w:szCs w:val="20"/>
          <w:shd w:val="clear" w:color="auto" w:fill="FFFFFF"/>
          <w:lang w:val="en-GB"/>
        </w:rPr>
        <w:t xml:space="preserve"> </w:t>
      </w:r>
      <w:r w:rsidRPr="009A4479">
        <w:rPr>
          <w:color w:val="000000" w:themeColor="text1"/>
          <w:sz w:val="20"/>
          <w:szCs w:val="20"/>
          <w:bdr w:val="none" w:sz="0" w:space="0" w:color="auto" w:frame="1"/>
          <w:lang w:val="en-GB"/>
        </w:rPr>
        <w:t xml:space="preserve">demonstrated a similar clustering panel between the experimental groups, exhibiting </w:t>
      </w:r>
      <w:r w:rsidRPr="009A4479">
        <w:rPr>
          <w:color w:val="000000" w:themeColor="text1"/>
          <w:sz w:val="20"/>
          <w:szCs w:val="20"/>
          <w:shd w:val="clear" w:color="auto" w:fill="FFFFFF"/>
          <w:lang w:val="en-GB"/>
        </w:rPr>
        <w:t>satisfactory fitness and predictive ability values (</w:t>
      </w:r>
      <w:r w:rsidRPr="009A4479">
        <w:rPr>
          <w:rStyle w:val="html-italic"/>
          <w:i/>
          <w:color w:val="000000" w:themeColor="text1"/>
          <w:sz w:val="20"/>
          <w:szCs w:val="20"/>
          <w:lang w:val="en-GB"/>
        </w:rPr>
        <w:t>R</w:t>
      </w:r>
      <w:r w:rsidRPr="009A4479">
        <w:rPr>
          <w:color w:val="000000" w:themeColor="text1"/>
          <w:sz w:val="20"/>
          <w:szCs w:val="20"/>
          <w:vertAlign w:val="superscript"/>
          <w:lang w:val="en-GB"/>
        </w:rPr>
        <w:t>2</w:t>
      </w:r>
      <w:r w:rsidRPr="009A4479">
        <w:rPr>
          <w:rStyle w:val="apple-converted-space"/>
          <w:color w:val="000000" w:themeColor="text1"/>
          <w:sz w:val="20"/>
          <w:szCs w:val="20"/>
          <w:shd w:val="clear" w:color="auto" w:fill="FFFFFF"/>
          <w:lang w:val="en-GB"/>
        </w:rPr>
        <w:t> </w:t>
      </w:r>
      <w:r w:rsidRPr="009A4479">
        <w:rPr>
          <w:color w:val="000000" w:themeColor="text1"/>
          <w:sz w:val="20"/>
          <w:szCs w:val="20"/>
          <w:shd w:val="clear" w:color="auto" w:fill="FFFFFF"/>
          <w:lang w:val="en-GB"/>
        </w:rPr>
        <w:t>= 0.805 and</w:t>
      </w:r>
      <w:r w:rsidRPr="009A4479">
        <w:rPr>
          <w:rStyle w:val="apple-converted-space"/>
          <w:color w:val="000000" w:themeColor="text1"/>
          <w:sz w:val="20"/>
          <w:szCs w:val="20"/>
          <w:shd w:val="clear" w:color="auto" w:fill="FFFFFF"/>
          <w:lang w:val="en-GB"/>
        </w:rPr>
        <w:t> </w:t>
      </w:r>
      <w:r w:rsidRPr="009A4479">
        <w:rPr>
          <w:rStyle w:val="html-italic"/>
          <w:i/>
          <w:color w:val="000000" w:themeColor="text1"/>
          <w:sz w:val="20"/>
          <w:szCs w:val="20"/>
          <w:lang w:val="en-GB"/>
        </w:rPr>
        <w:t>Q</w:t>
      </w:r>
      <w:r w:rsidRPr="009A4479">
        <w:rPr>
          <w:color w:val="000000" w:themeColor="text1"/>
          <w:sz w:val="20"/>
          <w:szCs w:val="20"/>
          <w:vertAlign w:val="superscript"/>
          <w:lang w:val="en-GB"/>
        </w:rPr>
        <w:t xml:space="preserve">2 </w:t>
      </w:r>
      <w:r w:rsidRPr="009A4479">
        <w:rPr>
          <w:color w:val="000000" w:themeColor="text1"/>
          <w:sz w:val="20"/>
          <w:szCs w:val="20"/>
          <w:shd w:val="clear" w:color="auto" w:fill="FFFFFF"/>
          <w:lang w:val="en-GB"/>
        </w:rPr>
        <w:t>= 0.717, respectively).</w:t>
      </w:r>
    </w:p>
    <w:p w14:paraId="535454AC" w14:textId="77777777" w:rsidR="0049182D" w:rsidRPr="009A4479" w:rsidRDefault="0049182D" w:rsidP="0049182D">
      <w:pPr>
        <w:jc w:val="both"/>
        <w:rPr>
          <w:color w:val="000000" w:themeColor="text1"/>
          <w:sz w:val="20"/>
          <w:szCs w:val="20"/>
          <w:lang w:val="en-GB"/>
        </w:rPr>
      </w:pPr>
    </w:p>
    <w:p w14:paraId="65413136" w14:textId="77777777" w:rsidR="0049182D" w:rsidRPr="009A4479" w:rsidRDefault="0049182D" w:rsidP="0049182D">
      <w:pPr>
        <w:jc w:val="both"/>
        <w:rPr>
          <w:color w:val="000000" w:themeColor="text1"/>
          <w:sz w:val="20"/>
          <w:szCs w:val="20"/>
          <w:lang w:val="en-GB"/>
        </w:rPr>
      </w:pPr>
      <w:r w:rsidRPr="009A4479">
        <w:rPr>
          <w:color w:val="000000" w:themeColor="text1"/>
          <w:sz w:val="20"/>
          <w:szCs w:val="20"/>
          <w:lang w:val="en-GB"/>
        </w:rPr>
        <w:t xml:space="preserve">PGZ: pioglitazone; ROSI: rosiglitazone; OPLS-DA: </w:t>
      </w:r>
      <w:r w:rsidRPr="009A4479">
        <w:rPr>
          <w:color w:val="000000" w:themeColor="text1"/>
          <w:sz w:val="20"/>
          <w:szCs w:val="20"/>
          <w:bdr w:val="none" w:sz="0" w:space="0" w:color="auto" w:frame="1"/>
          <w:lang w:val="en-GB"/>
        </w:rPr>
        <w:t>orthogonal partial least squares-discriminant analysis.</w:t>
      </w:r>
    </w:p>
    <w:p w14:paraId="1109BF95" w14:textId="77777777" w:rsidR="0049182D" w:rsidRDefault="0049182D" w:rsidP="0049182D">
      <w:pPr>
        <w:jc w:val="both"/>
        <w:rPr>
          <w:color w:val="000000" w:themeColor="text1"/>
        </w:rPr>
      </w:pPr>
    </w:p>
    <w:p w14:paraId="54AC83A1" w14:textId="77777777" w:rsidR="0049182D" w:rsidRDefault="0049182D" w:rsidP="0049182D">
      <w:pPr>
        <w:jc w:val="both"/>
        <w:rPr>
          <w:color w:val="000000" w:themeColor="text1"/>
        </w:rPr>
      </w:pPr>
    </w:p>
    <w:p w14:paraId="0B9CE05F" w14:textId="77777777" w:rsidR="0049182D" w:rsidRDefault="0049182D" w:rsidP="0049182D">
      <w:pPr>
        <w:jc w:val="both"/>
        <w:rPr>
          <w:color w:val="000000" w:themeColor="text1"/>
        </w:rPr>
      </w:pPr>
    </w:p>
    <w:p w14:paraId="014102C3" w14:textId="77777777" w:rsidR="0049182D" w:rsidRDefault="0049182D" w:rsidP="0049182D">
      <w:pPr>
        <w:jc w:val="both"/>
        <w:rPr>
          <w:color w:val="000000" w:themeColor="text1"/>
        </w:rPr>
      </w:pPr>
    </w:p>
    <w:p w14:paraId="296A93EA" w14:textId="77777777" w:rsidR="0049182D" w:rsidRDefault="0049182D" w:rsidP="0049182D">
      <w:pPr>
        <w:jc w:val="both"/>
        <w:rPr>
          <w:color w:val="000000" w:themeColor="text1"/>
        </w:rPr>
      </w:pPr>
    </w:p>
    <w:p w14:paraId="7438D508" w14:textId="77777777" w:rsidR="0049182D" w:rsidRDefault="0049182D" w:rsidP="0049182D">
      <w:pPr>
        <w:jc w:val="both"/>
        <w:rPr>
          <w:color w:val="000000" w:themeColor="text1"/>
        </w:rPr>
      </w:pPr>
    </w:p>
    <w:p w14:paraId="2C6F3F20" w14:textId="77777777" w:rsidR="0049182D" w:rsidRDefault="0049182D" w:rsidP="0049182D">
      <w:pPr>
        <w:jc w:val="both"/>
        <w:rPr>
          <w:color w:val="000000" w:themeColor="text1"/>
        </w:rPr>
      </w:pPr>
    </w:p>
    <w:p w14:paraId="141AB7D4" w14:textId="77777777" w:rsidR="0049182D" w:rsidRDefault="0049182D" w:rsidP="0049182D">
      <w:pPr>
        <w:jc w:val="both"/>
        <w:rPr>
          <w:color w:val="000000" w:themeColor="text1"/>
        </w:rPr>
      </w:pPr>
    </w:p>
    <w:p w14:paraId="21793FF0" w14:textId="77777777" w:rsidR="0049182D" w:rsidRDefault="0049182D" w:rsidP="0049182D">
      <w:pPr>
        <w:jc w:val="both"/>
        <w:rPr>
          <w:color w:val="000000" w:themeColor="text1"/>
        </w:rPr>
      </w:pPr>
    </w:p>
    <w:p w14:paraId="0194A6A2" w14:textId="77777777" w:rsidR="0049182D" w:rsidRDefault="0049182D" w:rsidP="0049182D">
      <w:pPr>
        <w:jc w:val="both"/>
        <w:rPr>
          <w:color w:val="000000" w:themeColor="text1"/>
        </w:rPr>
      </w:pPr>
    </w:p>
    <w:p w14:paraId="49D77C79" w14:textId="77777777" w:rsidR="0049182D" w:rsidRDefault="0049182D" w:rsidP="0049182D">
      <w:pPr>
        <w:jc w:val="both"/>
        <w:rPr>
          <w:color w:val="000000" w:themeColor="text1"/>
        </w:rPr>
      </w:pPr>
    </w:p>
    <w:p w14:paraId="263F4E31" w14:textId="77777777" w:rsidR="0049182D" w:rsidRDefault="0049182D" w:rsidP="0049182D">
      <w:pPr>
        <w:jc w:val="both"/>
        <w:rPr>
          <w:color w:val="000000" w:themeColor="text1"/>
        </w:rPr>
      </w:pPr>
    </w:p>
    <w:p w14:paraId="6698756C" w14:textId="77777777" w:rsidR="0049182D" w:rsidRPr="009A4479" w:rsidRDefault="0049182D" w:rsidP="0049182D">
      <w:pPr>
        <w:jc w:val="both"/>
        <w:rPr>
          <w:color w:val="000000" w:themeColor="text1"/>
        </w:rPr>
      </w:pPr>
    </w:p>
    <w:p w14:paraId="2CAA79B2" w14:textId="77777777" w:rsidR="0049182D" w:rsidRDefault="0049182D" w:rsidP="0049182D">
      <w:pPr>
        <w:jc w:val="both"/>
        <w:rPr>
          <w:rStyle w:val="s2"/>
          <w:b/>
          <w:color w:val="000000" w:themeColor="text1"/>
          <w:sz w:val="20"/>
          <w:szCs w:val="22"/>
          <w:lang w:val="en-GB"/>
        </w:rPr>
      </w:pPr>
    </w:p>
    <w:p w14:paraId="068E9A95" w14:textId="77777777" w:rsidR="0049182D" w:rsidRDefault="0049182D" w:rsidP="0049182D">
      <w:pPr>
        <w:jc w:val="both"/>
        <w:rPr>
          <w:rStyle w:val="s2"/>
          <w:b/>
          <w:color w:val="000000" w:themeColor="text1"/>
          <w:sz w:val="20"/>
          <w:szCs w:val="22"/>
          <w:lang w:val="en-GB"/>
        </w:rPr>
      </w:pPr>
    </w:p>
    <w:p w14:paraId="7D87E15D" w14:textId="2B5A2417" w:rsidR="0049182D" w:rsidRDefault="0049182D" w:rsidP="0049182D">
      <w:pPr>
        <w:jc w:val="both"/>
        <w:rPr>
          <w:rStyle w:val="s2"/>
          <w:b/>
          <w:color w:val="000000" w:themeColor="text1"/>
          <w:sz w:val="20"/>
          <w:szCs w:val="22"/>
          <w:lang w:val="en-GB"/>
        </w:rPr>
      </w:pPr>
      <w:r>
        <w:rPr>
          <w:b/>
          <w:noProof/>
          <w:color w:val="000000" w:themeColor="text1"/>
          <w:sz w:val="20"/>
          <w:szCs w:val="22"/>
          <w:lang w:val="en-GB"/>
        </w:rPr>
        <w:lastRenderedPageBreak/>
        <w:drawing>
          <wp:inline distT="0" distB="0" distL="0" distR="0" wp14:anchorId="3C275B53" wp14:editId="205E2BB8">
            <wp:extent cx="5731510" cy="1927225"/>
            <wp:effectExtent l="0" t="0" r="0" b="3175"/>
            <wp:docPr id="451962956" name="Picture 2" descr="A comparison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962956" name="Picture 2" descr="A comparison of a graph&#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927225"/>
                    </a:xfrm>
                    <a:prstGeom prst="rect">
                      <a:avLst/>
                    </a:prstGeom>
                  </pic:spPr>
                </pic:pic>
              </a:graphicData>
            </a:graphic>
          </wp:inline>
        </w:drawing>
      </w:r>
    </w:p>
    <w:p w14:paraId="350B432C" w14:textId="77777777" w:rsidR="0049182D" w:rsidRDefault="0049182D" w:rsidP="0049182D">
      <w:pPr>
        <w:jc w:val="both"/>
        <w:rPr>
          <w:rStyle w:val="s2"/>
          <w:b/>
          <w:color w:val="000000" w:themeColor="text1"/>
          <w:sz w:val="20"/>
          <w:szCs w:val="22"/>
          <w:lang w:val="en-GB"/>
        </w:rPr>
      </w:pPr>
    </w:p>
    <w:p w14:paraId="4320E890" w14:textId="77777777" w:rsidR="0049182D" w:rsidRDefault="0049182D" w:rsidP="0049182D">
      <w:pPr>
        <w:jc w:val="both"/>
        <w:rPr>
          <w:rStyle w:val="s2"/>
          <w:b/>
          <w:color w:val="000000" w:themeColor="text1"/>
          <w:sz w:val="20"/>
          <w:szCs w:val="22"/>
          <w:lang w:val="en-GB"/>
        </w:rPr>
      </w:pPr>
    </w:p>
    <w:p w14:paraId="3E077E3C" w14:textId="0C1CACE1" w:rsidR="0049182D" w:rsidRPr="009A4479" w:rsidRDefault="0049182D" w:rsidP="0049182D">
      <w:pPr>
        <w:jc w:val="both"/>
        <w:rPr>
          <w:b/>
          <w:color w:val="000000" w:themeColor="text1"/>
          <w:sz w:val="20"/>
          <w:szCs w:val="22"/>
          <w:lang w:val="en-GB"/>
        </w:rPr>
      </w:pPr>
      <w:r w:rsidRPr="009A4479">
        <w:rPr>
          <w:rStyle w:val="s2"/>
          <w:b/>
          <w:color w:val="000000" w:themeColor="text1"/>
          <w:sz w:val="20"/>
          <w:szCs w:val="22"/>
          <w:lang w:val="en-GB"/>
        </w:rPr>
        <w:t xml:space="preserve">Figure S2. </w:t>
      </w:r>
      <w:r w:rsidRPr="009A4479">
        <w:rPr>
          <w:b/>
          <w:color w:val="000000" w:themeColor="text1"/>
          <w:sz w:val="20"/>
          <w:szCs w:val="22"/>
          <w:lang w:val="en-GB"/>
        </w:rPr>
        <w:t xml:space="preserve">Random </w:t>
      </w:r>
      <w:r>
        <w:rPr>
          <w:b/>
          <w:color w:val="000000" w:themeColor="text1"/>
          <w:sz w:val="20"/>
          <w:szCs w:val="22"/>
          <w:lang w:val="en-GB"/>
        </w:rPr>
        <w:t>f</w:t>
      </w:r>
      <w:r w:rsidRPr="009A4479">
        <w:rPr>
          <w:b/>
          <w:color w:val="000000" w:themeColor="text1"/>
          <w:sz w:val="20"/>
          <w:szCs w:val="22"/>
          <w:lang w:val="en-GB"/>
        </w:rPr>
        <w:t xml:space="preserve">orest classification model. </w:t>
      </w:r>
      <w:r w:rsidRPr="009A4479">
        <w:rPr>
          <w:bCs/>
          <w:color w:val="000000" w:themeColor="text1"/>
          <w:sz w:val="20"/>
          <w:szCs w:val="22"/>
          <w:lang w:val="en-GB"/>
        </w:rPr>
        <w:t xml:space="preserve">(a) and (b) represent the </w:t>
      </w:r>
      <w:r>
        <w:rPr>
          <w:bCs/>
          <w:color w:val="000000" w:themeColor="text1"/>
          <w:sz w:val="20"/>
          <w:szCs w:val="22"/>
          <w:lang w:val="en-GB"/>
        </w:rPr>
        <w:t>r</w:t>
      </w:r>
      <w:r w:rsidRPr="009A4479">
        <w:rPr>
          <w:bCs/>
          <w:color w:val="000000" w:themeColor="text1"/>
          <w:sz w:val="20"/>
          <w:szCs w:val="22"/>
          <w:lang w:val="en-GB"/>
        </w:rPr>
        <w:t xml:space="preserve">andom </w:t>
      </w:r>
      <w:r>
        <w:rPr>
          <w:bCs/>
          <w:color w:val="000000" w:themeColor="text1"/>
          <w:sz w:val="20"/>
          <w:szCs w:val="22"/>
          <w:lang w:val="en-GB"/>
        </w:rPr>
        <w:t>f</w:t>
      </w:r>
      <w:r w:rsidRPr="009A4479">
        <w:rPr>
          <w:bCs/>
          <w:color w:val="000000" w:themeColor="text1"/>
          <w:sz w:val="20"/>
          <w:szCs w:val="22"/>
          <w:lang w:val="en-GB"/>
        </w:rPr>
        <w:t>orest classification model of the PGZ and ROSI experiments, respectively, illustrating the cumulative error rates measured for each experimental group using the machine learning approach.</w:t>
      </w:r>
      <w:r w:rsidRPr="009A4479">
        <w:rPr>
          <w:b/>
          <w:color w:val="000000" w:themeColor="text1"/>
          <w:sz w:val="20"/>
          <w:szCs w:val="22"/>
          <w:lang w:val="en-GB"/>
        </w:rPr>
        <w:t> </w:t>
      </w:r>
    </w:p>
    <w:p w14:paraId="4082AC19" w14:textId="77777777" w:rsidR="0049182D" w:rsidRPr="009A4479" w:rsidRDefault="0049182D" w:rsidP="0049182D">
      <w:pPr>
        <w:jc w:val="both"/>
        <w:rPr>
          <w:b/>
          <w:color w:val="000000" w:themeColor="text1"/>
          <w:sz w:val="20"/>
          <w:szCs w:val="22"/>
          <w:lang w:val="en-GB"/>
        </w:rPr>
      </w:pPr>
    </w:p>
    <w:p w14:paraId="70110EED" w14:textId="77777777" w:rsidR="0049182D" w:rsidRDefault="0049182D" w:rsidP="0049182D">
      <w:pPr>
        <w:jc w:val="both"/>
        <w:rPr>
          <w:color w:val="000000" w:themeColor="text1"/>
          <w:sz w:val="20"/>
          <w:szCs w:val="20"/>
          <w:lang w:val="en-GB"/>
        </w:rPr>
      </w:pPr>
      <w:r w:rsidRPr="009A4479">
        <w:rPr>
          <w:color w:val="000000" w:themeColor="text1"/>
          <w:sz w:val="20"/>
          <w:szCs w:val="20"/>
          <w:lang w:val="en-GB"/>
        </w:rPr>
        <w:t>PGZ: pioglitazone; ROSI: rosiglitazone</w:t>
      </w:r>
    </w:p>
    <w:p w14:paraId="4BC41B03" w14:textId="77777777" w:rsidR="0049182D" w:rsidRDefault="0049182D" w:rsidP="0049182D">
      <w:pPr>
        <w:jc w:val="both"/>
        <w:rPr>
          <w:color w:val="000000" w:themeColor="text1"/>
          <w:sz w:val="20"/>
          <w:szCs w:val="20"/>
          <w:lang w:val="en-GB"/>
        </w:rPr>
      </w:pPr>
    </w:p>
    <w:p w14:paraId="739FEFDB" w14:textId="77777777" w:rsidR="0049182D" w:rsidRDefault="0049182D" w:rsidP="0049182D">
      <w:pPr>
        <w:jc w:val="both"/>
        <w:rPr>
          <w:color w:val="000000" w:themeColor="text1"/>
          <w:sz w:val="20"/>
          <w:szCs w:val="20"/>
          <w:lang w:val="en-GB"/>
        </w:rPr>
      </w:pPr>
    </w:p>
    <w:p w14:paraId="7450A4CB" w14:textId="77777777" w:rsidR="0049182D" w:rsidRDefault="0049182D" w:rsidP="0049182D">
      <w:pPr>
        <w:jc w:val="both"/>
        <w:rPr>
          <w:color w:val="000000" w:themeColor="text1"/>
          <w:sz w:val="20"/>
          <w:szCs w:val="20"/>
          <w:lang w:val="en-GB"/>
        </w:rPr>
      </w:pPr>
    </w:p>
    <w:p w14:paraId="50C55BB0" w14:textId="77777777" w:rsidR="0049182D" w:rsidRDefault="0049182D" w:rsidP="0049182D">
      <w:pPr>
        <w:jc w:val="both"/>
        <w:rPr>
          <w:color w:val="000000" w:themeColor="text1"/>
          <w:sz w:val="20"/>
          <w:szCs w:val="20"/>
          <w:lang w:val="en-GB"/>
        </w:rPr>
      </w:pPr>
    </w:p>
    <w:p w14:paraId="4D829D4B" w14:textId="2DB7A9FB" w:rsidR="0049182D" w:rsidRDefault="0049182D" w:rsidP="0049182D">
      <w:pPr>
        <w:jc w:val="both"/>
        <w:rPr>
          <w:color w:val="000000" w:themeColor="text1"/>
          <w:sz w:val="20"/>
          <w:szCs w:val="20"/>
          <w:lang w:val="en-GB"/>
        </w:rPr>
      </w:pPr>
    </w:p>
    <w:p w14:paraId="0D2B2DAF" w14:textId="77777777" w:rsidR="00D175CD" w:rsidRDefault="00D175CD" w:rsidP="0049182D">
      <w:pPr>
        <w:jc w:val="both"/>
        <w:rPr>
          <w:color w:val="000000" w:themeColor="text1"/>
          <w:sz w:val="20"/>
          <w:szCs w:val="20"/>
          <w:lang w:val="en-GB"/>
        </w:rPr>
      </w:pPr>
    </w:p>
    <w:p w14:paraId="62E407D4" w14:textId="77777777" w:rsidR="00D175CD" w:rsidRDefault="00D175CD" w:rsidP="0049182D">
      <w:pPr>
        <w:jc w:val="both"/>
        <w:rPr>
          <w:color w:val="000000" w:themeColor="text1"/>
          <w:sz w:val="20"/>
          <w:szCs w:val="20"/>
          <w:lang w:val="en-GB"/>
        </w:rPr>
      </w:pPr>
    </w:p>
    <w:p w14:paraId="54E57BDF" w14:textId="77777777" w:rsidR="00D175CD" w:rsidRDefault="00D175CD" w:rsidP="0049182D">
      <w:pPr>
        <w:jc w:val="both"/>
        <w:rPr>
          <w:color w:val="000000" w:themeColor="text1"/>
          <w:sz w:val="20"/>
          <w:szCs w:val="20"/>
          <w:lang w:val="en-GB"/>
        </w:rPr>
      </w:pPr>
    </w:p>
    <w:p w14:paraId="32E29A6D" w14:textId="77777777" w:rsidR="00D175CD" w:rsidRDefault="00D175CD" w:rsidP="0049182D">
      <w:pPr>
        <w:jc w:val="both"/>
        <w:rPr>
          <w:color w:val="000000" w:themeColor="text1"/>
          <w:sz w:val="20"/>
          <w:szCs w:val="20"/>
          <w:lang w:val="en-GB"/>
        </w:rPr>
      </w:pPr>
    </w:p>
    <w:p w14:paraId="702644A9" w14:textId="77777777" w:rsidR="00D175CD" w:rsidRDefault="00D175CD" w:rsidP="0049182D">
      <w:pPr>
        <w:jc w:val="both"/>
        <w:rPr>
          <w:color w:val="000000" w:themeColor="text1"/>
          <w:sz w:val="20"/>
          <w:szCs w:val="20"/>
          <w:lang w:val="en-GB"/>
        </w:rPr>
      </w:pPr>
    </w:p>
    <w:p w14:paraId="30E0DE81" w14:textId="77777777" w:rsidR="00D175CD" w:rsidRDefault="00D175CD" w:rsidP="0049182D">
      <w:pPr>
        <w:jc w:val="both"/>
        <w:rPr>
          <w:color w:val="000000" w:themeColor="text1"/>
          <w:sz w:val="20"/>
          <w:szCs w:val="20"/>
          <w:lang w:val="en-GB"/>
        </w:rPr>
      </w:pPr>
    </w:p>
    <w:p w14:paraId="42B673D9" w14:textId="77777777" w:rsidR="00D175CD" w:rsidRDefault="00D175CD" w:rsidP="0049182D">
      <w:pPr>
        <w:jc w:val="both"/>
        <w:rPr>
          <w:color w:val="000000" w:themeColor="text1"/>
          <w:sz w:val="20"/>
          <w:szCs w:val="20"/>
          <w:lang w:val="en-GB"/>
        </w:rPr>
      </w:pPr>
    </w:p>
    <w:p w14:paraId="17866B9E" w14:textId="77777777" w:rsidR="00D175CD" w:rsidRDefault="00D175CD" w:rsidP="0049182D">
      <w:pPr>
        <w:jc w:val="both"/>
        <w:rPr>
          <w:color w:val="000000" w:themeColor="text1"/>
          <w:sz w:val="20"/>
          <w:szCs w:val="20"/>
          <w:lang w:val="en-GB"/>
        </w:rPr>
      </w:pPr>
    </w:p>
    <w:p w14:paraId="685C43FA" w14:textId="77777777" w:rsidR="00D175CD" w:rsidRDefault="00D175CD" w:rsidP="0049182D">
      <w:pPr>
        <w:jc w:val="both"/>
        <w:rPr>
          <w:color w:val="000000" w:themeColor="text1"/>
          <w:sz w:val="20"/>
          <w:szCs w:val="20"/>
          <w:lang w:val="en-GB"/>
        </w:rPr>
      </w:pPr>
    </w:p>
    <w:p w14:paraId="00C17E39" w14:textId="77777777" w:rsidR="00D175CD" w:rsidRDefault="00D175CD" w:rsidP="0049182D">
      <w:pPr>
        <w:jc w:val="both"/>
        <w:rPr>
          <w:color w:val="000000" w:themeColor="text1"/>
          <w:sz w:val="20"/>
          <w:szCs w:val="20"/>
          <w:lang w:val="en-GB"/>
        </w:rPr>
      </w:pPr>
    </w:p>
    <w:p w14:paraId="0DE2C5E3" w14:textId="77777777" w:rsidR="00D175CD" w:rsidRDefault="00D175CD" w:rsidP="0049182D">
      <w:pPr>
        <w:jc w:val="both"/>
        <w:rPr>
          <w:color w:val="000000" w:themeColor="text1"/>
          <w:sz w:val="20"/>
          <w:szCs w:val="20"/>
          <w:lang w:val="en-GB"/>
        </w:rPr>
      </w:pPr>
    </w:p>
    <w:p w14:paraId="395695B3" w14:textId="77777777" w:rsidR="00D175CD" w:rsidRDefault="00D175CD" w:rsidP="0049182D">
      <w:pPr>
        <w:jc w:val="both"/>
        <w:rPr>
          <w:color w:val="000000" w:themeColor="text1"/>
          <w:sz w:val="20"/>
          <w:szCs w:val="20"/>
          <w:lang w:val="en-GB"/>
        </w:rPr>
      </w:pPr>
    </w:p>
    <w:p w14:paraId="77B6F3D8" w14:textId="77777777" w:rsidR="00D175CD" w:rsidRDefault="00D175CD" w:rsidP="0049182D">
      <w:pPr>
        <w:jc w:val="both"/>
        <w:rPr>
          <w:color w:val="000000" w:themeColor="text1"/>
          <w:sz w:val="20"/>
          <w:szCs w:val="20"/>
          <w:lang w:val="en-GB"/>
        </w:rPr>
      </w:pPr>
    </w:p>
    <w:p w14:paraId="122EB9FE" w14:textId="77777777" w:rsidR="00D175CD" w:rsidRDefault="00D175CD" w:rsidP="0049182D">
      <w:pPr>
        <w:jc w:val="both"/>
        <w:rPr>
          <w:color w:val="000000" w:themeColor="text1"/>
          <w:sz w:val="20"/>
          <w:szCs w:val="20"/>
          <w:lang w:val="en-GB"/>
        </w:rPr>
      </w:pPr>
    </w:p>
    <w:p w14:paraId="53044195" w14:textId="77777777" w:rsidR="00D175CD" w:rsidRDefault="00D175CD" w:rsidP="0049182D">
      <w:pPr>
        <w:jc w:val="both"/>
        <w:rPr>
          <w:color w:val="000000" w:themeColor="text1"/>
          <w:sz w:val="20"/>
          <w:szCs w:val="20"/>
          <w:lang w:val="en-GB"/>
        </w:rPr>
      </w:pPr>
    </w:p>
    <w:p w14:paraId="03D29D0D" w14:textId="77777777" w:rsidR="00D175CD" w:rsidRDefault="00D175CD" w:rsidP="0049182D">
      <w:pPr>
        <w:jc w:val="both"/>
        <w:rPr>
          <w:color w:val="000000" w:themeColor="text1"/>
          <w:sz w:val="20"/>
          <w:szCs w:val="20"/>
          <w:lang w:val="en-GB"/>
        </w:rPr>
      </w:pPr>
    </w:p>
    <w:p w14:paraId="3C3A35BF" w14:textId="77777777" w:rsidR="00D175CD" w:rsidRDefault="00D175CD" w:rsidP="0049182D">
      <w:pPr>
        <w:jc w:val="both"/>
        <w:rPr>
          <w:color w:val="000000" w:themeColor="text1"/>
          <w:sz w:val="20"/>
          <w:szCs w:val="20"/>
          <w:lang w:val="en-GB"/>
        </w:rPr>
      </w:pPr>
    </w:p>
    <w:p w14:paraId="6B8A1BED" w14:textId="77777777" w:rsidR="00D175CD" w:rsidRDefault="00D175CD" w:rsidP="0049182D">
      <w:pPr>
        <w:jc w:val="both"/>
        <w:rPr>
          <w:color w:val="000000" w:themeColor="text1"/>
          <w:sz w:val="20"/>
          <w:szCs w:val="20"/>
          <w:lang w:val="en-GB"/>
        </w:rPr>
      </w:pPr>
    </w:p>
    <w:p w14:paraId="37054172" w14:textId="77777777" w:rsidR="00D175CD" w:rsidRDefault="00D175CD" w:rsidP="0049182D">
      <w:pPr>
        <w:jc w:val="both"/>
        <w:rPr>
          <w:color w:val="000000" w:themeColor="text1"/>
          <w:sz w:val="20"/>
          <w:szCs w:val="20"/>
          <w:lang w:val="en-GB"/>
        </w:rPr>
      </w:pPr>
    </w:p>
    <w:p w14:paraId="787697D4" w14:textId="77777777" w:rsidR="00D175CD" w:rsidRDefault="00D175CD" w:rsidP="0049182D">
      <w:pPr>
        <w:jc w:val="both"/>
        <w:rPr>
          <w:color w:val="000000" w:themeColor="text1"/>
          <w:sz w:val="20"/>
          <w:szCs w:val="20"/>
          <w:lang w:val="en-GB"/>
        </w:rPr>
      </w:pPr>
    </w:p>
    <w:p w14:paraId="67C75D33" w14:textId="77777777" w:rsidR="00D175CD" w:rsidRDefault="00D175CD" w:rsidP="0049182D">
      <w:pPr>
        <w:jc w:val="both"/>
        <w:rPr>
          <w:color w:val="000000" w:themeColor="text1"/>
          <w:sz w:val="20"/>
          <w:szCs w:val="20"/>
          <w:lang w:val="en-GB"/>
        </w:rPr>
      </w:pPr>
    </w:p>
    <w:p w14:paraId="0D8B0F21" w14:textId="77777777" w:rsidR="00D175CD" w:rsidRDefault="00D175CD" w:rsidP="0049182D">
      <w:pPr>
        <w:jc w:val="both"/>
        <w:rPr>
          <w:color w:val="000000" w:themeColor="text1"/>
          <w:sz w:val="20"/>
          <w:szCs w:val="20"/>
          <w:lang w:val="en-GB"/>
        </w:rPr>
      </w:pPr>
    </w:p>
    <w:p w14:paraId="0E3B8867" w14:textId="77777777" w:rsidR="00D175CD" w:rsidRDefault="00D175CD" w:rsidP="0049182D">
      <w:pPr>
        <w:jc w:val="both"/>
        <w:rPr>
          <w:color w:val="000000" w:themeColor="text1"/>
          <w:sz w:val="20"/>
          <w:szCs w:val="20"/>
          <w:lang w:val="en-GB"/>
        </w:rPr>
      </w:pPr>
    </w:p>
    <w:p w14:paraId="3B4E3135" w14:textId="77777777" w:rsidR="00D175CD" w:rsidRDefault="00D175CD" w:rsidP="0049182D">
      <w:pPr>
        <w:jc w:val="both"/>
        <w:rPr>
          <w:color w:val="000000" w:themeColor="text1"/>
          <w:sz w:val="20"/>
          <w:szCs w:val="20"/>
          <w:lang w:val="en-GB"/>
        </w:rPr>
      </w:pPr>
    </w:p>
    <w:p w14:paraId="5F5D78E4" w14:textId="77777777" w:rsidR="00D175CD" w:rsidRDefault="00D175CD" w:rsidP="0049182D">
      <w:pPr>
        <w:jc w:val="both"/>
        <w:rPr>
          <w:color w:val="000000" w:themeColor="text1"/>
          <w:sz w:val="20"/>
          <w:szCs w:val="20"/>
          <w:lang w:val="en-GB"/>
        </w:rPr>
      </w:pPr>
    </w:p>
    <w:p w14:paraId="63B670C9" w14:textId="77777777" w:rsidR="00D175CD" w:rsidRDefault="00D175CD" w:rsidP="0049182D">
      <w:pPr>
        <w:jc w:val="both"/>
        <w:rPr>
          <w:color w:val="000000" w:themeColor="text1"/>
          <w:sz w:val="20"/>
          <w:szCs w:val="20"/>
          <w:lang w:val="en-GB"/>
        </w:rPr>
      </w:pPr>
    </w:p>
    <w:p w14:paraId="6902E980" w14:textId="77777777" w:rsidR="00D175CD" w:rsidRDefault="00D175CD" w:rsidP="0049182D">
      <w:pPr>
        <w:jc w:val="both"/>
        <w:rPr>
          <w:color w:val="000000" w:themeColor="text1"/>
          <w:sz w:val="20"/>
          <w:szCs w:val="20"/>
          <w:lang w:val="en-GB"/>
        </w:rPr>
      </w:pPr>
    </w:p>
    <w:p w14:paraId="2B2E86C2" w14:textId="77777777" w:rsidR="00D175CD" w:rsidRDefault="00D175CD" w:rsidP="0049182D">
      <w:pPr>
        <w:jc w:val="both"/>
        <w:rPr>
          <w:color w:val="000000" w:themeColor="text1"/>
          <w:sz w:val="20"/>
          <w:szCs w:val="20"/>
          <w:lang w:val="en-GB"/>
        </w:rPr>
      </w:pPr>
    </w:p>
    <w:p w14:paraId="6813DDAC" w14:textId="77777777" w:rsidR="00D175CD" w:rsidRDefault="00D175CD" w:rsidP="0049182D">
      <w:pPr>
        <w:jc w:val="both"/>
        <w:rPr>
          <w:color w:val="000000" w:themeColor="text1"/>
          <w:sz w:val="20"/>
          <w:szCs w:val="20"/>
          <w:lang w:val="en-GB"/>
        </w:rPr>
      </w:pPr>
    </w:p>
    <w:p w14:paraId="7A7A519D" w14:textId="77777777" w:rsidR="00D175CD" w:rsidRDefault="00D175CD" w:rsidP="0049182D">
      <w:pPr>
        <w:jc w:val="both"/>
        <w:rPr>
          <w:color w:val="000000" w:themeColor="text1"/>
          <w:sz w:val="20"/>
          <w:szCs w:val="20"/>
          <w:lang w:val="en-GB"/>
        </w:rPr>
      </w:pPr>
    </w:p>
    <w:p w14:paraId="469E038D" w14:textId="77777777" w:rsidR="00D175CD" w:rsidRDefault="00D175CD" w:rsidP="0049182D">
      <w:pPr>
        <w:jc w:val="both"/>
        <w:rPr>
          <w:color w:val="000000" w:themeColor="text1"/>
          <w:sz w:val="20"/>
          <w:szCs w:val="20"/>
          <w:lang w:val="en-GB"/>
        </w:rPr>
      </w:pPr>
    </w:p>
    <w:p w14:paraId="578F3164" w14:textId="77777777" w:rsidR="00D175CD" w:rsidRDefault="00D175CD" w:rsidP="0049182D">
      <w:pPr>
        <w:jc w:val="both"/>
        <w:rPr>
          <w:color w:val="000000" w:themeColor="text1"/>
          <w:sz w:val="20"/>
          <w:szCs w:val="20"/>
          <w:lang w:val="en-GB"/>
        </w:rPr>
      </w:pPr>
    </w:p>
    <w:p w14:paraId="1CB68CFA" w14:textId="77777777" w:rsidR="00D175CD" w:rsidRDefault="00D175CD" w:rsidP="0049182D">
      <w:pPr>
        <w:jc w:val="both"/>
        <w:rPr>
          <w:color w:val="000000" w:themeColor="text1"/>
          <w:sz w:val="20"/>
          <w:szCs w:val="20"/>
          <w:lang w:val="en-GB"/>
        </w:rPr>
      </w:pPr>
    </w:p>
    <w:p w14:paraId="32CD4853" w14:textId="77777777" w:rsidR="00D175CD" w:rsidRDefault="00D175CD" w:rsidP="0049182D">
      <w:pPr>
        <w:jc w:val="both"/>
        <w:rPr>
          <w:color w:val="000000" w:themeColor="text1"/>
          <w:sz w:val="20"/>
          <w:szCs w:val="20"/>
          <w:lang w:val="en-GB"/>
        </w:rPr>
      </w:pPr>
    </w:p>
    <w:p w14:paraId="5E93832D" w14:textId="77777777" w:rsidR="00D175CD" w:rsidRDefault="00D175CD" w:rsidP="0049182D">
      <w:pPr>
        <w:jc w:val="both"/>
        <w:rPr>
          <w:color w:val="000000" w:themeColor="text1"/>
          <w:sz w:val="20"/>
          <w:szCs w:val="20"/>
          <w:lang w:val="en-GB"/>
        </w:rPr>
      </w:pPr>
    </w:p>
    <w:p w14:paraId="41846803" w14:textId="33A5CDA4" w:rsidR="00D175CD" w:rsidRDefault="00D175CD" w:rsidP="0049182D">
      <w:pPr>
        <w:jc w:val="both"/>
        <w:rPr>
          <w:color w:val="000000" w:themeColor="text1"/>
          <w:sz w:val="20"/>
          <w:szCs w:val="20"/>
          <w:lang w:val="en-GB"/>
        </w:rPr>
      </w:pPr>
      <w:r>
        <w:rPr>
          <w:noProof/>
          <w:color w:val="000000" w:themeColor="text1"/>
          <w:sz w:val="20"/>
          <w:szCs w:val="20"/>
          <w:lang w:val="en-GB"/>
        </w:rPr>
        <w:lastRenderedPageBreak/>
        <w:drawing>
          <wp:inline distT="0" distB="0" distL="0" distR="0" wp14:anchorId="7ACED81A" wp14:editId="351EA907">
            <wp:extent cx="5731510" cy="4177665"/>
            <wp:effectExtent l="0" t="0" r="0" b="635"/>
            <wp:docPr id="878588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588277" name="Picture 87858827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177665"/>
                    </a:xfrm>
                    <a:prstGeom prst="rect">
                      <a:avLst/>
                    </a:prstGeom>
                  </pic:spPr>
                </pic:pic>
              </a:graphicData>
            </a:graphic>
          </wp:inline>
        </w:drawing>
      </w:r>
    </w:p>
    <w:p w14:paraId="2C5F2A3A" w14:textId="77777777" w:rsidR="0010395B" w:rsidRDefault="0010395B" w:rsidP="0010395B"/>
    <w:p w14:paraId="3D3C6E33" w14:textId="77777777" w:rsidR="0049182D" w:rsidRPr="009A4479" w:rsidRDefault="0049182D" w:rsidP="0049182D">
      <w:pPr>
        <w:jc w:val="both"/>
        <w:rPr>
          <w:color w:val="000000" w:themeColor="text1"/>
          <w:sz w:val="20"/>
          <w:szCs w:val="20"/>
          <w:lang w:val="en-GB"/>
        </w:rPr>
      </w:pPr>
      <w:r w:rsidRPr="009A4479">
        <w:rPr>
          <w:rStyle w:val="s2"/>
          <w:b/>
          <w:color w:val="000000" w:themeColor="text1"/>
          <w:sz w:val="20"/>
          <w:szCs w:val="20"/>
          <w:lang w:val="en-GB"/>
        </w:rPr>
        <w:t xml:space="preserve">Figure </w:t>
      </w:r>
      <w:r>
        <w:rPr>
          <w:rStyle w:val="s2"/>
          <w:b/>
          <w:color w:val="000000" w:themeColor="text1"/>
          <w:sz w:val="20"/>
          <w:szCs w:val="20"/>
          <w:lang w:val="en-GB"/>
        </w:rPr>
        <w:t>S3</w:t>
      </w:r>
      <w:r w:rsidRPr="009A4479">
        <w:rPr>
          <w:rStyle w:val="s2"/>
          <w:b/>
          <w:color w:val="000000" w:themeColor="text1"/>
          <w:sz w:val="20"/>
          <w:szCs w:val="20"/>
          <w:lang w:val="en-GB"/>
        </w:rPr>
        <w:t xml:space="preserve">. </w:t>
      </w:r>
      <w:proofErr w:type="spellStart"/>
      <w:r w:rsidRPr="009A4479">
        <w:rPr>
          <w:b/>
          <w:bCs/>
          <w:color w:val="000000" w:themeColor="text1"/>
          <w:sz w:val="20"/>
          <w:szCs w:val="20"/>
          <w:lang w:val="en-GB"/>
        </w:rPr>
        <w:t>UpSet</w:t>
      </w:r>
      <w:proofErr w:type="spellEnd"/>
      <w:r w:rsidRPr="009A4479">
        <w:rPr>
          <w:b/>
          <w:bCs/>
          <w:color w:val="000000" w:themeColor="text1"/>
          <w:sz w:val="20"/>
          <w:szCs w:val="20"/>
          <w:lang w:val="en-GB"/>
        </w:rPr>
        <w:t xml:space="preserve"> plot illustrating the overlapping and specific characteristic features, MSEA and pathway analysis findings for the two experiments.</w:t>
      </w:r>
      <w:r w:rsidRPr="009A4479">
        <w:rPr>
          <w:color w:val="000000" w:themeColor="text1"/>
          <w:sz w:val="20"/>
          <w:szCs w:val="20"/>
          <w:lang w:val="en-GB"/>
        </w:rPr>
        <w:t xml:space="preserve"> The </w:t>
      </w:r>
      <w:r w:rsidRPr="009A4479">
        <w:rPr>
          <w:i/>
          <w:iCs/>
          <w:color w:val="000000" w:themeColor="text1"/>
          <w:sz w:val="20"/>
          <w:szCs w:val="20"/>
          <w:lang w:val="en-GB"/>
        </w:rPr>
        <w:t>x</w:t>
      </w:r>
      <w:r w:rsidRPr="009A4479">
        <w:rPr>
          <w:color w:val="000000" w:themeColor="text1"/>
          <w:sz w:val="20"/>
          <w:szCs w:val="20"/>
          <w:lang w:val="en-GB"/>
        </w:rPr>
        <w:t xml:space="preserve">-axis (set size) represents the size of each set, while the intersection size indicates the number of each set’s measures that are common between sets. The black points denote the intersections, while the grey points represent no intersections. </w:t>
      </w:r>
    </w:p>
    <w:p w14:paraId="525C76C3" w14:textId="77777777" w:rsidR="0049182D" w:rsidRPr="009A4479" w:rsidRDefault="0049182D" w:rsidP="0049182D">
      <w:pPr>
        <w:jc w:val="both"/>
        <w:rPr>
          <w:color w:val="000000" w:themeColor="text1"/>
          <w:sz w:val="20"/>
          <w:szCs w:val="20"/>
          <w:lang w:val="en-GB"/>
        </w:rPr>
      </w:pPr>
    </w:p>
    <w:p w14:paraId="404507AF" w14:textId="77777777" w:rsidR="0049182D" w:rsidRPr="009A4479" w:rsidRDefault="0049182D" w:rsidP="0049182D">
      <w:pPr>
        <w:jc w:val="both"/>
        <w:rPr>
          <w:color w:val="000000" w:themeColor="text1"/>
          <w:sz w:val="20"/>
          <w:szCs w:val="20"/>
          <w:lang w:val="en-GB"/>
        </w:rPr>
      </w:pPr>
      <w:r w:rsidRPr="009A4479">
        <w:rPr>
          <w:color w:val="000000" w:themeColor="text1"/>
          <w:sz w:val="20"/>
          <w:szCs w:val="20"/>
          <w:lang w:val="en-GB"/>
        </w:rPr>
        <w:t xml:space="preserve">PGZ: pioglitazone; ROSI: rosiglitazone; MSEA: metabolite set enrichment analysis; </w:t>
      </w:r>
      <w:r w:rsidRPr="009A4479">
        <w:rPr>
          <w:color w:val="000000" w:themeColor="text1"/>
          <w:sz w:val="20"/>
          <w:szCs w:val="20"/>
          <w:shd w:val="clear" w:color="auto" w:fill="FFFFFF"/>
          <w:lang w:val="en-GB"/>
        </w:rPr>
        <w:t xml:space="preserve">KEGG: Kyoto </w:t>
      </w:r>
      <w:proofErr w:type="spellStart"/>
      <w:r w:rsidRPr="009A4479">
        <w:rPr>
          <w:color w:val="000000" w:themeColor="text1"/>
          <w:sz w:val="20"/>
          <w:szCs w:val="20"/>
          <w:shd w:val="clear" w:color="auto" w:fill="FFFFFF"/>
          <w:lang w:val="en-GB"/>
        </w:rPr>
        <w:t>Encyclopedia</w:t>
      </w:r>
      <w:proofErr w:type="spellEnd"/>
      <w:r w:rsidRPr="009A4479">
        <w:rPr>
          <w:color w:val="000000" w:themeColor="text1"/>
          <w:sz w:val="20"/>
          <w:szCs w:val="20"/>
          <w:shd w:val="clear" w:color="auto" w:fill="FFFFFF"/>
          <w:lang w:val="en-GB"/>
        </w:rPr>
        <w:t xml:space="preserve"> of Genes and Genomes.</w:t>
      </w:r>
    </w:p>
    <w:p w14:paraId="61921BAC" w14:textId="77777777" w:rsidR="0049182D" w:rsidRPr="0010395B" w:rsidRDefault="0049182D" w:rsidP="0010395B"/>
    <w:sectPr w:rsidR="0049182D" w:rsidRPr="001039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39FD"/>
    <w:multiLevelType w:val="multilevel"/>
    <w:tmpl w:val="EB687C1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CA625A7"/>
    <w:multiLevelType w:val="multilevel"/>
    <w:tmpl w:val="04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FE1436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2717B7A"/>
    <w:multiLevelType w:val="hybridMultilevel"/>
    <w:tmpl w:val="77F0D608"/>
    <w:lvl w:ilvl="0" w:tplc="82DE16C8">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71747B1"/>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C237F9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3038883">
    <w:abstractNumId w:val="5"/>
  </w:num>
  <w:num w:numId="2" w16cid:durableId="1020160789">
    <w:abstractNumId w:val="3"/>
  </w:num>
  <w:num w:numId="3" w16cid:durableId="2097365369">
    <w:abstractNumId w:val="0"/>
  </w:num>
  <w:num w:numId="4" w16cid:durableId="1755199680">
    <w:abstractNumId w:val="2"/>
  </w:num>
  <w:num w:numId="5" w16cid:durableId="2073305168">
    <w:abstractNumId w:val="4"/>
  </w:num>
  <w:num w:numId="6" w16cid:durableId="437801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D3"/>
    <w:rsid w:val="000D476B"/>
    <w:rsid w:val="000E223C"/>
    <w:rsid w:val="0010395B"/>
    <w:rsid w:val="00121A0A"/>
    <w:rsid w:val="00142DE8"/>
    <w:rsid w:val="001E44F3"/>
    <w:rsid w:val="001F5826"/>
    <w:rsid w:val="00285333"/>
    <w:rsid w:val="002A6B38"/>
    <w:rsid w:val="00336EF6"/>
    <w:rsid w:val="003B5744"/>
    <w:rsid w:val="003F74CA"/>
    <w:rsid w:val="0044669A"/>
    <w:rsid w:val="00480488"/>
    <w:rsid w:val="00481A4D"/>
    <w:rsid w:val="0049182D"/>
    <w:rsid w:val="004A394D"/>
    <w:rsid w:val="00753ADC"/>
    <w:rsid w:val="00774ADF"/>
    <w:rsid w:val="008166A1"/>
    <w:rsid w:val="00880ECD"/>
    <w:rsid w:val="00891926"/>
    <w:rsid w:val="0089627C"/>
    <w:rsid w:val="008D6804"/>
    <w:rsid w:val="0094344C"/>
    <w:rsid w:val="0095089E"/>
    <w:rsid w:val="009F3CEA"/>
    <w:rsid w:val="00A10F22"/>
    <w:rsid w:val="00A363CB"/>
    <w:rsid w:val="00A878A9"/>
    <w:rsid w:val="00A910C4"/>
    <w:rsid w:val="00B77AF5"/>
    <w:rsid w:val="00C3293C"/>
    <w:rsid w:val="00CB180D"/>
    <w:rsid w:val="00CC4678"/>
    <w:rsid w:val="00D175CD"/>
    <w:rsid w:val="00D22272"/>
    <w:rsid w:val="00DA37AA"/>
    <w:rsid w:val="00E312D3"/>
    <w:rsid w:val="00E3431E"/>
    <w:rsid w:val="00ED3B7A"/>
    <w:rsid w:val="00FE4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EB570"/>
  <w15:chartTrackingRefBased/>
  <w15:docId w15:val="{905A378C-0D98-417B-92C3-5F9ED8EAC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2D3"/>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880ECD"/>
    <w:pPr>
      <w:keepNext/>
      <w:keepLines/>
      <w:numPr>
        <w:numId w:val="3"/>
      </w:numPr>
      <w:spacing w:after="120" w:line="360" w:lineRule="auto"/>
      <w:outlineLvl w:val="0"/>
    </w:pPr>
    <w:rPr>
      <w:rFonts w:eastAsiaTheme="majorEastAsia" w:cstheme="majorBidi"/>
      <w:b/>
      <w:sz w:val="20"/>
      <w:szCs w:val="32"/>
    </w:rPr>
  </w:style>
  <w:style w:type="paragraph" w:styleId="Heading2">
    <w:name w:val="heading 2"/>
    <w:basedOn w:val="Normal"/>
    <w:next w:val="Normal"/>
    <w:link w:val="Heading2Char"/>
    <w:uiPriority w:val="9"/>
    <w:unhideWhenUsed/>
    <w:qFormat/>
    <w:rsid w:val="00880ECD"/>
    <w:pPr>
      <w:keepNext/>
      <w:keepLines/>
      <w:numPr>
        <w:ilvl w:val="1"/>
        <w:numId w:val="3"/>
      </w:numPr>
      <w:spacing w:after="120" w:line="360" w:lineRule="auto"/>
      <w:outlineLvl w:val="1"/>
    </w:pPr>
    <w:rPr>
      <w:rFonts w:eastAsiaTheme="majorEastAsia" w:cstheme="majorBidi"/>
      <w:b/>
      <w:sz w:val="20"/>
      <w:szCs w:val="26"/>
    </w:rPr>
  </w:style>
  <w:style w:type="paragraph" w:styleId="Heading3">
    <w:name w:val="heading 3"/>
    <w:basedOn w:val="Normal"/>
    <w:next w:val="Normal"/>
    <w:link w:val="Heading3Char"/>
    <w:uiPriority w:val="9"/>
    <w:unhideWhenUsed/>
    <w:qFormat/>
    <w:rsid w:val="00336EF6"/>
    <w:pPr>
      <w:keepNext/>
      <w:keepLines/>
      <w:numPr>
        <w:ilvl w:val="2"/>
        <w:numId w:val="3"/>
      </w:numPr>
      <w:spacing w:after="120" w:line="360" w:lineRule="auto"/>
      <w:outlineLvl w:val="2"/>
    </w:pPr>
    <w:rPr>
      <w:rFonts w:eastAsiaTheme="majorEastAsia" w:cstheme="majorBidi"/>
      <w:b/>
      <w:color w:val="000000" w:themeColor="text1"/>
      <w:sz w:val="20"/>
    </w:rPr>
  </w:style>
  <w:style w:type="paragraph" w:styleId="Heading4">
    <w:name w:val="heading 4"/>
    <w:basedOn w:val="Normal"/>
    <w:next w:val="Normal"/>
    <w:link w:val="Heading4Char"/>
    <w:uiPriority w:val="9"/>
    <w:semiHidden/>
    <w:unhideWhenUsed/>
    <w:qFormat/>
    <w:rsid w:val="00880ECD"/>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80ECD"/>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80ECD"/>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80ECD"/>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80ECD"/>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80ECD"/>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12D3"/>
    <w:rPr>
      <w:color w:val="0563C1" w:themeColor="hyperlink"/>
      <w:u w:val="single"/>
    </w:rPr>
  </w:style>
  <w:style w:type="paragraph" w:customStyle="1" w:styleId="MDPI13authornames">
    <w:name w:val="MDPI_1.3_authornames"/>
    <w:next w:val="Normal"/>
    <w:qFormat/>
    <w:rsid w:val="00E312D3"/>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16affiliation">
    <w:name w:val="MDPI_1.6_affiliation"/>
    <w:qFormat/>
    <w:rsid w:val="00E312D3"/>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paragraph">
    <w:name w:val="paragraph"/>
    <w:basedOn w:val="Normal"/>
    <w:rsid w:val="00E312D3"/>
    <w:pPr>
      <w:spacing w:before="100" w:beforeAutospacing="1" w:after="100" w:afterAutospacing="1"/>
    </w:pPr>
    <w:rPr>
      <w:lang w:val="en-GB" w:eastAsia="en-GB"/>
    </w:rPr>
  </w:style>
  <w:style w:type="character" w:customStyle="1" w:styleId="normaltextrun">
    <w:name w:val="normaltextrun"/>
    <w:basedOn w:val="DefaultParagraphFont"/>
    <w:rsid w:val="00E312D3"/>
  </w:style>
  <w:style w:type="character" w:customStyle="1" w:styleId="eop">
    <w:name w:val="eop"/>
    <w:basedOn w:val="DefaultParagraphFont"/>
    <w:rsid w:val="00E312D3"/>
  </w:style>
  <w:style w:type="paragraph" w:styleId="ListParagraph">
    <w:name w:val="List Paragraph"/>
    <w:basedOn w:val="Normal"/>
    <w:uiPriority w:val="34"/>
    <w:qFormat/>
    <w:rsid w:val="00E312D3"/>
    <w:pPr>
      <w:ind w:left="720"/>
      <w:contextualSpacing/>
    </w:pPr>
  </w:style>
  <w:style w:type="character" w:customStyle="1" w:styleId="Heading1Char">
    <w:name w:val="Heading 1 Char"/>
    <w:basedOn w:val="DefaultParagraphFont"/>
    <w:link w:val="Heading1"/>
    <w:uiPriority w:val="9"/>
    <w:rsid w:val="00880ECD"/>
    <w:rPr>
      <w:rFonts w:ascii="Times New Roman" w:eastAsiaTheme="majorEastAsia" w:hAnsi="Times New Roman" w:cstheme="majorBidi"/>
      <w:b/>
      <w:sz w:val="20"/>
      <w:szCs w:val="32"/>
      <w:lang w:val="en-US"/>
    </w:rPr>
  </w:style>
  <w:style w:type="character" w:customStyle="1" w:styleId="Heading2Char">
    <w:name w:val="Heading 2 Char"/>
    <w:basedOn w:val="DefaultParagraphFont"/>
    <w:link w:val="Heading2"/>
    <w:uiPriority w:val="9"/>
    <w:rsid w:val="00E312D3"/>
    <w:rPr>
      <w:rFonts w:ascii="Times New Roman" w:eastAsiaTheme="majorEastAsia" w:hAnsi="Times New Roman" w:cstheme="majorBidi"/>
      <w:b/>
      <w:sz w:val="20"/>
      <w:szCs w:val="26"/>
      <w:lang w:val="en-US"/>
    </w:rPr>
  </w:style>
  <w:style w:type="numbering" w:customStyle="1" w:styleId="CurrentList1">
    <w:name w:val="Current List1"/>
    <w:uiPriority w:val="99"/>
    <w:rsid w:val="004A394D"/>
    <w:pPr>
      <w:numPr>
        <w:numId w:val="5"/>
      </w:numPr>
    </w:pPr>
  </w:style>
  <w:style w:type="numbering" w:customStyle="1" w:styleId="CurrentList2">
    <w:name w:val="Current List2"/>
    <w:uiPriority w:val="99"/>
    <w:rsid w:val="00880ECD"/>
    <w:pPr>
      <w:numPr>
        <w:numId w:val="6"/>
      </w:numPr>
    </w:pPr>
  </w:style>
  <w:style w:type="character" w:customStyle="1" w:styleId="Heading3Char">
    <w:name w:val="Heading 3 Char"/>
    <w:basedOn w:val="DefaultParagraphFont"/>
    <w:link w:val="Heading3"/>
    <w:uiPriority w:val="9"/>
    <w:rsid w:val="00336EF6"/>
    <w:rPr>
      <w:rFonts w:ascii="Times New Roman" w:eastAsiaTheme="majorEastAsia" w:hAnsi="Times New Roman" w:cstheme="majorBidi"/>
      <w:b/>
      <w:color w:val="000000" w:themeColor="text1"/>
      <w:sz w:val="20"/>
      <w:szCs w:val="24"/>
      <w:lang w:val="en-US"/>
    </w:rPr>
  </w:style>
  <w:style w:type="character" w:customStyle="1" w:styleId="Heading4Char">
    <w:name w:val="Heading 4 Char"/>
    <w:basedOn w:val="DefaultParagraphFont"/>
    <w:link w:val="Heading4"/>
    <w:uiPriority w:val="9"/>
    <w:semiHidden/>
    <w:rsid w:val="00880ECD"/>
    <w:rPr>
      <w:rFonts w:asciiTheme="majorHAnsi" w:eastAsiaTheme="majorEastAsia" w:hAnsiTheme="majorHAnsi" w:cstheme="majorBidi"/>
      <w:i/>
      <w:iCs/>
      <w:color w:val="2F5496" w:themeColor="accent1" w:themeShade="BF"/>
      <w:sz w:val="24"/>
      <w:szCs w:val="24"/>
      <w:lang w:val="en-US"/>
    </w:rPr>
  </w:style>
  <w:style w:type="character" w:customStyle="1" w:styleId="Heading5Char">
    <w:name w:val="Heading 5 Char"/>
    <w:basedOn w:val="DefaultParagraphFont"/>
    <w:link w:val="Heading5"/>
    <w:uiPriority w:val="9"/>
    <w:semiHidden/>
    <w:rsid w:val="00880ECD"/>
    <w:rPr>
      <w:rFonts w:asciiTheme="majorHAnsi" w:eastAsiaTheme="majorEastAsia" w:hAnsiTheme="majorHAnsi" w:cstheme="majorBidi"/>
      <w:color w:val="2F5496" w:themeColor="accent1" w:themeShade="BF"/>
      <w:sz w:val="24"/>
      <w:szCs w:val="24"/>
      <w:lang w:val="en-US"/>
    </w:rPr>
  </w:style>
  <w:style w:type="character" w:customStyle="1" w:styleId="Heading6Char">
    <w:name w:val="Heading 6 Char"/>
    <w:basedOn w:val="DefaultParagraphFont"/>
    <w:link w:val="Heading6"/>
    <w:uiPriority w:val="9"/>
    <w:semiHidden/>
    <w:rsid w:val="00880ECD"/>
    <w:rPr>
      <w:rFonts w:asciiTheme="majorHAnsi" w:eastAsiaTheme="majorEastAsia" w:hAnsiTheme="majorHAnsi" w:cstheme="majorBidi"/>
      <w:color w:val="1F3763" w:themeColor="accent1" w:themeShade="7F"/>
      <w:sz w:val="24"/>
      <w:szCs w:val="24"/>
      <w:lang w:val="en-US"/>
    </w:rPr>
  </w:style>
  <w:style w:type="character" w:customStyle="1" w:styleId="Heading7Char">
    <w:name w:val="Heading 7 Char"/>
    <w:basedOn w:val="DefaultParagraphFont"/>
    <w:link w:val="Heading7"/>
    <w:uiPriority w:val="9"/>
    <w:semiHidden/>
    <w:rsid w:val="00880ECD"/>
    <w:rPr>
      <w:rFonts w:asciiTheme="majorHAnsi" w:eastAsiaTheme="majorEastAsia" w:hAnsiTheme="majorHAnsi" w:cstheme="majorBidi"/>
      <w:i/>
      <w:iCs/>
      <w:color w:val="1F3763" w:themeColor="accent1" w:themeShade="7F"/>
      <w:sz w:val="24"/>
      <w:szCs w:val="24"/>
      <w:lang w:val="en-US"/>
    </w:rPr>
  </w:style>
  <w:style w:type="character" w:customStyle="1" w:styleId="Heading8Char">
    <w:name w:val="Heading 8 Char"/>
    <w:basedOn w:val="DefaultParagraphFont"/>
    <w:link w:val="Heading8"/>
    <w:uiPriority w:val="9"/>
    <w:semiHidden/>
    <w:rsid w:val="00880ECD"/>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880ECD"/>
    <w:rPr>
      <w:rFonts w:asciiTheme="majorHAnsi" w:eastAsiaTheme="majorEastAsia" w:hAnsiTheme="majorHAnsi" w:cstheme="majorBidi"/>
      <w:i/>
      <w:iCs/>
      <w:color w:val="272727" w:themeColor="text1" w:themeTint="D8"/>
      <w:sz w:val="21"/>
      <w:szCs w:val="21"/>
      <w:lang w:val="en-US"/>
    </w:rPr>
  </w:style>
  <w:style w:type="character" w:customStyle="1" w:styleId="xs2">
    <w:name w:val="x_s2"/>
    <w:basedOn w:val="DefaultParagraphFont"/>
    <w:rsid w:val="00336EF6"/>
  </w:style>
  <w:style w:type="character" w:customStyle="1" w:styleId="apple-converted-space">
    <w:name w:val="apple-converted-space"/>
    <w:basedOn w:val="DefaultParagraphFont"/>
    <w:rsid w:val="00336EF6"/>
  </w:style>
  <w:style w:type="character" w:customStyle="1" w:styleId="s2">
    <w:name w:val="s2"/>
    <w:basedOn w:val="DefaultParagraphFont"/>
    <w:rsid w:val="0049182D"/>
  </w:style>
  <w:style w:type="character" w:customStyle="1" w:styleId="html-italic">
    <w:name w:val="html-italic"/>
    <w:basedOn w:val="DefaultParagraphFont"/>
    <w:rsid w:val="00491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783993">
      <w:bodyDiv w:val="1"/>
      <w:marLeft w:val="0"/>
      <w:marRight w:val="0"/>
      <w:marTop w:val="0"/>
      <w:marBottom w:val="0"/>
      <w:divBdr>
        <w:top w:val="none" w:sz="0" w:space="0" w:color="auto"/>
        <w:left w:val="none" w:sz="0" w:space="0" w:color="auto"/>
        <w:bottom w:val="none" w:sz="0" w:space="0" w:color="auto"/>
        <w:right w:val="none" w:sz="0" w:space="0" w:color="auto"/>
      </w:divBdr>
      <w:divsChild>
        <w:div w:id="1410496114">
          <w:marLeft w:val="0"/>
          <w:marRight w:val="0"/>
          <w:marTop w:val="0"/>
          <w:marBottom w:val="0"/>
          <w:divBdr>
            <w:top w:val="none" w:sz="0" w:space="0" w:color="auto"/>
            <w:left w:val="none" w:sz="0" w:space="0" w:color="auto"/>
            <w:bottom w:val="none" w:sz="0" w:space="0" w:color="auto"/>
            <w:right w:val="none" w:sz="0" w:space="0" w:color="auto"/>
          </w:divBdr>
        </w:div>
        <w:div w:id="745689793">
          <w:marLeft w:val="0"/>
          <w:marRight w:val="0"/>
          <w:marTop w:val="0"/>
          <w:marBottom w:val="0"/>
          <w:divBdr>
            <w:top w:val="none" w:sz="0" w:space="0" w:color="auto"/>
            <w:left w:val="none" w:sz="0" w:space="0" w:color="auto"/>
            <w:bottom w:val="none" w:sz="0" w:space="0" w:color="auto"/>
            <w:right w:val="none" w:sz="0" w:space="0" w:color="auto"/>
          </w:divBdr>
        </w:div>
      </w:divsChild>
    </w:div>
    <w:div w:id="1841234779">
      <w:bodyDiv w:val="1"/>
      <w:marLeft w:val="0"/>
      <w:marRight w:val="0"/>
      <w:marTop w:val="0"/>
      <w:marBottom w:val="0"/>
      <w:divBdr>
        <w:top w:val="none" w:sz="0" w:space="0" w:color="auto"/>
        <w:left w:val="none" w:sz="0" w:space="0" w:color="auto"/>
        <w:bottom w:val="none" w:sz="0" w:space="0" w:color="auto"/>
        <w:right w:val="none" w:sz="0" w:space="0" w:color="auto"/>
      </w:divBdr>
    </w:div>
    <w:div w:id="1943299905">
      <w:bodyDiv w:val="1"/>
      <w:marLeft w:val="0"/>
      <w:marRight w:val="0"/>
      <w:marTop w:val="0"/>
      <w:marBottom w:val="0"/>
      <w:divBdr>
        <w:top w:val="none" w:sz="0" w:space="0" w:color="auto"/>
        <w:left w:val="none" w:sz="0" w:space="0" w:color="auto"/>
        <w:bottom w:val="none" w:sz="0" w:space="0" w:color="auto"/>
        <w:right w:val="none" w:sz="0" w:space="0" w:color="auto"/>
      </w:divBdr>
      <w:divsChild>
        <w:div w:id="1030643363">
          <w:marLeft w:val="0"/>
          <w:marRight w:val="0"/>
          <w:marTop w:val="0"/>
          <w:marBottom w:val="0"/>
          <w:divBdr>
            <w:top w:val="none" w:sz="0" w:space="0" w:color="auto"/>
            <w:left w:val="none" w:sz="0" w:space="0" w:color="auto"/>
            <w:bottom w:val="none" w:sz="0" w:space="0" w:color="auto"/>
            <w:right w:val="none" w:sz="0" w:space="0" w:color="auto"/>
          </w:divBdr>
        </w:div>
        <w:div w:id="669526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nicholas.rattray@strath.ac.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Alsultan</dc:creator>
  <cp:keywords/>
  <dc:description/>
  <cp:lastModifiedBy>Nicholas Rattray</cp:lastModifiedBy>
  <cp:revision>2</cp:revision>
  <dcterms:created xsi:type="dcterms:W3CDTF">2024-01-02T13:30:00Z</dcterms:created>
  <dcterms:modified xsi:type="dcterms:W3CDTF">2024-01-02T13:30:00Z</dcterms:modified>
</cp:coreProperties>
</file>