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47F8" w14:textId="77777777" w:rsidR="00F73643" w:rsidRDefault="00F73643" w:rsidP="00F73643">
      <w:pPr>
        <w:spacing w:line="288" w:lineRule="auto"/>
        <w:jc w:val="center"/>
        <w:rPr>
          <w:rFonts w:eastAsia="SimHei" w:cs="Times New Roman"/>
          <w:b/>
          <w:bCs/>
          <w:szCs w:val="21"/>
          <w:lang w:val="en-GB"/>
        </w:rPr>
      </w:pPr>
      <w:r>
        <w:rPr>
          <w:rFonts w:eastAsia="SimHei" w:cs="Times New Roman"/>
          <w:b/>
          <w:bCs/>
          <w:szCs w:val="21"/>
          <w:lang w:val="en-GB"/>
        </w:rPr>
        <w:t>Table 4. Condition configuration for high and nonhigh performance cases</w:t>
      </w:r>
    </w:p>
    <w:tbl>
      <w:tblPr>
        <w:tblW w:w="99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1005"/>
        <w:gridCol w:w="803"/>
        <w:gridCol w:w="803"/>
        <w:gridCol w:w="803"/>
        <w:gridCol w:w="1056"/>
        <w:gridCol w:w="1161"/>
        <w:gridCol w:w="1084"/>
        <w:gridCol w:w="1003"/>
      </w:tblGrid>
      <w:tr w:rsidR="00F73643" w14:paraId="3BF82B8A" w14:textId="77777777" w:rsidTr="006300C6">
        <w:trPr>
          <w:trHeight w:val="278"/>
          <w:tblHeader/>
        </w:trPr>
        <w:tc>
          <w:tcPr>
            <w:tcW w:w="2225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EF3B05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b/>
                <w:bCs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  <w:t>Conditional Variable</w:t>
            </w:r>
          </w:p>
        </w:tc>
        <w:tc>
          <w:tcPr>
            <w:tcW w:w="3414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1AD4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 xml:space="preserve"> High-performance paths</w:t>
            </w:r>
          </w:p>
        </w:tc>
        <w:tc>
          <w:tcPr>
            <w:tcW w:w="4304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0B62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Nonhigh-performance paths</w:t>
            </w:r>
          </w:p>
        </w:tc>
      </w:tr>
      <w:tr w:rsidR="00F73643" w14:paraId="0AAF8CD1" w14:textId="77777777" w:rsidTr="006300C6">
        <w:trPr>
          <w:trHeight w:val="435"/>
          <w:tblHeader/>
        </w:trPr>
        <w:tc>
          <w:tcPr>
            <w:tcW w:w="2225" w:type="dxa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AB2A4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100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81817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2A4FA6DE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C14BD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2E868178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21ABB0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1BC469A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3</w:t>
            </w: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9155EDE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23E53D8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4</w:t>
            </w:r>
          </w:p>
        </w:tc>
        <w:tc>
          <w:tcPr>
            <w:tcW w:w="1056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75ED1C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43162430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1</w:t>
            </w:r>
          </w:p>
        </w:tc>
        <w:tc>
          <w:tcPr>
            <w:tcW w:w="1161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77172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4AC1466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2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B7DA6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6F437A1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3</w:t>
            </w:r>
          </w:p>
        </w:tc>
      </w:tr>
      <w:tr w:rsidR="00F73643" w14:paraId="40D5A255" w14:textId="77777777" w:rsidTr="006300C6">
        <w:trPr>
          <w:trHeight w:val="1044"/>
          <w:tblHeader/>
        </w:trPr>
        <w:tc>
          <w:tcPr>
            <w:tcW w:w="2225" w:type="dxa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B9D3EB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100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03955E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861D6C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23B631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C113650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10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5D83F7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11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9C5998" w14:textId="77777777" w:rsidR="00F73643" w:rsidRDefault="00F73643" w:rsidP="006300C6">
            <w:pPr>
              <w:spacing w:line="288" w:lineRule="auto"/>
              <w:jc w:val="center"/>
              <w:rPr>
                <w:rFonts w:cs="Times New Roman"/>
                <w:sz w:val="22"/>
                <w:szCs w:val="21"/>
                <w:lang w:val="en-GB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26054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27A4F50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3a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588932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lang w:val="en-GB"/>
              </w:rPr>
            </w:pPr>
            <w:r>
              <w:rPr>
                <w:rFonts w:eastAsia="SimSun" w:cs="Times New Roman"/>
                <w:sz w:val="22"/>
                <w:lang w:val="en-GB"/>
              </w:rPr>
              <w:t>Group</w:t>
            </w:r>
          </w:p>
          <w:p w14:paraId="25942ED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3b</w:t>
            </w:r>
          </w:p>
        </w:tc>
      </w:tr>
      <w:tr w:rsidR="00F73643" w14:paraId="381C7A03" w14:textId="77777777" w:rsidTr="006300C6">
        <w:trPr>
          <w:trHeight w:val="454"/>
        </w:trPr>
        <w:tc>
          <w:tcPr>
            <w:tcW w:w="2225" w:type="dxa"/>
            <w:tcBorders>
              <w:top w:val="single" w:sz="4" w:space="0" w:color="auto"/>
              <w:bottom w:val="nil"/>
              <w:right w:val="nil"/>
            </w:tcBorders>
          </w:tcPr>
          <w:p w14:paraId="5EC16182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Policy signals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C68EC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FED8A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89608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210950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316158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702ADC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29151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31BAF2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</w:tr>
      <w:tr w:rsidR="00F73643" w14:paraId="01F467A3" w14:textId="77777777" w:rsidTr="006300C6">
        <w:trPr>
          <w:trHeight w:val="773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37819A0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Competition from neighbouring regions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0A8B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128D9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E91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E02390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5ACC" w14:textId="77777777" w:rsidR="00F73643" w:rsidRDefault="00F73643" w:rsidP="006300C6">
            <w:pPr>
              <w:spacing w:line="288" w:lineRule="auto"/>
              <w:jc w:val="center"/>
              <w:rPr>
                <w:rFonts w:eastAsia="东文宋体" w:cs="Times New Roman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1FFC1" w14:textId="77777777" w:rsidR="00F73643" w:rsidRDefault="00F73643" w:rsidP="006300C6">
            <w:pPr>
              <w:spacing w:line="288" w:lineRule="auto"/>
              <w:jc w:val="center"/>
              <w:rPr>
                <w:rFonts w:eastAsia="东文宋体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D5911" w14:textId="77777777" w:rsidR="00F73643" w:rsidRDefault="00F73643" w:rsidP="006300C6">
            <w:pPr>
              <w:spacing w:line="288" w:lineRule="auto"/>
              <w:jc w:val="center"/>
              <w:rPr>
                <w:rFonts w:eastAsia="东文宋体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△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vAlign w:val="center"/>
          </w:tcPr>
          <w:p w14:paraId="0DFEC5BC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</w:tr>
      <w:tr w:rsidR="00F73643" w14:paraId="0937D8E4" w14:textId="77777777" w:rsidTr="006300C6">
        <w:trPr>
          <w:trHeight w:val="454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18387D62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Institutional measures support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CFA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1FDB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DF9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9C2DE28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929A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1F14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196F2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vAlign w:val="center"/>
          </w:tcPr>
          <w:p w14:paraId="4AC8823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</w:tr>
      <w:tr w:rsidR="00F73643" w14:paraId="1D7CBF97" w14:textId="77777777" w:rsidTr="006300C6">
        <w:trPr>
          <w:trHeight w:val="454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3E8847B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Construction of recycling industries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3393B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3D7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C39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C98196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37E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243F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E51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vAlign w:val="center"/>
          </w:tcPr>
          <w:p w14:paraId="2791BFE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</w:p>
        </w:tc>
      </w:tr>
      <w:tr w:rsidR="00F73643" w14:paraId="7B65BE60" w14:textId="77777777" w:rsidTr="006300C6">
        <w:trPr>
          <w:trHeight w:val="454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55CECB30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Prevention of environmental risks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C74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DCA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3E2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37FDEB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108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F2C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071F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vAlign w:val="center"/>
          </w:tcPr>
          <w:p w14:paraId="26E0067D" w14:textId="77777777" w:rsidR="00F73643" w:rsidRDefault="00F73643" w:rsidP="006300C6">
            <w:pPr>
              <w:spacing w:line="288" w:lineRule="auto"/>
              <w:jc w:val="center"/>
              <w:rPr>
                <w:rFonts w:eastAsia="东文宋体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</w:tr>
      <w:tr w:rsidR="00F73643" w14:paraId="6755BCB0" w14:textId="77777777" w:rsidTr="006300C6">
        <w:trPr>
          <w:trHeight w:val="454"/>
        </w:trPr>
        <w:tc>
          <w:tcPr>
            <w:tcW w:w="2225" w:type="dxa"/>
            <w:tcBorders>
              <w:top w:val="nil"/>
              <w:bottom w:val="single" w:sz="4" w:space="0" w:color="auto"/>
              <w:right w:val="nil"/>
            </w:tcBorders>
          </w:tcPr>
          <w:p w14:paraId="0945685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Assessment of green policy performance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0374E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68E8A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东文宋体" w:cs="Times New Roman"/>
                <w:sz w:val="22"/>
                <w:szCs w:val="20"/>
                <w:lang w:val="en-GB"/>
              </w:rPr>
              <w:t>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730DB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CA0A89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0326D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54CA2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9D6D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D03D6D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sz w:val="22"/>
                <w:szCs w:val="20"/>
                <w:lang w:val="en-GB"/>
              </w:rPr>
              <w:t>■</w:t>
            </w:r>
          </w:p>
        </w:tc>
      </w:tr>
      <w:tr w:rsidR="00F73643" w14:paraId="4970B0D2" w14:textId="77777777" w:rsidTr="006300C6">
        <w:trPr>
          <w:trHeight w:val="397"/>
        </w:trPr>
        <w:tc>
          <w:tcPr>
            <w:tcW w:w="2225" w:type="dxa"/>
            <w:tcBorders>
              <w:top w:val="single" w:sz="4" w:space="0" w:color="auto"/>
              <w:bottom w:val="nil"/>
              <w:right w:val="nil"/>
            </w:tcBorders>
          </w:tcPr>
          <w:p w14:paraId="5F3489D2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  <w:t>Consistency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82DFA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0.973941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8D73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53B8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0.942308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658E4F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0.990196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54791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0.994924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5A139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 0.990196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F6E0F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6208A91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1</w:t>
            </w:r>
          </w:p>
        </w:tc>
      </w:tr>
      <w:tr w:rsidR="00F73643" w14:paraId="3AEDFBBE" w14:textId="77777777" w:rsidTr="006300C6">
        <w:trPr>
          <w:trHeight w:val="397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033C417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  <w:t>Raw coverage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DED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0.498333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1CC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0.331667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8936C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0.163333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78C78C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0.168333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1CB9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 0.230588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8E1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 0.118824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9B7D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  0.116471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vAlign w:val="center"/>
          </w:tcPr>
          <w:p w14:paraId="4FD50A0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0.116471</w:t>
            </w:r>
          </w:p>
        </w:tc>
      </w:tr>
      <w:tr w:rsidR="00F73643" w14:paraId="10A2A882" w14:textId="77777777" w:rsidTr="006300C6">
        <w:trPr>
          <w:trHeight w:val="397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56DF7C04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  <w:t>Unique coverage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5970B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0.328333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068EC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0.163333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FD1B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0.081667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72BA05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0.080000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17E6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0.169412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BAC7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 0.056470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5788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 xml:space="preserve">0.114118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vAlign w:val="center"/>
          </w:tcPr>
          <w:p w14:paraId="22B4E42F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0.115294</w:t>
            </w:r>
          </w:p>
        </w:tc>
      </w:tr>
      <w:tr w:rsidR="00F73643" w14:paraId="043B2DEE" w14:textId="77777777" w:rsidTr="006300C6">
        <w:trPr>
          <w:trHeight w:val="397"/>
        </w:trPr>
        <w:tc>
          <w:tcPr>
            <w:tcW w:w="2225" w:type="dxa"/>
            <w:tcBorders>
              <w:top w:val="nil"/>
              <w:bottom w:val="nil"/>
              <w:right w:val="nil"/>
            </w:tcBorders>
          </w:tcPr>
          <w:p w14:paraId="4B273700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  <w:t>Solution coverage</w:t>
            </w:r>
          </w:p>
        </w:tc>
        <w:tc>
          <w:tcPr>
            <w:tcW w:w="341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A75E88C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0.903333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8670BC3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0.922353</w:t>
            </w:r>
          </w:p>
        </w:tc>
      </w:tr>
      <w:tr w:rsidR="00F73643" w14:paraId="784DA99A" w14:textId="77777777" w:rsidTr="006300C6">
        <w:trPr>
          <w:trHeight w:val="397"/>
        </w:trPr>
        <w:tc>
          <w:tcPr>
            <w:tcW w:w="2225" w:type="dxa"/>
            <w:tcBorders>
              <w:top w:val="nil"/>
              <w:bottom w:val="single" w:sz="4" w:space="0" w:color="auto"/>
              <w:right w:val="nil"/>
            </w:tcBorders>
          </w:tcPr>
          <w:p w14:paraId="6D5DC120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</w:pPr>
            <w:r>
              <w:rPr>
                <w:rFonts w:eastAsia="SimSun" w:cs="Times New Roman"/>
                <w:color w:val="000000"/>
                <w:sz w:val="22"/>
                <w:szCs w:val="20"/>
                <w:lang w:val="en-GB"/>
              </w:rPr>
              <w:t>Solution consistency</w:t>
            </w:r>
          </w:p>
        </w:tc>
        <w:tc>
          <w:tcPr>
            <w:tcW w:w="3414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C6D545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0.978339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6F0A098" w14:textId="77777777" w:rsidR="00F73643" w:rsidRDefault="00F73643" w:rsidP="006300C6">
            <w:pPr>
              <w:spacing w:line="288" w:lineRule="auto"/>
              <w:jc w:val="center"/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</w:pPr>
            <w:r>
              <w:rPr>
                <w:rFonts w:eastAsia="SimSun" w:cs="Times New Roman"/>
                <w:color w:val="000000"/>
                <w:spacing w:val="-11"/>
                <w:sz w:val="18"/>
                <w:szCs w:val="18"/>
                <w:lang w:val="en-GB"/>
              </w:rPr>
              <w:t>0.99115</w:t>
            </w:r>
          </w:p>
        </w:tc>
      </w:tr>
    </w:tbl>
    <w:p w14:paraId="56707699" w14:textId="77777777" w:rsidR="00F73643" w:rsidRDefault="00F73643" w:rsidP="00F73643">
      <w:pPr>
        <w:ind w:firstLineChars="200" w:firstLine="480"/>
        <w:rPr>
          <w:rFonts w:eastAsia="SimSun" w:cs="Times New Roman"/>
          <w:szCs w:val="24"/>
          <w:lang w:val="en-GB"/>
        </w:rPr>
      </w:pPr>
      <w:r>
        <w:rPr>
          <w:rFonts w:eastAsia="SimSun" w:cs="Times New Roman" w:hint="eastAsia"/>
          <w:szCs w:val="24"/>
          <w:lang w:val="en-GB"/>
        </w:rPr>
        <w:lastRenderedPageBreak/>
        <w:t xml:space="preserve">Remarks: </w:t>
      </w:r>
      <w:r>
        <w:rPr>
          <w:rFonts w:eastAsia="SimSun" w:cs="Times New Roman" w:hint="eastAsia"/>
          <w:szCs w:val="24"/>
          <w:lang w:val="en-GB"/>
        </w:rPr>
        <w:t>■</w:t>
      </w:r>
      <w:r>
        <w:rPr>
          <w:rFonts w:eastAsia="SimSun" w:cs="Times New Roman" w:hint="eastAsia"/>
          <w:szCs w:val="24"/>
          <w:lang w:val="en-GB"/>
        </w:rPr>
        <w:t xml:space="preserve"> indicates that the core condition exists, </w:t>
      </w:r>
      <w:r>
        <w:rPr>
          <w:rFonts w:eastAsia="SimSun" w:cs="Times New Roman" w:hint="eastAsia"/>
          <w:szCs w:val="24"/>
          <w:lang w:val="en-GB"/>
        </w:rPr>
        <w:t>□</w:t>
      </w:r>
      <w:r>
        <w:rPr>
          <w:rFonts w:eastAsia="SimSun" w:cs="Times New Roman" w:hint="eastAsia"/>
          <w:szCs w:val="24"/>
          <w:lang w:val="en-GB"/>
        </w:rPr>
        <w:t xml:space="preserve"> indicates that the core condition does not exist. </w:t>
      </w:r>
      <w:r>
        <w:rPr>
          <w:rFonts w:eastAsia="SimSun" w:cs="Times New Roman" w:hint="eastAsia"/>
          <w:szCs w:val="24"/>
          <w:lang w:val="en-GB"/>
        </w:rPr>
        <w:t>▲</w:t>
      </w:r>
      <w:r>
        <w:rPr>
          <w:rFonts w:eastAsia="SimSun" w:cs="Times New Roman" w:hint="eastAsia"/>
          <w:szCs w:val="24"/>
          <w:lang w:val="en-GB"/>
        </w:rPr>
        <w:t xml:space="preserve"> indicates that the auxiliary condition exists, </w:t>
      </w:r>
      <w:r>
        <w:rPr>
          <w:rFonts w:eastAsia="SimSun" w:cs="Times New Roman" w:hint="eastAsia"/>
          <w:szCs w:val="24"/>
          <w:lang w:val="en-GB"/>
        </w:rPr>
        <w:t>△</w:t>
      </w:r>
      <w:r>
        <w:rPr>
          <w:rFonts w:eastAsia="SimSun" w:cs="Times New Roman" w:hint="eastAsia"/>
          <w:szCs w:val="24"/>
          <w:lang w:val="en-GB"/>
        </w:rPr>
        <w:t xml:space="preserve"> indicates that the auxiliary condition does not exist. A blank space indicates that the condition may or may not be present. </w:t>
      </w:r>
    </w:p>
    <w:p w14:paraId="6A3316A5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东文宋体">
    <w:altName w:val="宋体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43"/>
    <w:rsid w:val="000C30FD"/>
    <w:rsid w:val="000D4074"/>
    <w:rsid w:val="001E4B73"/>
    <w:rsid w:val="005314AC"/>
    <w:rsid w:val="009B53F0"/>
    <w:rsid w:val="00F7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D9959"/>
  <w15:chartTrackingRefBased/>
  <w15:docId w15:val="{71E696C5-A24B-4B89-AC84-111E0814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73643"/>
    <w:pPr>
      <w:spacing w:before="120" w:after="24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>Springer Nature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2024-02-26T17:22:00Z</dcterms:created>
  <dcterms:modified xsi:type="dcterms:W3CDTF">2024-02-26T17:22:00Z</dcterms:modified>
</cp:coreProperties>
</file>