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B27492" w14:textId="77777777" w:rsidR="00AA025B" w:rsidRPr="002C2D56" w:rsidRDefault="00AA025B" w:rsidP="00AA025B">
      <w:pPr>
        <w:keepNext/>
        <w:bidi w:val="0"/>
        <w:spacing w:after="200" w:line="240" w:lineRule="auto"/>
        <w:jc w:val="center"/>
        <w:rPr>
          <w:rFonts w:cs="Times New Roman"/>
          <w:b/>
          <w:bCs/>
          <w:sz w:val="20"/>
          <w:szCs w:val="20"/>
          <w:rtl/>
        </w:rPr>
      </w:pPr>
      <w:r w:rsidRPr="002C2D56">
        <w:rPr>
          <w:rFonts w:ascii="Times New Roman" w:hAnsi="Times New Roman" w:cs="Times New Roman"/>
          <w:b/>
          <w:bCs/>
          <w:sz w:val="20"/>
          <w:szCs w:val="20"/>
        </w:rPr>
        <w:t xml:space="preserve">Table 1. physicians' perceptions in relation to their gender </w:t>
      </w:r>
    </w:p>
    <w:tbl>
      <w:tblPr>
        <w:bidiVisual/>
        <w:tblW w:w="7783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17" w:type="dxa"/>
          <w:right w:w="17" w:type="dxa"/>
        </w:tblCellMar>
        <w:tblLook w:val="04A0" w:firstRow="1" w:lastRow="0" w:firstColumn="1" w:lastColumn="0" w:noHBand="0" w:noVBand="1"/>
      </w:tblPr>
      <w:tblGrid>
        <w:gridCol w:w="877"/>
        <w:gridCol w:w="794"/>
        <w:gridCol w:w="794"/>
        <w:gridCol w:w="1588"/>
        <w:gridCol w:w="3730"/>
      </w:tblGrid>
      <w:tr w:rsidR="00AA025B" w:rsidRPr="002C2D56" w14:paraId="33657522" w14:textId="77777777" w:rsidTr="002209F2">
        <w:trPr>
          <w:trHeight w:val="285"/>
          <w:jc w:val="center"/>
        </w:trPr>
        <w:tc>
          <w:tcPr>
            <w:tcW w:w="877" w:type="dxa"/>
          </w:tcPr>
          <w:p w14:paraId="177CC641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pict w14:anchorId="7E18C64F">
                <v:rect id="_x0000_i1030" style="width:0;height:1.5pt" o:hralign="center" o:hrstd="t" o:hr="t" fillcolor="#a0a0a0" stroked="f"/>
              </w:pict>
            </w:r>
          </w:p>
        </w:tc>
        <w:tc>
          <w:tcPr>
            <w:tcW w:w="1588" w:type="dxa"/>
            <w:gridSpan w:val="2"/>
            <w:vAlign w:val="center"/>
          </w:tcPr>
          <w:p w14:paraId="28CE6157" w14:textId="77777777" w:rsidR="00AA025B" w:rsidRPr="002C2D56" w:rsidRDefault="00AA025B" w:rsidP="00220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</w:p>
        </w:tc>
        <w:tc>
          <w:tcPr>
            <w:tcW w:w="1588" w:type="dxa"/>
          </w:tcPr>
          <w:p w14:paraId="10790327" w14:textId="77777777" w:rsidR="00AA025B" w:rsidRPr="002C2D56" w:rsidRDefault="00AA025B" w:rsidP="00220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</w:p>
        </w:tc>
        <w:tc>
          <w:tcPr>
            <w:tcW w:w="3730" w:type="dxa"/>
          </w:tcPr>
          <w:p w14:paraId="0D7A99A8" w14:textId="77777777" w:rsidR="00AA025B" w:rsidRPr="002C2D56" w:rsidRDefault="00AA025B" w:rsidP="002209F2">
            <w:pPr>
              <w:spacing w:after="0" w:line="240" w:lineRule="auto"/>
              <w:jc w:val="center"/>
              <w:rPr>
                <w:rFonts w:ascii="Times New Roman" w:hAnsi="Times New Roman" w:cs="Times New Roman" w:hint="cs"/>
                <w:sz w:val="20"/>
                <w:szCs w:val="20"/>
                <w:rtl/>
              </w:rPr>
            </w:pPr>
          </w:p>
        </w:tc>
      </w:tr>
      <w:tr w:rsidR="00AA025B" w:rsidRPr="002C2D56" w14:paraId="5D5D20E9" w14:textId="77777777" w:rsidTr="002209F2">
        <w:trPr>
          <w:trHeight w:val="285"/>
          <w:jc w:val="center"/>
        </w:trPr>
        <w:tc>
          <w:tcPr>
            <w:tcW w:w="877" w:type="dxa"/>
          </w:tcPr>
          <w:p w14:paraId="564B6E8B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794" w:type="dxa"/>
            <w:vAlign w:val="center"/>
            <w:hideMark/>
          </w:tcPr>
          <w:p w14:paraId="26DCB87E" w14:textId="77777777" w:rsidR="00AA025B" w:rsidRPr="002C2D56" w:rsidRDefault="00AA025B" w:rsidP="00220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794" w:type="dxa"/>
            <w:vAlign w:val="center"/>
            <w:hideMark/>
          </w:tcPr>
          <w:p w14:paraId="7C9E861F" w14:textId="77777777" w:rsidR="00AA025B" w:rsidRPr="002C2D56" w:rsidRDefault="00AA025B" w:rsidP="00220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588" w:type="dxa"/>
          </w:tcPr>
          <w:p w14:paraId="688C56FC" w14:textId="77777777" w:rsidR="00AA025B" w:rsidRPr="002C2D56" w:rsidRDefault="00AA025B" w:rsidP="00220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</w:p>
        </w:tc>
        <w:tc>
          <w:tcPr>
            <w:tcW w:w="3730" w:type="dxa"/>
          </w:tcPr>
          <w:p w14:paraId="6AF1E7F9" w14:textId="77777777" w:rsidR="00AA025B" w:rsidRPr="002C2D56" w:rsidRDefault="00AA025B" w:rsidP="00220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perception</w:t>
            </w:r>
          </w:p>
        </w:tc>
      </w:tr>
      <w:tr w:rsidR="00AA025B" w:rsidRPr="002C2D56" w14:paraId="23C886A3" w14:textId="77777777" w:rsidTr="002209F2">
        <w:trPr>
          <w:trHeight w:val="285"/>
          <w:jc w:val="center"/>
        </w:trPr>
        <w:tc>
          <w:tcPr>
            <w:tcW w:w="877" w:type="dxa"/>
          </w:tcPr>
          <w:p w14:paraId="58C46262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noWrap/>
            <w:vAlign w:val="center"/>
            <w:hideMark/>
          </w:tcPr>
          <w:p w14:paraId="00FF3E58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794" w:type="dxa"/>
            <w:noWrap/>
            <w:vAlign w:val="center"/>
            <w:hideMark/>
          </w:tcPr>
          <w:p w14:paraId="5B07694B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588" w:type="dxa"/>
          </w:tcPr>
          <w:p w14:paraId="465F4C58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3730" w:type="dxa"/>
          </w:tcPr>
          <w:p w14:paraId="5100B910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025B" w:rsidRPr="002C2D56" w14:paraId="1B6541A0" w14:textId="77777777" w:rsidTr="002209F2">
        <w:trPr>
          <w:trHeight w:val="20"/>
          <w:jc w:val="center"/>
        </w:trPr>
        <w:tc>
          <w:tcPr>
            <w:tcW w:w="877" w:type="dxa"/>
          </w:tcPr>
          <w:p w14:paraId="5EE1DD4D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noWrap/>
            <w:vAlign w:val="center"/>
            <w:hideMark/>
          </w:tcPr>
          <w:p w14:paraId="19F3B4C2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94" w:type="dxa"/>
            <w:noWrap/>
            <w:vAlign w:val="center"/>
            <w:hideMark/>
          </w:tcPr>
          <w:p w14:paraId="356A2B87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88" w:type="dxa"/>
          </w:tcPr>
          <w:p w14:paraId="4514A499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0" w:type="dxa"/>
          </w:tcPr>
          <w:p w14:paraId="43FB5128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Perceptions regarding the contribution of the medical cannabis reform</w:t>
            </w:r>
          </w:p>
        </w:tc>
      </w:tr>
      <w:tr w:rsidR="00AA025B" w:rsidRPr="002C2D56" w14:paraId="5EC983A9" w14:textId="77777777" w:rsidTr="002209F2">
        <w:trPr>
          <w:trHeight w:val="285"/>
          <w:jc w:val="center"/>
        </w:trPr>
        <w:tc>
          <w:tcPr>
            <w:tcW w:w="877" w:type="dxa"/>
          </w:tcPr>
          <w:p w14:paraId="169365A7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2.053*</w:t>
            </w:r>
          </w:p>
        </w:tc>
        <w:tc>
          <w:tcPr>
            <w:tcW w:w="794" w:type="dxa"/>
            <w:noWrap/>
            <w:hideMark/>
          </w:tcPr>
          <w:p w14:paraId="2FAF78EF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794" w:type="dxa"/>
            <w:noWrap/>
            <w:hideMark/>
          </w:tcPr>
          <w:p w14:paraId="79BF2450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1588" w:type="dxa"/>
            <w:vMerge w:val="restart"/>
          </w:tcPr>
          <w:p w14:paraId="34E119CF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  <w:p w14:paraId="3AA7E0B5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(SD)</w:t>
            </w:r>
          </w:p>
          <w:p w14:paraId="556456AB" w14:textId="77777777" w:rsidR="00AA025B" w:rsidRPr="002C2D56" w:rsidRDefault="00AA025B" w:rsidP="002209F2">
            <w:pPr>
              <w:bidi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5DD2F0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0" w:type="dxa"/>
          </w:tcPr>
          <w:p w14:paraId="7B71FB7A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025B" w:rsidRPr="002C2D56" w14:paraId="00598319" w14:textId="77777777" w:rsidTr="002209F2">
        <w:trPr>
          <w:trHeight w:val="285"/>
          <w:jc w:val="center"/>
        </w:trPr>
        <w:tc>
          <w:tcPr>
            <w:tcW w:w="877" w:type="dxa"/>
          </w:tcPr>
          <w:p w14:paraId="73CCCC79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noWrap/>
            <w:hideMark/>
          </w:tcPr>
          <w:p w14:paraId="12CD353F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(0.6)</w:t>
            </w:r>
          </w:p>
        </w:tc>
        <w:tc>
          <w:tcPr>
            <w:tcW w:w="794" w:type="dxa"/>
            <w:noWrap/>
            <w:hideMark/>
          </w:tcPr>
          <w:p w14:paraId="65806BF4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(0.6)</w:t>
            </w:r>
          </w:p>
        </w:tc>
        <w:tc>
          <w:tcPr>
            <w:tcW w:w="1588" w:type="dxa"/>
            <w:vMerge/>
          </w:tcPr>
          <w:p w14:paraId="0ABA6714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0" w:type="dxa"/>
          </w:tcPr>
          <w:p w14:paraId="2C113246" w14:textId="77777777" w:rsidR="00AA025B" w:rsidRPr="002C2D56" w:rsidRDefault="00AA025B" w:rsidP="002209F2">
            <w:pPr>
              <w:spacing w:after="0" w:line="240" w:lineRule="auto"/>
              <w:jc w:val="center"/>
              <w:rPr>
                <w:rFonts w:cs="Times New Roman"/>
                <w:b/>
                <w:bCs/>
                <w:sz w:val="20"/>
                <w:szCs w:val="20"/>
                <w:rtl/>
              </w:rPr>
            </w:pPr>
            <w:r w:rsidRPr="002C2D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 perception of openness among the medical community to the treatment of medical cannabis</w:t>
            </w:r>
          </w:p>
          <w:p w14:paraId="2AC27043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025B" w:rsidRPr="002C2D56" w14:paraId="6185CDC8" w14:textId="77777777" w:rsidTr="002209F2">
        <w:trPr>
          <w:trHeight w:val="20"/>
          <w:jc w:val="center"/>
        </w:trPr>
        <w:tc>
          <w:tcPr>
            <w:tcW w:w="877" w:type="dxa"/>
          </w:tcPr>
          <w:p w14:paraId="050717DF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noWrap/>
            <w:hideMark/>
          </w:tcPr>
          <w:p w14:paraId="7C2B8BEB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noWrap/>
            <w:hideMark/>
          </w:tcPr>
          <w:p w14:paraId="2DA3B0A4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</w:tcPr>
          <w:p w14:paraId="7BBC576B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0" w:type="dxa"/>
          </w:tcPr>
          <w:p w14:paraId="0372ADE5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025B" w:rsidRPr="002C2D56" w14:paraId="38D7EDBC" w14:textId="77777777" w:rsidTr="002209F2">
        <w:trPr>
          <w:trHeight w:val="285"/>
          <w:jc w:val="center"/>
        </w:trPr>
        <w:tc>
          <w:tcPr>
            <w:tcW w:w="877" w:type="dxa"/>
          </w:tcPr>
          <w:p w14:paraId="65345635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1.975^</w:t>
            </w:r>
          </w:p>
        </w:tc>
        <w:tc>
          <w:tcPr>
            <w:tcW w:w="794" w:type="dxa"/>
            <w:noWrap/>
            <w:hideMark/>
          </w:tcPr>
          <w:p w14:paraId="23DC2651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794" w:type="dxa"/>
            <w:noWrap/>
            <w:hideMark/>
          </w:tcPr>
          <w:p w14:paraId="4FB6BCF4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1588" w:type="dxa"/>
            <w:vMerge w:val="restart"/>
          </w:tcPr>
          <w:p w14:paraId="307BBA14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  <w:p w14:paraId="159E5827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(SD)</w:t>
            </w:r>
          </w:p>
        </w:tc>
        <w:tc>
          <w:tcPr>
            <w:tcW w:w="3730" w:type="dxa"/>
          </w:tcPr>
          <w:p w14:paraId="76A87D32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025B" w:rsidRPr="002C2D56" w14:paraId="0CE53773" w14:textId="77777777" w:rsidTr="002209F2">
        <w:trPr>
          <w:trHeight w:val="285"/>
          <w:jc w:val="center"/>
        </w:trPr>
        <w:tc>
          <w:tcPr>
            <w:tcW w:w="877" w:type="dxa"/>
          </w:tcPr>
          <w:p w14:paraId="4EC827D4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noWrap/>
            <w:hideMark/>
          </w:tcPr>
          <w:p w14:paraId="6FACC462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(0.6)</w:t>
            </w:r>
          </w:p>
        </w:tc>
        <w:tc>
          <w:tcPr>
            <w:tcW w:w="794" w:type="dxa"/>
            <w:noWrap/>
            <w:hideMark/>
          </w:tcPr>
          <w:p w14:paraId="51F6D1AC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(0.6)</w:t>
            </w:r>
          </w:p>
        </w:tc>
        <w:tc>
          <w:tcPr>
            <w:tcW w:w="1588" w:type="dxa"/>
            <w:vMerge/>
          </w:tcPr>
          <w:p w14:paraId="04D686E2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0" w:type="dxa"/>
          </w:tcPr>
          <w:p w14:paraId="350145F2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Support for medical cannabis treatment</w:t>
            </w:r>
          </w:p>
        </w:tc>
      </w:tr>
      <w:tr w:rsidR="00AA025B" w:rsidRPr="002C2D56" w14:paraId="7FDD7B02" w14:textId="77777777" w:rsidTr="002209F2">
        <w:trPr>
          <w:trHeight w:val="20"/>
          <w:jc w:val="center"/>
        </w:trPr>
        <w:tc>
          <w:tcPr>
            <w:tcW w:w="877" w:type="dxa"/>
          </w:tcPr>
          <w:p w14:paraId="508CE4C8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noWrap/>
          </w:tcPr>
          <w:p w14:paraId="4831BABA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noWrap/>
          </w:tcPr>
          <w:p w14:paraId="36D544E4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</w:tcPr>
          <w:p w14:paraId="2EC0B812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0" w:type="dxa"/>
          </w:tcPr>
          <w:p w14:paraId="32624AD4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025B" w:rsidRPr="002C2D56" w14:paraId="5A397BBD" w14:textId="77777777" w:rsidTr="002209F2">
        <w:trPr>
          <w:trHeight w:val="285"/>
          <w:jc w:val="center"/>
        </w:trPr>
        <w:tc>
          <w:tcPr>
            <w:tcW w:w="877" w:type="dxa"/>
          </w:tcPr>
          <w:p w14:paraId="6EC4ED51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.185</w:t>
            </w:r>
          </w:p>
        </w:tc>
        <w:tc>
          <w:tcPr>
            <w:tcW w:w="794" w:type="dxa"/>
            <w:noWrap/>
            <w:hideMark/>
          </w:tcPr>
          <w:p w14:paraId="13D1245B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794" w:type="dxa"/>
            <w:noWrap/>
            <w:hideMark/>
          </w:tcPr>
          <w:p w14:paraId="596C6823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588" w:type="dxa"/>
            <w:vMerge w:val="restart"/>
          </w:tcPr>
          <w:p w14:paraId="2EE3DF95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  <w:p w14:paraId="77051AF0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(SD)</w:t>
            </w:r>
          </w:p>
        </w:tc>
        <w:tc>
          <w:tcPr>
            <w:tcW w:w="3730" w:type="dxa"/>
          </w:tcPr>
          <w:p w14:paraId="19E751CA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025B" w:rsidRPr="002C2D56" w14:paraId="3D2AC7B4" w14:textId="77777777" w:rsidTr="002209F2">
        <w:trPr>
          <w:trHeight w:val="285"/>
          <w:jc w:val="center"/>
        </w:trPr>
        <w:tc>
          <w:tcPr>
            <w:tcW w:w="877" w:type="dxa"/>
          </w:tcPr>
          <w:p w14:paraId="6A4CD4D4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noWrap/>
            <w:hideMark/>
          </w:tcPr>
          <w:p w14:paraId="208DBAAF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(0.5)</w:t>
            </w:r>
          </w:p>
        </w:tc>
        <w:tc>
          <w:tcPr>
            <w:tcW w:w="794" w:type="dxa"/>
            <w:noWrap/>
            <w:hideMark/>
          </w:tcPr>
          <w:p w14:paraId="783F941A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(0.6)</w:t>
            </w:r>
          </w:p>
        </w:tc>
        <w:tc>
          <w:tcPr>
            <w:tcW w:w="1588" w:type="dxa"/>
            <w:vMerge/>
          </w:tcPr>
          <w:p w14:paraId="3A21A30E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0" w:type="dxa"/>
          </w:tcPr>
          <w:p w14:paraId="3779226F" w14:textId="77777777" w:rsidR="00AA025B" w:rsidRPr="002C2D56" w:rsidRDefault="00AA025B" w:rsidP="002209F2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4D3E0F3" w14:textId="77777777" w:rsidR="00AA025B" w:rsidRPr="00CB27EE" w:rsidRDefault="00AA025B" w:rsidP="00AA025B">
      <w:pPr>
        <w:bidi w:val="0"/>
        <w:rPr>
          <w:rFonts w:ascii="Times New Roman" w:hAnsi="Times New Roman" w:cs="Times New Roman"/>
          <w:sz w:val="18"/>
          <w:szCs w:val="18"/>
        </w:rPr>
      </w:pPr>
      <w:r w:rsidRPr="00CB27EE">
        <w:rPr>
          <w:rFonts w:ascii="Times New Roman" w:hAnsi="Times New Roman" w:cs="Times New Roman"/>
          <w:sz w:val="18"/>
          <w:szCs w:val="18"/>
        </w:rPr>
        <w:t>** p&lt;.10, *p&lt;.05, ^p&lt;.10</w:t>
      </w:r>
    </w:p>
    <w:p w14:paraId="0EE4D89C" w14:textId="77777777" w:rsidR="00AF5194" w:rsidRDefault="00AF5194">
      <w:pPr>
        <w:rPr>
          <w:rFonts w:hint="cs"/>
        </w:rPr>
      </w:pPr>
    </w:p>
    <w:sectPr w:rsidR="00AF5194" w:rsidSect="0076191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25B"/>
    <w:rsid w:val="005157C3"/>
    <w:rsid w:val="0076191A"/>
    <w:rsid w:val="00AA025B"/>
    <w:rsid w:val="00AF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CD35E"/>
  <w15:chartTrackingRefBased/>
  <w15:docId w15:val="{CF6113AA-1232-4B80-A5AD-D597C28B2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025B"/>
    <w:pPr>
      <w:bidi/>
    </w:pPr>
    <w:rPr>
      <w:rFonts w:eastAsiaTheme="minorEastAsia" w:cs="Arial"/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398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ziv barak</dc:creator>
  <cp:keywords/>
  <dc:description/>
  <cp:lastModifiedBy>ziv barak</cp:lastModifiedBy>
  <cp:revision>1</cp:revision>
  <dcterms:created xsi:type="dcterms:W3CDTF">2023-12-27T12:14:00Z</dcterms:created>
  <dcterms:modified xsi:type="dcterms:W3CDTF">2023-12-27T12:16:00Z</dcterms:modified>
</cp:coreProperties>
</file>