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E4233E" w14:textId="77777777" w:rsidR="00D11BE5" w:rsidRDefault="00D11BE5" w:rsidP="00D11BE5">
      <w:pPr>
        <w:pStyle w:val="Heading3"/>
        <w:shd w:val="clear" w:color="auto" w:fill="FFFFFF"/>
        <w:spacing w:after="150"/>
        <w:rPr>
          <w:rFonts w:asciiTheme="majorHAnsi" w:hAnsiTheme="majorHAnsi" w:cstheme="majorHAnsi"/>
          <w:color w:val="222222"/>
          <w:spacing w:val="2"/>
        </w:rPr>
      </w:pPr>
      <w:r>
        <w:rPr>
          <w:rFonts w:asciiTheme="majorHAnsi" w:hAnsiTheme="majorHAnsi" w:cstheme="majorHAnsi"/>
          <w:bCs/>
          <w:color w:val="222222"/>
          <w:spacing w:val="2"/>
        </w:rPr>
        <w:t>Supplementary material: Figure legends</w:t>
      </w:r>
    </w:p>
    <w:p w14:paraId="6328F8A8" w14:textId="77777777" w:rsidR="00D11BE5" w:rsidRDefault="00D11BE5" w:rsidP="00D11BE5">
      <w:pPr>
        <w:spacing w:line="480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</w:rPr>
        <w:t xml:space="preserve">Figure S1. </w:t>
      </w:r>
      <w:r>
        <w:rPr>
          <w:rFonts w:ascii="Calibri" w:eastAsia="Calibri" w:hAnsi="Calibri" w:cs="Calibri"/>
          <w:b/>
          <w:color w:val="000000"/>
        </w:rPr>
        <w:t>The alpha diversity (A) and beta diversity (B) of</w:t>
      </w:r>
      <w:r>
        <w:rPr>
          <w:rFonts w:ascii="Calibri" w:eastAsia="Calibri" w:hAnsi="Calibri" w:cs="Calibri"/>
          <w:b/>
        </w:rPr>
        <w:t xml:space="preserve"> bronchoalveolar lavage (BAL)</w:t>
      </w:r>
      <w:r>
        <w:rPr>
          <w:rFonts w:ascii="Microsoft JhengHei" w:eastAsia="Microsoft JhengHei" w:hAnsi="Microsoft JhengHei" w:cs="Microsoft JhengHei" w:hint="eastAsia"/>
          <w:b/>
        </w:rPr>
        <w:t>、</w:t>
      </w:r>
      <w:r>
        <w:rPr>
          <w:rFonts w:ascii="Calibri" w:eastAsia="Calibri" w:hAnsi="Calibri" w:cs="Calibri"/>
          <w:b/>
        </w:rPr>
        <w:t xml:space="preserve">oral washing control (OWC) and negative control (NC) samples before </w:t>
      </w:r>
      <w:proofErr w:type="spellStart"/>
      <w:r>
        <w:rPr>
          <w:rFonts w:ascii="Calibri" w:eastAsia="Calibri" w:hAnsi="Calibri" w:cs="Calibri"/>
          <w:b/>
        </w:rPr>
        <w:t>decontam</w:t>
      </w:r>
      <w:proofErr w:type="spellEnd"/>
      <w:r>
        <w:rPr>
          <w:rFonts w:ascii="Calibri" w:eastAsia="Calibri" w:hAnsi="Calibri" w:cs="Calibri"/>
          <w:b/>
        </w:rPr>
        <w:t xml:space="preserve"> method.</w:t>
      </w:r>
      <w:r>
        <w:rPr>
          <w:rFonts w:ascii="Calibri" w:eastAsia="Calibri" w:hAnsi="Calibri" w:cs="Calibri"/>
        </w:rPr>
        <w:t xml:space="preserve"> BAL samples (N=181, green dots), OWC samples (N=78, red dots) and NC samples including Bronchial washing control (BWC) (n=5, deep blue dots), Normal saline control (NSC) (n=5, light blue dots), Phosphate buffered saline (PBS) control (n=5, cyan blue dots), Extraction kit control (EKC) (n=8,</w:t>
      </w:r>
      <w:r>
        <w:rPr>
          <w:rFonts w:ascii="Calibri" w:eastAsia="Calibri" w:hAnsi="Calibri" w:cs="Calibri"/>
          <w:color w:val="000000"/>
        </w:rPr>
        <w:t xml:space="preserve"> deep purple dots), Non-Template control (NTC) (n=5, light purple dots)</w:t>
      </w:r>
    </w:p>
    <w:p w14:paraId="35D83E0B" w14:textId="77777777" w:rsidR="00D11BE5" w:rsidRDefault="00D11BE5" w:rsidP="00D11BE5">
      <w:pPr>
        <w:spacing w:line="480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Figure S2. The alpha diversity and beta diversity of </w:t>
      </w:r>
      <w:r>
        <w:rPr>
          <w:rFonts w:ascii="Calibri" w:eastAsia="Calibri" w:hAnsi="Calibri" w:cs="Calibri"/>
          <w:b/>
        </w:rPr>
        <w:t xml:space="preserve">bronchoalveolar lavage (BAL) </w:t>
      </w:r>
      <w:r>
        <w:rPr>
          <w:rFonts w:ascii="Calibri" w:eastAsia="Calibri" w:hAnsi="Calibri" w:cs="Calibri"/>
          <w:b/>
          <w:color w:val="000000"/>
        </w:rPr>
        <w:t xml:space="preserve">(N=181) and </w:t>
      </w:r>
      <w:r>
        <w:rPr>
          <w:rFonts w:ascii="Calibri" w:eastAsia="Calibri" w:hAnsi="Calibri" w:cs="Calibri"/>
          <w:b/>
        </w:rPr>
        <w:t xml:space="preserve">oral washing control (OWC) </w:t>
      </w:r>
      <w:r>
        <w:rPr>
          <w:rFonts w:ascii="Calibri" w:eastAsia="Calibri" w:hAnsi="Calibri" w:cs="Calibri"/>
          <w:b/>
          <w:color w:val="000000"/>
        </w:rPr>
        <w:t xml:space="preserve">(N=78) samples after removing the background contamination taxa. </w:t>
      </w:r>
      <w:r>
        <w:rPr>
          <w:rFonts w:ascii="Calibri" w:eastAsia="Calibri" w:hAnsi="Calibri" w:cs="Calibri"/>
          <w:color w:val="000000"/>
        </w:rPr>
        <w:t>The microbiome analysis showed that BAL samples and OWC displayed significantly different. A, alpha‐diversity (</w:t>
      </w:r>
      <w:r>
        <w:rPr>
          <w:rFonts w:ascii="Calibri" w:eastAsia="Calibri" w:hAnsi="Calibri" w:cs="Calibri"/>
          <w:i/>
          <w:color w:val="000000"/>
        </w:rPr>
        <w:t>P</w:t>
      </w:r>
      <w:r>
        <w:rPr>
          <w:rFonts w:ascii="Calibri" w:eastAsia="Calibri" w:hAnsi="Calibri" w:cs="Calibri"/>
          <w:color w:val="000000"/>
        </w:rPr>
        <w:t>&lt;0.001). B, Principal coordinates analysis (</w:t>
      </w:r>
      <w:proofErr w:type="spellStart"/>
      <w:r>
        <w:rPr>
          <w:rFonts w:ascii="Calibri" w:eastAsia="Calibri" w:hAnsi="Calibri" w:cs="Calibri"/>
          <w:color w:val="000000"/>
        </w:rPr>
        <w:t>PCoA</w:t>
      </w:r>
      <w:proofErr w:type="spellEnd"/>
      <w:r>
        <w:rPr>
          <w:rFonts w:ascii="Calibri" w:eastAsia="Calibri" w:hAnsi="Calibri" w:cs="Calibri"/>
          <w:color w:val="000000"/>
        </w:rPr>
        <w:t>) showed significant separation microbial communities between the BAL and OWC samples (R</w:t>
      </w:r>
      <w:r>
        <w:rPr>
          <w:rFonts w:ascii="Calibri" w:eastAsia="Calibri" w:hAnsi="Calibri" w:cs="Calibri"/>
          <w:color w:val="000000"/>
          <w:vertAlign w:val="superscript"/>
        </w:rPr>
        <w:t>2</w:t>
      </w:r>
      <w:r>
        <w:rPr>
          <w:rFonts w:ascii="Calibri" w:eastAsia="Calibri" w:hAnsi="Calibri" w:cs="Calibri"/>
          <w:color w:val="000000"/>
        </w:rPr>
        <w:t xml:space="preserve">=0.293, </w:t>
      </w:r>
      <w:r>
        <w:rPr>
          <w:rFonts w:ascii="Calibri" w:eastAsia="Calibri" w:hAnsi="Calibri" w:cs="Calibri"/>
          <w:i/>
          <w:color w:val="000000"/>
        </w:rPr>
        <w:t>P-</w:t>
      </w:r>
      <w:r>
        <w:rPr>
          <w:rFonts w:ascii="Calibri" w:eastAsia="Calibri" w:hAnsi="Calibri" w:cs="Calibri"/>
          <w:color w:val="000000"/>
        </w:rPr>
        <w:t>value =0.001)</w:t>
      </w:r>
    </w:p>
    <w:p w14:paraId="43D0ECE2" w14:textId="77777777" w:rsidR="00D11BE5" w:rsidRDefault="00D11BE5" w:rsidP="00D11BE5">
      <w:pPr>
        <w:spacing w:line="480" w:lineRule="auto"/>
        <w:jc w:val="both"/>
        <w:rPr>
          <w:rFonts w:ascii="Calibri" w:eastAsia="Calibri" w:hAnsi="Calibri" w:cs="Calibri"/>
          <w:b/>
          <w:color w:val="000000" w:themeColor="text1"/>
        </w:rPr>
      </w:pPr>
      <w:r>
        <w:rPr>
          <w:rFonts w:ascii="Calibri" w:eastAsia="Calibri" w:hAnsi="Calibri" w:cs="Calibri"/>
          <w:b/>
          <w:color w:val="000000" w:themeColor="text1"/>
        </w:rPr>
        <w:t>Figure S3.</w:t>
      </w:r>
      <w:r>
        <w:rPr>
          <w:rFonts w:ascii="Calibri" w:eastAsia="Calibri" w:hAnsi="Calibri" w:cs="Calibri"/>
          <w:b/>
          <w:color w:val="000000"/>
        </w:rPr>
        <w:t xml:space="preserve"> The distribution of relative abundance of top 10 major taxonomic groups in three groups at phylum level. </w:t>
      </w:r>
      <w:r>
        <w:rPr>
          <w:rFonts w:ascii="Calibri" w:eastAsia="Calibri" w:hAnsi="Calibri" w:cs="Calibri"/>
          <w:color w:val="000000"/>
        </w:rPr>
        <w:t xml:space="preserve">The patients with BE-FAO had a higher relative abundance of </w:t>
      </w:r>
      <w:r>
        <w:rPr>
          <w:rFonts w:ascii="Calibri" w:eastAsia="Calibri" w:hAnsi="Calibri" w:cs="Calibri"/>
          <w:i/>
        </w:rPr>
        <w:t>Proteobacteria</w:t>
      </w:r>
      <w:r>
        <w:rPr>
          <w:rFonts w:ascii="Calibri" w:eastAsia="Calibri" w:hAnsi="Calibri" w:cs="Calibri"/>
        </w:rPr>
        <w:t xml:space="preserve"> (p=0.011) and lower abundance of </w:t>
      </w:r>
      <w:r>
        <w:rPr>
          <w:rFonts w:ascii="Calibri" w:eastAsia="Calibri" w:hAnsi="Calibri" w:cs="Calibri"/>
          <w:i/>
        </w:rPr>
        <w:t>Firmicutes</w:t>
      </w:r>
      <w:r>
        <w:rPr>
          <w:rFonts w:ascii="Calibri" w:eastAsia="Calibri" w:hAnsi="Calibri" w:cs="Calibri"/>
        </w:rPr>
        <w:t xml:space="preserve"> (p=0.0092) relative to the patients with COPD. No significant difference was observed in the proportions of the four major phyla in BE and BE-FAO. </w:t>
      </w:r>
    </w:p>
    <w:p w14:paraId="411C7F7B" w14:textId="77777777" w:rsidR="00D11BE5" w:rsidRDefault="00D11BE5" w:rsidP="00D11BE5">
      <w:pPr>
        <w:spacing w:line="480" w:lineRule="auto"/>
        <w:jc w:val="both"/>
        <w:rPr>
          <w:rFonts w:asciiTheme="majorHAnsi" w:eastAsia="Calibri" w:hAnsiTheme="majorHAnsi" w:cs="Calibri"/>
          <w:color w:val="000000" w:themeColor="text1"/>
        </w:rPr>
      </w:pPr>
      <w:r>
        <w:rPr>
          <w:rFonts w:asciiTheme="majorHAnsi" w:eastAsia="Calibri" w:hAnsiTheme="majorHAnsi" w:cs="Calibri"/>
          <w:color w:val="000000" w:themeColor="text1"/>
        </w:rPr>
        <w:t>BE=Bronchiectasis without fixed airflow obstruction; BE-FAO= Bronchiectasis with fixed airflow obstruction; COPD=Chronic obstructive pulmonary disease.</w:t>
      </w:r>
    </w:p>
    <w:p w14:paraId="7D53624E" w14:textId="77777777" w:rsidR="00D11BE5" w:rsidRDefault="00D11BE5" w:rsidP="00D11BE5">
      <w:pPr>
        <w:spacing w:line="480" w:lineRule="auto"/>
        <w:jc w:val="both"/>
        <w:rPr>
          <w:rFonts w:asciiTheme="majorHAnsi" w:eastAsia="Calibri" w:hAnsiTheme="majorHAnsi" w:cs="Calibri"/>
          <w:color w:val="000000" w:themeColor="text1"/>
        </w:rPr>
      </w:pPr>
      <w:r>
        <w:rPr>
          <w:rFonts w:ascii="Calibri" w:eastAsia="Calibri" w:hAnsi="Calibri" w:cs="Calibri"/>
          <w:b/>
          <w:color w:val="000000"/>
        </w:rPr>
        <w:t xml:space="preserve">Figure S4. </w:t>
      </w:r>
      <w:r>
        <w:rPr>
          <w:rFonts w:ascii="Calibri" w:hAnsi="Calibri"/>
          <w:b/>
          <w:color w:val="0F0F0F"/>
        </w:rPr>
        <w:t>H</w:t>
      </w:r>
      <w:r>
        <w:rPr>
          <w:rFonts w:ascii="Noto Sans" w:hAnsi="Noto Sans"/>
          <w:b/>
          <w:color w:val="0F0F0F"/>
        </w:rPr>
        <w:t>ighlights species-level taxonomic distribution differences between COPD, BE, and BE-FAO patients.</w:t>
      </w:r>
      <w:r>
        <w:rPr>
          <w:rFonts w:ascii="Calibri" w:eastAsia="Calibri" w:hAnsi="Calibri" w:cs="Calibri"/>
          <w:b/>
          <w:color w:val="000000"/>
        </w:rPr>
        <w:t xml:space="preserve"> </w:t>
      </w:r>
      <w:r>
        <w:rPr>
          <w:rFonts w:ascii="Calibri" w:eastAsia="Calibri" w:hAnsi="Calibri" w:cs="Calibri"/>
        </w:rPr>
        <w:t xml:space="preserve">Among ASV annotated to specie, </w:t>
      </w:r>
      <w:r>
        <w:rPr>
          <w:rFonts w:ascii="Noto Sans" w:hAnsi="Noto Sans"/>
          <w:color w:val="0F0F0F"/>
        </w:rPr>
        <w:t xml:space="preserve">the COPD group showed higher prevalence of </w:t>
      </w:r>
      <w:r>
        <w:rPr>
          <w:rFonts w:ascii="Noto Sans" w:hAnsi="Noto Sans"/>
          <w:i/>
          <w:color w:val="0F0F0F"/>
        </w:rPr>
        <w:t xml:space="preserve">Streptococcus </w:t>
      </w:r>
      <w:proofErr w:type="spellStart"/>
      <w:r>
        <w:rPr>
          <w:rFonts w:ascii="Noto Sans" w:hAnsi="Noto Sans"/>
          <w:i/>
          <w:color w:val="0F0F0F"/>
        </w:rPr>
        <w:t>parasanguinis</w:t>
      </w:r>
      <w:proofErr w:type="spellEnd"/>
      <w:r>
        <w:rPr>
          <w:rFonts w:ascii="Calibri" w:hAnsi="Calibri"/>
          <w:color w:val="0F0F0F"/>
        </w:rPr>
        <w:t>,</w:t>
      </w:r>
      <w:r>
        <w:rPr>
          <w:rFonts w:ascii="Noto Sans" w:hAnsi="Noto Sans"/>
          <w:color w:val="0F0F0F"/>
        </w:rPr>
        <w:t xml:space="preserve"> </w:t>
      </w:r>
      <w:proofErr w:type="spellStart"/>
      <w:r>
        <w:rPr>
          <w:rFonts w:ascii="Calibri" w:eastAsia="Calibri" w:hAnsi="Calibri" w:cs="Calibri"/>
          <w:i/>
          <w:color w:val="000000"/>
        </w:rPr>
        <w:t>Schaalia</w:t>
      </w:r>
      <w:proofErr w:type="spellEnd"/>
      <w:r>
        <w:rPr>
          <w:rFonts w:ascii="Calibri" w:eastAsia="Calibri" w:hAnsi="Calibri" w:cs="Calibri"/>
          <w:i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i/>
          <w:color w:val="000000"/>
        </w:rPr>
        <w:t>odontolytica</w:t>
      </w:r>
      <w:proofErr w:type="spellEnd"/>
      <w:r>
        <w:rPr>
          <w:rFonts w:ascii="Calibri" w:eastAsia="Calibri" w:hAnsi="Calibri" w:cs="Calibri"/>
          <w:i/>
          <w:color w:val="000000"/>
        </w:rPr>
        <w:t xml:space="preserve">, </w:t>
      </w:r>
      <w:proofErr w:type="spellStart"/>
      <w:r>
        <w:rPr>
          <w:rFonts w:ascii="Calibri" w:eastAsia="Calibri" w:hAnsi="Calibri" w:cs="Calibri"/>
          <w:i/>
          <w:color w:val="000000"/>
        </w:rPr>
        <w:lastRenderedPageBreak/>
        <w:t>Veillonella</w:t>
      </w:r>
      <w:proofErr w:type="spellEnd"/>
      <w:r>
        <w:rPr>
          <w:rFonts w:ascii="Calibri" w:eastAsia="Calibri" w:hAnsi="Calibri" w:cs="Calibri"/>
          <w:i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i/>
          <w:color w:val="000000"/>
        </w:rPr>
        <w:t>atypica</w:t>
      </w:r>
      <w:proofErr w:type="spellEnd"/>
      <w:r>
        <w:rPr>
          <w:rFonts w:ascii="Calibri" w:eastAsia="Calibri" w:hAnsi="Calibri" w:cs="Calibri"/>
          <w:i/>
          <w:color w:val="000000"/>
        </w:rPr>
        <w:t xml:space="preserve">, </w:t>
      </w:r>
      <w:proofErr w:type="spellStart"/>
      <w:r>
        <w:rPr>
          <w:rFonts w:ascii="Calibri" w:eastAsia="Calibri" w:hAnsi="Calibri" w:cs="Calibri"/>
          <w:i/>
          <w:color w:val="000000"/>
        </w:rPr>
        <w:t>Lancefieldella</w:t>
      </w:r>
      <w:proofErr w:type="spellEnd"/>
      <w:r>
        <w:rPr>
          <w:rFonts w:ascii="Calibri" w:eastAsia="Calibri" w:hAnsi="Calibri" w:cs="Calibri"/>
          <w:i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i/>
          <w:color w:val="000000"/>
        </w:rPr>
        <w:t>parvula</w:t>
      </w:r>
      <w:proofErr w:type="spellEnd"/>
      <w:r>
        <w:rPr>
          <w:rFonts w:ascii="Calibri" w:eastAsia="Calibri" w:hAnsi="Calibri" w:cs="Calibri"/>
          <w:i/>
          <w:color w:val="000000"/>
        </w:rPr>
        <w:t xml:space="preserve">, </w:t>
      </w:r>
      <w:proofErr w:type="spellStart"/>
      <w:r>
        <w:rPr>
          <w:rFonts w:ascii="Calibri" w:eastAsia="Calibri" w:hAnsi="Calibri" w:cs="Calibri"/>
          <w:i/>
          <w:color w:val="000000"/>
        </w:rPr>
        <w:t>Solobacterium</w:t>
      </w:r>
      <w:proofErr w:type="spellEnd"/>
      <w:r>
        <w:rPr>
          <w:rFonts w:ascii="Calibri" w:eastAsia="Calibri" w:hAnsi="Calibri" w:cs="Calibri"/>
          <w:i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i/>
          <w:color w:val="000000"/>
        </w:rPr>
        <w:t>moorei</w:t>
      </w:r>
      <w:proofErr w:type="spellEnd"/>
      <w:r>
        <w:rPr>
          <w:rFonts w:ascii="Calibri" w:eastAsia="Calibri" w:hAnsi="Calibri" w:cs="Calibri"/>
          <w:color w:val="000000"/>
        </w:rPr>
        <w:t xml:space="preserve">, and </w:t>
      </w:r>
      <w:r>
        <w:rPr>
          <w:rFonts w:ascii="Calibri" w:eastAsia="Calibri" w:hAnsi="Calibri" w:cs="Calibri"/>
          <w:i/>
          <w:color w:val="000000"/>
        </w:rPr>
        <w:t xml:space="preserve">TM7 phylum </w:t>
      </w:r>
      <w:proofErr w:type="spellStart"/>
      <w:r>
        <w:rPr>
          <w:rFonts w:ascii="Calibri" w:eastAsia="Calibri" w:hAnsi="Calibri" w:cs="Calibri"/>
          <w:i/>
          <w:color w:val="000000"/>
        </w:rPr>
        <w:t>sp</w:t>
      </w:r>
      <w:proofErr w:type="spellEnd"/>
      <w:r>
        <w:rPr>
          <w:rFonts w:ascii="Calibri" w:eastAsia="Calibri" w:hAnsi="Calibri" w:cs="Calibri"/>
          <w:i/>
          <w:color w:val="000000"/>
        </w:rPr>
        <w:t xml:space="preserve"> canine oral taxon 250</w:t>
      </w:r>
      <w:r>
        <w:rPr>
          <w:rFonts w:ascii="Calibri" w:hAnsi="Calibri"/>
          <w:color w:val="0F0F0F"/>
        </w:rPr>
        <w:t xml:space="preserve">, </w:t>
      </w:r>
      <w:r>
        <w:rPr>
          <w:rFonts w:ascii="Noto Sans" w:hAnsi="Noto Sans"/>
          <w:color w:val="0F0F0F"/>
        </w:rPr>
        <w:t xml:space="preserve">while </w:t>
      </w:r>
      <w:r>
        <w:rPr>
          <w:rFonts w:ascii="Noto Sans" w:hAnsi="Noto Sans"/>
          <w:i/>
          <w:color w:val="0F0F0F"/>
        </w:rPr>
        <w:t>Pseudomonas aeruginosa</w:t>
      </w:r>
      <w:r>
        <w:rPr>
          <w:rFonts w:ascii="Noto Sans" w:hAnsi="Noto Sans"/>
          <w:color w:val="0F0F0F"/>
        </w:rPr>
        <w:t xml:space="preserve"> was more abundant in the BE-FAO group</w:t>
      </w:r>
      <w:r>
        <w:rPr>
          <w:rFonts w:ascii="Microsoft JhengHei" w:eastAsia="Microsoft JhengHei" w:hAnsi="Microsoft JhengHei" w:cs="Microsoft JhengHei" w:hint="eastAsia"/>
          <w:lang w:val="tr-TR"/>
        </w:rPr>
        <w:t xml:space="preserve">. </w:t>
      </w:r>
      <w:r>
        <w:rPr>
          <w:rFonts w:ascii="Calibri" w:eastAsia="Calibri" w:hAnsi="Calibri" w:cs="Calibri"/>
          <w:color w:val="000000"/>
        </w:rPr>
        <w:t xml:space="preserve">Wilcoxon rank-sum test was used to compare the relative abundance of taxa. </w:t>
      </w:r>
      <w:r>
        <w:rPr>
          <w:rFonts w:asciiTheme="majorHAnsi" w:eastAsia="Calibri" w:hAnsiTheme="majorHAnsi" w:cs="Calibri"/>
          <w:color w:val="000000" w:themeColor="text1"/>
        </w:rPr>
        <w:t>BE=Bronchiectasis without fixed airflow obstruction; BE-FAO= Bronchiectasis with fixed airflow obstruction; COPD=Chronic obstructive pulmonary disease</w:t>
      </w:r>
      <w:r>
        <w:rPr>
          <w:rFonts w:ascii="Calibri" w:eastAsia="Calibri" w:hAnsi="Calibri" w:cs="Calibri"/>
          <w:color w:val="000000"/>
        </w:rPr>
        <w:t>.</w:t>
      </w:r>
    </w:p>
    <w:p w14:paraId="02EF3543" w14:textId="77777777" w:rsidR="00D11BE5" w:rsidRDefault="00D11BE5" w:rsidP="00D11BE5">
      <w:pPr>
        <w:spacing w:line="480" w:lineRule="auto"/>
        <w:jc w:val="both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Figure S5. Stacked plot of relative abundance of taxa at the species level in each sample within COPD (n=86), BE (n=46) and BE-FAO (n=49) group.</w:t>
      </w:r>
      <w:r>
        <w:rPr>
          <w:rFonts w:ascii="Calibri" w:eastAsia="Calibri" w:hAnsi="Calibri" w:cs="Calibri"/>
          <w:color w:val="000000"/>
        </w:rPr>
        <w:t xml:space="preserve"> </w:t>
      </w:r>
      <w:r>
        <w:rPr>
          <w:rFonts w:asciiTheme="majorHAnsi" w:eastAsia="Calibri" w:hAnsiTheme="majorHAnsi" w:cs="Calibri"/>
          <w:color w:val="000000" w:themeColor="text1"/>
        </w:rPr>
        <w:t>BE=Bronchiectasis without fixed airflow obstruction; BE-FAO= Bronchiectasis with fixed airflow obstruction; COPD=Chronic obstructive pulmonary disease</w:t>
      </w:r>
      <w:r>
        <w:rPr>
          <w:rFonts w:ascii="Calibri" w:eastAsia="Calibri" w:hAnsi="Calibri" w:cs="Calibri"/>
          <w:color w:val="000000"/>
        </w:rPr>
        <w:t xml:space="preserve">. </w:t>
      </w:r>
    </w:p>
    <w:p w14:paraId="2DDB069C" w14:textId="77777777" w:rsidR="00D11BE5" w:rsidRDefault="00D11BE5" w:rsidP="00D11BE5">
      <w:pPr>
        <w:spacing w:line="480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Figure S6. The difference of lung microbiota composition of patients in BE-FAO ROSE (+) (n=24) and BE-FAO ROSE (-) (n=25). The composition of major taxonomic groups and the distribution of relative abundance of phylum level. </w:t>
      </w:r>
      <w:r>
        <w:rPr>
          <w:rFonts w:ascii="Calibri" w:eastAsia="Calibri" w:hAnsi="Calibri" w:cs="Calibri"/>
        </w:rPr>
        <w:t xml:space="preserve">The patients with BE-FAO ROSE (+) had </w:t>
      </w:r>
      <w:r>
        <w:rPr>
          <w:rFonts w:ascii="Calibri" w:eastAsia="Calibri" w:hAnsi="Calibri" w:cs="Calibri"/>
          <w:color w:val="000000"/>
        </w:rPr>
        <w:t>a higher relative abundance of</w:t>
      </w:r>
      <w:r>
        <w:rPr>
          <w:rFonts w:ascii="Calibri" w:eastAsia="Calibri" w:hAnsi="Calibri" w:cs="Calibri"/>
          <w:i/>
        </w:rPr>
        <w:t xml:space="preserve"> </w:t>
      </w:r>
      <w:proofErr w:type="spellStart"/>
      <w:r>
        <w:rPr>
          <w:rFonts w:ascii="Calibri" w:eastAsia="Calibri" w:hAnsi="Calibri" w:cs="Calibri"/>
          <w:i/>
          <w:color w:val="000000" w:themeColor="text1"/>
        </w:rPr>
        <w:t>Candidatus</w:t>
      </w:r>
      <w:proofErr w:type="spellEnd"/>
      <w:r>
        <w:rPr>
          <w:rFonts w:ascii="Calibri" w:eastAsia="Calibri" w:hAnsi="Calibri" w:cs="Calibri"/>
          <w:i/>
          <w:color w:val="000000" w:themeColor="text1"/>
        </w:rPr>
        <w:t xml:space="preserve"> </w:t>
      </w:r>
      <w:proofErr w:type="spellStart"/>
      <w:r>
        <w:rPr>
          <w:rFonts w:ascii="Calibri" w:eastAsia="Calibri" w:hAnsi="Calibri" w:cs="Calibri"/>
          <w:i/>
          <w:color w:val="000000" w:themeColor="text1"/>
        </w:rPr>
        <w:t>Absconditabacteria</w:t>
      </w:r>
      <w:proofErr w:type="spellEnd"/>
      <w:r>
        <w:rPr>
          <w:rFonts w:ascii="Calibri" w:eastAsia="Calibri" w:hAnsi="Calibri" w:cs="Calibri"/>
        </w:rPr>
        <w:t xml:space="preserve"> (</w:t>
      </w:r>
      <w:r>
        <w:rPr>
          <w:rFonts w:ascii="Calibri" w:eastAsia="Calibri" w:hAnsi="Calibri" w:cs="Calibri"/>
          <w:i/>
        </w:rPr>
        <w:t>P</w:t>
      </w:r>
      <w:r>
        <w:rPr>
          <w:rFonts w:ascii="Calibri" w:eastAsia="Calibri" w:hAnsi="Calibri" w:cs="Calibri"/>
        </w:rPr>
        <w:t xml:space="preserve">=0.034) at the phyla level compared to those with BE-FAO </w:t>
      </w:r>
      <w:proofErr w:type="gramStart"/>
      <w:r>
        <w:rPr>
          <w:rFonts w:ascii="Calibri" w:eastAsia="Calibri" w:hAnsi="Calibri" w:cs="Calibri"/>
        </w:rPr>
        <w:t>ROSE(</w:t>
      </w:r>
      <w:proofErr w:type="gramEnd"/>
      <w:r>
        <w:rPr>
          <w:rFonts w:ascii="Calibri" w:eastAsia="Calibri" w:hAnsi="Calibri" w:cs="Calibri"/>
        </w:rPr>
        <w:t xml:space="preserve">-). </w:t>
      </w:r>
    </w:p>
    <w:p w14:paraId="46995C26" w14:textId="77777777" w:rsidR="00D11BE5" w:rsidRDefault="00D11BE5" w:rsidP="00D11BE5">
      <w:pPr>
        <w:spacing w:line="480" w:lineRule="auto"/>
        <w:jc w:val="both"/>
        <w:rPr>
          <w:rFonts w:ascii="Calibri" w:eastAsia="Calibri" w:hAnsi="Calibri" w:cs="Calibri"/>
        </w:rPr>
      </w:pPr>
      <w:r>
        <w:rPr>
          <w:rFonts w:asciiTheme="majorHAnsi" w:eastAsia="Calibri" w:hAnsiTheme="majorHAnsi" w:cs="Calibri"/>
          <w:color w:val="000000" w:themeColor="text1"/>
        </w:rPr>
        <w:t>BE-FAO= Bronchiectasis with fixed airflow obstruction; ROSE=Radiology, Obstruction, Symptoms, Exposure.</w:t>
      </w:r>
    </w:p>
    <w:p w14:paraId="0471079B" w14:textId="77777777" w:rsidR="00D11BE5" w:rsidRDefault="00D11BE5" w:rsidP="00D11BE5">
      <w:pPr>
        <w:spacing w:line="48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color w:val="000000"/>
        </w:rPr>
        <w:t xml:space="preserve">Figure S7. The difference of lung microbiota composition of patients in BE-FAO ROSE (+) (n=24) and BE-FAO ROSE (-) (n=25). The composition of major taxonomic groups and the distribution of relative abundance of species level. </w:t>
      </w:r>
      <w:r>
        <w:rPr>
          <w:rFonts w:ascii="Calibri" w:eastAsia="Calibri" w:hAnsi="Calibri" w:cs="Calibri"/>
          <w:color w:val="000000"/>
        </w:rPr>
        <w:t xml:space="preserve">The </w:t>
      </w:r>
      <w:r>
        <w:rPr>
          <w:rFonts w:ascii="Calibri" w:eastAsia="Calibri" w:hAnsi="Calibri" w:cs="Calibri"/>
        </w:rPr>
        <w:t xml:space="preserve">patients with BE-FAO </w:t>
      </w:r>
      <w:proofErr w:type="gramStart"/>
      <w:r>
        <w:rPr>
          <w:rFonts w:ascii="Calibri" w:eastAsia="Calibri" w:hAnsi="Calibri" w:cs="Calibri"/>
        </w:rPr>
        <w:t>ROSE(</w:t>
      </w:r>
      <w:proofErr w:type="gramEnd"/>
      <w:r>
        <w:rPr>
          <w:rFonts w:ascii="Calibri" w:eastAsia="Calibri" w:hAnsi="Calibri" w:cs="Calibri"/>
        </w:rPr>
        <w:t xml:space="preserve">-) had a </w:t>
      </w:r>
      <w:r>
        <w:rPr>
          <w:rFonts w:ascii="Calibri" w:eastAsia="Calibri" w:hAnsi="Calibri" w:cs="Calibri"/>
          <w:color w:val="000000"/>
        </w:rPr>
        <w:t xml:space="preserve">relative abundance of </w:t>
      </w:r>
      <w:r>
        <w:rPr>
          <w:rFonts w:ascii="Calibri" w:eastAsia="Calibri" w:hAnsi="Calibri" w:cs="Calibri"/>
          <w:i/>
          <w:color w:val="000000"/>
        </w:rPr>
        <w:t>Pseudomonas aeruginosa</w:t>
      </w:r>
      <w:r>
        <w:rPr>
          <w:rFonts w:ascii="Calibri" w:eastAsia="Calibri" w:hAnsi="Calibri" w:cs="Calibri"/>
          <w:i/>
        </w:rPr>
        <w:t xml:space="preserve"> </w:t>
      </w:r>
      <w:r>
        <w:rPr>
          <w:rFonts w:ascii="Calibri" w:eastAsia="Calibri" w:hAnsi="Calibri" w:cs="Calibri"/>
        </w:rPr>
        <w:t>(</w:t>
      </w:r>
      <w:r>
        <w:rPr>
          <w:rFonts w:ascii="Calibri" w:eastAsia="Calibri" w:hAnsi="Calibri" w:cs="Calibri"/>
          <w:i/>
        </w:rPr>
        <w:t>P</w:t>
      </w:r>
      <w:r>
        <w:rPr>
          <w:rFonts w:ascii="Calibri" w:eastAsia="Calibri" w:hAnsi="Calibri" w:cs="Calibri"/>
        </w:rPr>
        <w:t xml:space="preserve">=0.086) when ASV annotated to species level, compared with those BE-FAO ROSE(+). </w:t>
      </w:r>
      <w:r>
        <w:rPr>
          <w:rFonts w:asciiTheme="majorHAnsi" w:eastAsia="Calibri" w:hAnsiTheme="majorHAnsi" w:cs="Calibri"/>
          <w:color w:val="000000" w:themeColor="text1"/>
        </w:rPr>
        <w:t>BE-FAO= Bronchiectasis with fixed airflow obstruction; ROSE=Radiology, Obstruction, Symptoms, Exposure.</w:t>
      </w:r>
    </w:p>
    <w:p w14:paraId="7F3D8B10" w14:textId="77777777" w:rsidR="00D11BE5" w:rsidRDefault="00D11BE5" w:rsidP="00D11BE5">
      <w:pPr>
        <w:spacing w:line="480" w:lineRule="auto"/>
        <w:jc w:val="both"/>
        <w:rPr>
          <w:rFonts w:ascii="Calibri" w:eastAsia="Calibri" w:hAnsi="Calibri" w:cs="Calibri"/>
          <w:i/>
          <w:highlight w:val="yellow"/>
        </w:rPr>
      </w:pPr>
      <w:r>
        <w:rPr>
          <w:rFonts w:ascii="Calibri" w:eastAsia="Calibri" w:hAnsi="Calibri" w:cs="Calibri"/>
          <w:b/>
          <w:color w:val="000000"/>
        </w:rPr>
        <w:lastRenderedPageBreak/>
        <w:t xml:space="preserve">Figure S8. The differential abundance of lung microbiome analysis using DEseq2 (after adjusting for age and gender) in the BE-FAO group. The different taxonomic levels (adjusted p&lt;0.05 and fold change&gt;2.0) in BE-FAO ROSE (+) versus BE-FAO </w:t>
      </w:r>
      <w:proofErr w:type="gramStart"/>
      <w:r>
        <w:rPr>
          <w:rFonts w:ascii="Calibri" w:eastAsia="Calibri" w:hAnsi="Calibri" w:cs="Calibri"/>
          <w:b/>
          <w:color w:val="000000"/>
        </w:rPr>
        <w:t>ROSE(</w:t>
      </w:r>
      <w:proofErr w:type="gramEnd"/>
      <w:r>
        <w:rPr>
          <w:rFonts w:ascii="Calibri" w:eastAsia="Calibri" w:hAnsi="Calibri" w:cs="Calibri"/>
          <w:b/>
          <w:color w:val="000000"/>
        </w:rPr>
        <w:t xml:space="preserve">-) at (A) genus level (B) species level. </w:t>
      </w:r>
      <w:r>
        <w:rPr>
          <w:rFonts w:ascii="Calibri" w:eastAsia="Calibri" w:hAnsi="Calibri" w:cs="Calibri"/>
          <w:color w:val="000000"/>
        </w:rPr>
        <w:t xml:space="preserve">We further disclosed that </w:t>
      </w:r>
      <w:proofErr w:type="spellStart"/>
      <w:r>
        <w:rPr>
          <w:rFonts w:ascii="Calibri" w:eastAsia="Calibri" w:hAnsi="Calibri" w:cs="Calibri"/>
          <w:i/>
          <w:color w:val="000000" w:themeColor="text1"/>
        </w:rPr>
        <w:t>Pseudoleptotrichia</w:t>
      </w:r>
      <w:proofErr w:type="spellEnd"/>
      <w:r>
        <w:rPr>
          <w:rFonts w:ascii="Calibri" w:eastAsia="Calibri" w:hAnsi="Calibri" w:cs="Calibri"/>
          <w:i/>
          <w:color w:val="000000" w:themeColor="text1"/>
        </w:rPr>
        <w:t xml:space="preserve"> </w:t>
      </w:r>
      <w:proofErr w:type="spellStart"/>
      <w:r>
        <w:rPr>
          <w:rFonts w:ascii="Calibri" w:eastAsia="Calibri" w:hAnsi="Calibri" w:cs="Calibri"/>
          <w:i/>
          <w:color w:val="000000" w:themeColor="text1"/>
        </w:rPr>
        <w:t>goodfellowii</w:t>
      </w:r>
      <w:proofErr w:type="spellEnd"/>
      <w:r>
        <w:rPr>
          <w:rFonts w:ascii="Calibri" w:eastAsia="Calibri" w:hAnsi="Calibri" w:cs="Calibri"/>
          <w:color w:val="000000" w:themeColor="text1"/>
        </w:rPr>
        <w:t xml:space="preserve">, </w:t>
      </w:r>
      <w:r>
        <w:rPr>
          <w:rFonts w:ascii="Calibri" w:eastAsia="Calibri" w:hAnsi="Calibri" w:cs="Calibri"/>
          <w:i/>
          <w:color w:val="000000" w:themeColor="text1"/>
        </w:rPr>
        <w:t xml:space="preserve">Streptococcus mutans, </w:t>
      </w:r>
      <w:proofErr w:type="spellStart"/>
      <w:r>
        <w:rPr>
          <w:rFonts w:ascii="Calibri" w:eastAsia="Calibri" w:hAnsi="Calibri" w:cs="Calibri"/>
          <w:i/>
          <w:color w:val="000000" w:themeColor="text1"/>
        </w:rPr>
        <w:t>Veillonella</w:t>
      </w:r>
      <w:proofErr w:type="spellEnd"/>
      <w:r>
        <w:rPr>
          <w:rFonts w:ascii="Calibri" w:eastAsia="Calibri" w:hAnsi="Calibri" w:cs="Calibri"/>
          <w:i/>
          <w:color w:val="000000" w:themeColor="text1"/>
        </w:rPr>
        <w:t xml:space="preserve"> </w:t>
      </w:r>
      <w:proofErr w:type="spellStart"/>
      <w:proofErr w:type="gramStart"/>
      <w:r>
        <w:rPr>
          <w:rFonts w:ascii="Calibri" w:eastAsia="Calibri" w:hAnsi="Calibri" w:cs="Calibri"/>
          <w:i/>
          <w:color w:val="000000" w:themeColor="text1"/>
        </w:rPr>
        <w:t>sp.oral</w:t>
      </w:r>
      <w:proofErr w:type="spellEnd"/>
      <w:proofErr w:type="gramEnd"/>
      <w:r>
        <w:rPr>
          <w:rFonts w:ascii="Calibri" w:eastAsia="Calibri" w:hAnsi="Calibri" w:cs="Calibri"/>
          <w:i/>
          <w:color w:val="000000" w:themeColor="text1"/>
        </w:rPr>
        <w:t xml:space="preserve"> taxon 780, </w:t>
      </w:r>
      <w:proofErr w:type="spellStart"/>
      <w:r>
        <w:rPr>
          <w:rFonts w:ascii="Calibri" w:eastAsia="Calibri" w:hAnsi="Calibri" w:cs="Calibri"/>
          <w:i/>
          <w:color w:val="000000" w:themeColor="text1"/>
        </w:rPr>
        <w:t>Prevotella</w:t>
      </w:r>
      <w:proofErr w:type="spellEnd"/>
      <w:r>
        <w:rPr>
          <w:rFonts w:ascii="Calibri" w:eastAsia="Calibri" w:hAnsi="Calibri" w:cs="Calibri"/>
          <w:i/>
          <w:color w:val="000000" w:themeColor="text1"/>
        </w:rPr>
        <w:t xml:space="preserve"> </w:t>
      </w:r>
      <w:proofErr w:type="spellStart"/>
      <w:r>
        <w:rPr>
          <w:rFonts w:ascii="Calibri" w:eastAsia="Calibri" w:hAnsi="Calibri" w:cs="Calibri"/>
          <w:i/>
          <w:color w:val="000000" w:themeColor="text1"/>
        </w:rPr>
        <w:t>denticola</w:t>
      </w:r>
      <w:proofErr w:type="spellEnd"/>
      <w:r>
        <w:rPr>
          <w:rFonts w:ascii="Calibri" w:eastAsia="Calibri" w:hAnsi="Calibri" w:cs="Calibri"/>
          <w:i/>
          <w:color w:val="000000" w:themeColor="text1"/>
        </w:rPr>
        <w:t xml:space="preserve">, </w:t>
      </w:r>
      <w:proofErr w:type="spellStart"/>
      <w:r>
        <w:rPr>
          <w:rFonts w:ascii="Calibri" w:eastAsia="Calibri" w:hAnsi="Calibri" w:cs="Calibri"/>
          <w:i/>
          <w:color w:val="000000" w:themeColor="text1"/>
        </w:rPr>
        <w:t>Capnocytophaga</w:t>
      </w:r>
      <w:proofErr w:type="spellEnd"/>
      <w:r>
        <w:rPr>
          <w:rFonts w:ascii="Calibri" w:eastAsia="Calibri" w:hAnsi="Calibri" w:cs="Calibri"/>
          <w:i/>
          <w:color w:val="000000" w:themeColor="text1"/>
        </w:rPr>
        <w:t xml:space="preserve"> </w:t>
      </w:r>
      <w:proofErr w:type="spellStart"/>
      <w:r>
        <w:rPr>
          <w:rFonts w:ascii="Calibri" w:eastAsia="Calibri" w:hAnsi="Calibri" w:cs="Calibri"/>
          <w:i/>
          <w:color w:val="000000" w:themeColor="text1"/>
        </w:rPr>
        <w:t>endodontalis</w:t>
      </w:r>
      <w:proofErr w:type="spellEnd"/>
      <w:r>
        <w:rPr>
          <w:rFonts w:ascii="Calibri" w:eastAsia="Calibri" w:hAnsi="Calibri" w:cs="Calibri"/>
          <w:i/>
          <w:color w:val="000000" w:themeColor="text1"/>
        </w:rPr>
        <w:t xml:space="preserve">, </w:t>
      </w:r>
      <w:proofErr w:type="spellStart"/>
      <w:r>
        <w:rPr>
          <w:rFonts w:ascii="Calibri" w:eastAsia="Calibri" w:hAnsi="Calibri" w:cs="Calibri"/>
          <w:i/>
          <w:color w:val="000000" w:themeColor="text1"/>
        </w:rPr>
        <w:t>Loriellopsis</w:t>
      </w:r>
      <w:proofErr w:type="spellEnd"/>
      <w:r>
        <w:rPr>
          <w:rFonts w:ascii="Calibri" w:eastAsia="Calibri" w:hAnsi="Calibri" w:cs="Calibri"/>
          <w:i/>
          <w:color w:val="000000" w:themeColor="text1"/>
        </w:rPr>
        <w:t xml:space="preserve"> </w:t>
      </w:r>
      <w:proofErr w:type="spellStart"/>
      <w:r>
        <w:rPr>
          <w:rFonts w:ascii="Calibri" w:eastAsia="Calibri" w:hAnsi="Calibri" w:cs="Calibri"/>
          <w:i/>
          <w:color w:val="000000" w:themeColor="text1"/>
        </w:rPr>
        <w:t>cavernicola</w:t>
      </w:r>
      <w:proofErr w:type="spellEnd"/>
      <w:r>
        <w:rPr>
          <w:rFonts w:ascii="Calibri" w:eastAsia="Calibri" w:hAnsi="Calibri" w:cs="Calibri"/>
          <w:i/>
          <w:color w:val="000000" w:themeColor="text1"/>
        </w:rPr>
        <w:t xml:space="preserve">, </w:t>
      </w:r>
      <w:proofErr w:type="spellStart"/>
      <w:r>
        <w:rPr>
          <w:rFonts w:ascii="Calibri" w:eastAsia="Calibri" w:hAnsi="Calibri" w:cs="Calibri"/>
          <w:i/>
          <w:color w:val="000000" w:themeColor="text1"/>
        </w:rPr>
        <w:t>Olsenella</w:t>
      </w:r>
      <w:proofErr w:type="spellEnd"/>
      <w:r>
        <w:rPr>
          <w:rFonts w:ascii="Calibri" w:eastAsia="Calibri" w:hAnsi="Calibri" w:cs="Calibri"/>
          <w:i/>
          <w:color w:val="000000" w:themeColor="text1"/>
        </w:rPr>
        <w:t xml:space="preserve"> genomosp.C1 and </w:t>
      </w:r>
      <w:proofErr w:type="spellStart"/>
      <w:r>
        <w:rPr>
          <w:rFonts w:ascii="Calibri" w:eastAsia="Calibri" w:hAnsi="Calibri" w:cs="Calibri"/>
          <w:i/>
          <w:color w:val="000000" w:themeColor="text1"/>
        </w:rPr>
        <w:t>Selenomonas</w:t>
      </w:r>
      <w:proofErr w:type="spellEnd"/>
      <w:r>
        <w:rPr>
          <w:rFonts w:ascii="Calibri" w:eastAsia="Calibri" w:hAnsi="Calibri" w:cs="Calibri"/>
          <w:i/>
          <w:color w:val="000000" w:themeColor="text1"/>
        </w:rPr>
        <w:t xml:space="preserve"> sp. oral taxon </w:t>
      </w:r>
      <w:r>
        <w:rPr>
          <w:rFonts w:ascii="Calibri" w:eastAsia="Calibri" w:hAnsi="Calibri" w:cs="Calibri"/>
        </w:rPr>
        <w:t>were</w:t>
      </w:r>
      <w:r>
        <w:rPr>
          <w:rFonts w:ascii="Calibri" w:eastAsia="Calibri" w:hAnsi="Calibri" w:cs="Calibri"/>
          <w:i/>
        </w:rPr>
        <w:t xml:space="preserve"> </w:t>
      </w:r>
      <w:r>
        <w:rPr>
          <w:rFonts w:ascii="Calibri" w:eastAsia="Calibri" w:hAnsi="Calibri" w:cs="Calibri"/>
        </w:rPr>
        <w:t>enriched in</w:t>
      </w:r>
      <w:r>
        <w:rPr>
          <w:rFonts w:ascii="Noto Sans" w:hAnsi="Noto Sans"/>
          <w:color w:val="0F0F0F"/>
        </w:rPr>
        <w:t xml:space="preserve"> BE-FAO ROSE(-) group compared to BE-FAO ROSE(+) group.</w:t>
      </w:r>
      <w:r>
        <w:rPr>
          <w:rFonts w:asciiTheme="majorHAnsi" w:eastAsia="Calibri" w:hAnsiTheme="majorHAnsi" w:cs="Calibri"/>
          <w:color w:val="000000" w:themeColor="text1"/>
        </w:rPr>
        <w:t xml:space="preserve"> BE-FAO= Bronchiectasis with fixed airflow obstruction; ROSE=Radiology, Obstruction, Symptoms, Exposure.</w:t>
      </w:r>
    </w:p>
    <w:p w14:paraId="770CE922" w14:textId="77777777" w:rsidR="00D11BE5" w:rsidRDefault="00D11BE5" w:rsidP="00D11BE5">
      <w:pPr>
        <w:spacing w:line="480" w:lineRule="auto"/>
        <w:jc w:val="both"/>
      </w:pPr>
      <w:r>
        <w:rPr>
          <w:rFonts w:ascii="Calibri" w:eastAsia="Calibri" w:hAnsi="Calibri" w:cs="Calibri"/>
          <w:b/>
          <w:color w:val="000000"/>
        </w:rPr>
        <w:t>Figure S9 shows alpha (A) and beta (B) diversity in BE-FAO patients with future exacerbations (n=22) versus those without (n=27) using BAL microbiome profiles.</w:t>
      </w:r>
      <w:r>
        <w:rPr>
          <w:rFonts w:ascii="Noto Sans" w:hAnsi="Noto Sans"/>
          <w:color w:val="0F0F0F"/>
        </w:rPr>
        <w:t xml:space="preserve"> Both </w:t>
      </w:r>
      <w:r>
        <w:rPr>
          <w:rFonts w:ascii="Calibri" w:eastAsia="Calibri" w:hAnsi="Calibri" w:cs="Calibri"/>
          <w:color w:val="000000"/>
        </w:rPr>
        <w:t>alpha diversity (</w:t>
      </w:r>
      <w:r>
        <w:rPr>
          <w:rFonts w:ascii="Calibri" w:eastAsia="Calibri" w:hAnsi="Calibri" w:cs="Calibri"/>
          <w:i/>
          <w:color w:val="000000"/>
        </w:rPr>
        <w:t>P</w:t>
      </w:r>
      <w:r>
        <w:rPr>
          <w:rFonts w:ascii="Calibri" w:eastAsia="Calibri" w:hAnsi="Calibri" w:cs="Calibri"/>
          <w:color w:val="000000"/>
        </w:rPr>
        <w:t xml:space="preserve"> = 0.12) and beta diversity (R</w:t>
      </w:r>
      <w:r>
        <w:rPr>
          <w:rFonts w:ascii="Calibri" w:eastAsia="Calibri" w:hAnsi="Calibri" w:cs="Calibri"/>
          <w:color w:val="000000"/>
          <w:vertAlign w:val="superscript"/>
        </w:rPr>
        <w:t>2</w:t>
      </w:r>
      <w:r>
        <w:rPr>
          <w:rFonts w:ascii="Calibri" w:eastAsia="Calibri" w:hAnsi="Calibri" w:cs="Calibri"/>
          <w:color w:val="000000"/>
        </w:rPr>
        <w:t xml:space="preserve"> = 0.025, </w:t>
      </w:r>
      <w:r>
        <w:rPr>
          <w:rFonts w:ascii="Calibri" w:eastAsia="Calibri" w:hAnsi="Calibri" w:cs="Calibri"/>
          <w:i/>
          <w:color w:val="000000"/>
        </w:rPr>
        <w:t>P</w:t>
      </w:r>
      <w:r>
        <w:rPr>
          <w:rFonts w:ascii="Calibri" w:eastAsia="Calibri" w:hAnsi="Calibri" w:cs="Calibri"/>
          <w:color w:val="000000"/>
        </w:rPr>
        <w:t xml:space="preserve"> = 0.24)</w:t>
      </w:r>
      <w:r>
        <w:rPr>
          <w:rFonts w:ascii="Noto Sans" w:hAnsi="Noto Sans"/>
          <w:color w:val="0F0F0F"/>
        </w:rPr>
        <w:t xml:space="preserve"> measures were similar between exacerbation and non-exacerbation subgroups.</w:t>
      </w:r>
      <w:r>
        <w:rPr>
          <w:rFonts w:asciiTheme="majorHAnsi" w:eastAsia="Calibri" w:hAnsiTheme="majorHAnsi" w:cs="Calibri"/>
          <w:color w:val="000000" w:themeColor="text1"/>
        </w:rPr>
        <w:t xml:space="preserve"> BE-FAO= Bronchiectasis with fixed airflow obstruction.</w:t>
      </w:r>
    </w:p>
    <w:p w14:paraId="4558B529" w14:textId="77777777" w:rsidR="00D11BE5" w:rsidRDefault="00D11BE5" w:rsidP="00D11BE5">
      <w:pPr>
        <w:spacing w:line="480" w:lineRule="auto"/>
        <w:jc w:val="both"/>
        <w:rPr>
          <w:rFonts w:ascii="Calibri" w:eastAsia="Calibri" w:hAnsi="Calibri" w:cs="Calibri" w:hint="eastAsia"/>
          <w:color w:val="000000"/>
        </w:rPr>
      </w:pPr>
      <w:r>
        <w:rPr>
          <w:rFonts w:ascii="Calibri" w:eastAsia="Calibri" w:hAnsi="Calibri" w:cs="Calibri"/>
          <w:b/>
          <w:color w:val="000000"/>
        </w:rPr>
        <w:t>Figure S10. The relative abundance in patients with future exacerbations (n=22) and non-exacerbation (n=27) in the BE-FAO group at phylum level.</w:t>
      </w:r>
      <w:r>
        <w:rPr>
          <w:rFonts w:ascii="Calibri" w:eastAsia="Calibri" w:hAnsi="Calibri" w:cs="Calibri"/>
          <w:color w:val="000000"/>
        </w:rPr>
        <w:t xml:space="preserve"> </w:t>
      </w:r>
      <w:r>
        <w:rPr>
          <w:rFonts w:ascii="Calibri" w:eastAsia="Calibri" w:hAnsi="Calibri" w:cs="Calibri"/>
          <w:color w:val="000000" w:themeColor="text1"/>
        </w:rPr>
        <w:t xml:space="preserve">The exacerbation subgroup of BE-FAO showed a trend of higher relative abundance of </w:t>
      </w:r>
      <w:r>
        <w:rPr>
          <w:rFonts w:ascii="Calibri" w:eastAsia="Calibri" w:hAnsi="Calibri" w:cs="Calibri"/>
          <w:i/>
          <w:color w:val="000000" w:themeColor="text1"/>
        </w:rPr>
        <w:t>Proteobacteria</w:t>
      </w:r>
      <w:r>
        <w:rPr>
          <w:rFonts w:ascii="Calibri" w:eastAsia="Calibri" w:hAnsi="Calibri" w:cs="Calibri"/>
          <w:color w:val="000000" w:themeColor="text1"/>
        </w:rPr>
        <w:t xml:space="preserve"> (P = 0.075), although it did not reach statistical significance.</w:t>
      </w:r>
      <w:r>
        <w:rPr>
          <w:rFonts w:ascii="Calibri" w:eastAsia="Calibri" w:hAnsi="Calibri" w:cs="Calibri"/>
        </w:rPr>
        <w:t xml:space="preserve"> </w:t>
      </w:r>
      <w:r>
        <w:rPr>
          <w:rFonts w:asciiTheme="majorHAnsi" w:eastAsia="Calibri" w:hAnsiTheme="majorHAnsi" w:cs="Calibri"/>
          <w:color w:val="000000" w:themeColor="text1"/>
        </w:rPr>
        <w:t>BE-FAO= Bronchiectasis with fixed airflow obstruction.</w:t>
      </w:r>
    </w:p>
    <w:p w14:paraId="772AD0D0" w14:textId="77777777" w:rsidR="00D11BE5" w:rsidRDefault="00D11BE5" w:rsidP="00D11BE5">
      <w:pPr>
        <w:spacing w:line="480" w:lineRule="auto"/>
        <w:jc w:val="both"/>
        <w:rPr>
          <w:rFonts w:asciiTheme="majorHAnsi" w:eastAsia="Calibri" w:hAnsiTheme="majorHAnsi" w:cs="Calibri"/>
          <w:color w:val="000000" w:themeColor="text1"/>
        </w:rPr>
      </w:pPr>
      <w:r>
        <w:rPr>
          <w:rFonts w:ascii="Calibri" w:eastAsia="Calibri" w:hAnsi="Calibri" w:cs="Calibri"/>
          <w:b/>
          <w:color w:val="000000"/>
        </w:rPr>
        <w:t>Figure S11. The differential abundance of lung microbiome analysis using DEseq2 in the BE-FAO group. The different taxonomic levels (adjusted p&lt;0.05 and fold change&gt;2.0) in exacerbation versus non-exacerbation subgroups at (A) phylum level (B) species level.</w:t>
      </w:r>
      <w:r>
        <w:rPr>
          <w:rFonts w:ascii="Calibri" w:eastAsia="Calibri" w:hAnsi="Calibri" w:cs="Calibri"/>
          <w:color w:val="000000"/>
        </w:rPr>
        <w:t xml:space="preserve"> DESeq2 analysis revealed that the exacerbation subgroup of BE-FAO had a predominance of </w:t>
      </w:r>
      <w:proofErr w:type="spellStart"/>
      <w:r>
        <w:rPr>
          <w:rFonts w:ascii="Calibri" w:eastAsia="Calibri" w:hAnsi="Calibri" w:cs="Calibri"/>
          <w:i/>
          <w:color w:val="000000"/>
        </w:rPr>
        <w:t>Leptotrichia</w:t>
      </w:r>
      <w:proofErr w:type="spellEnd"/>
      <w:r>
        <w:rPr>
          <w:rFonts w:ascii="Calibri" w:eastAsia="Calibri" w:hAnsi="Calibri" w:cs="Calibri"/>
          <w:i/>
          <w:color w:val="000000"/>
        </w:rPr>
        <w:t xml:space="preserve"> sp. canine oral taxon 345, </w:t>
      </w:r>
      <w:proofErr w:type="spellStart"/>
      <w:r>
        <w:rPr>
          <w:rFonts w:ascii="Calibri" w:eastAsia="Calibri" w:hAnsi="Calibri" w:cs="Calibri"/>
          <w:i/>
          <w:color w:val="000000"/>
        </w:rPr>
        <w:t>Haemophilus</w:t>
      </w:r>
      <w:proofErr w:type="spellEnd"/>
      <w:r>
        <w:rPr>
          <w:rFonts w:ascii="Calibri" w:eastAsia="Calibri" w:hAnsi="Calibri" w:cs="Calibri"/>
          <w:i/>
          <w:color w:val="000000"/>
        </w:rPr>
        <w:t xml:space="preserve"> parahaemolyticus, Pseudomonas aeruginosa, Bacteroides </w:t>
      </w:r>
      <w:r>
        <w:rPr>
          <w:rFonts w:ascii="Calibri" w:eastAsia="Calibri" w:hAnsi="Calibri" w:cs="Calibri"/>
          <w:i/>
          <w:color w:val="000000"/>
        </w:rPr>
        <w:lastRenderedPageBreak/>
        <w:t>pyogenes,</w:t>
      </w:r>
      <w:r>
        <w:rPr>
          <w:rFonts w:ascii="Calibri" w:eastAsia="Calibri" w:hAnsi="Calibri" w:cs="Calibri"/>
          <w:color w:val="000000"/>
        </w:rPr>
        <w:t xml:space="preserve"> and </w:t>
      </w:r>
      <w:proofErr w:type="spellStart"/>
      <w:r>
        <w:rPr>
          <w:rFonts w:ascii="Calibri" w:eastAsia="Calibri" w:hAnsi="Calibri" w:cs="Calibri"/>
          <w:i/>
          <w:color w:val="000000"/>
        </w:rPr>
        <w:t>Tropheryma</w:t>
      </w:r>
      <w:proofErr w:type="spellEnd"/>
      <w:r>
        <w:rPr>
          <w:rFonts w:ascii="Calibri" w:eastAsia="Calibri" w:hAnsi="Calibri" w:cs="Calibri"/>
          <w:i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i/>
          <w:color w:val="000000"/>
        </w:rPr>
        <w:t>whipplei</w:t>
      </w:r>
      <w:proofErr w:type="spellEnd"/>
      <w:r>
        <w:rPr>
          <w:rFonts w:ascii="Calibri" w:eastAsia="Calibri" w:hAnsi="Calibri" w:cs="Calibri"/>
          <w:color w:val="000000"/>
        </w:rPr>
        <w:t xml:space="preserve"> relative to the non-exacerbation subgroup.</w:t>
      </w:r>
      <w:r>
        <w:rPr>
          <w:rFonts w:asciiTheme="majorHAnsi" w:eastAsia="Calibri" w:hAnsiTheme="majorHAnsi" w:cs="Calibri"/>
          <w:color w:val="000000" w:themeColor="text1"/>
        </w:rPr>
        <w:t xml:space="preserve"> BE-FAO= Bronchiectasis with fixed airflow obstruction.</w:t>
      </w:r>
    </w:p>
    <w:p w14:paraId="5060F965" w14:textId="77777777" w:rsidR="00AD1398" w:rsidRDefault="00AD1398"/>
    <w:sectPr w:rsidR="00AD13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crosoft JhengHei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Noto Sans">
    <w:altName w:val="Calibri"/>
    <w:charset w:val="00"/>
    <w:family w:val="swiss"/>
    <w:pitch w:val="variable"/>
    <w:sig w:usb0="E00082FF" w:usb1="400078F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1BE5"/>
    <w:rsid w:val="005374DE"/>
    <w:rsid w:val="00AD1398"/>
    <w:rsid w:val="00D11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7ECBD1"/>
  <w15:chartTrackingRefBased/>
  <w15:docId w15:val="{C2F89C24-33BB-4A7B-A7CF-C7D58EC64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1BE5"/>
    <w:pPr>
      <w:spacing w:after="0" w:line="240" w:lineRule="auto"/>
    </w:pPr>
    <w:rPr>
      <w:rFonts w:ascii="PMingLiU" w:eastAsia="PMingLiU" w:hAnsi="PMingLiU" w:cs="PMingLiU"/>
      <w:kern w:val="0"/>
      <w:sz w:val="24"/>
      <w:szCs w:val="24"/>
      <w:lang w:eastAsia="zh-TW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11BE5"/>
    <w:pPr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semiHidden/>
    <w:rsid w:val="00D11BE5"/>
    <w:rPr>
      <w:rFonts w:ascii="Times New Roman" w:eastAsia="Times New Roman" w:hAnsi="Times New Roman" w:cs="Times New Roman"/>
      <w:b/>
      <w:kern w:val="0"/>
      <w:sz w:val="27"/>
      <w:szCs w:val="27"/>
      <w:lang w:eastAsia="zh-TW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725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823</Words>
  <Characters>4695</Characters>
  <Application>Microsoft Office Word</Application>
  <DocSecurity>0</DocSecurity>
  <Lines>39</Lines>
  <Paragraphs>11</Paragraphs>
  <ScaleCrop>false</ScaleCrop>
  <Company>Springer Nature</Company>
  <LinksUpToDate>false</LinksUpToDate>
  <CharactersWithSpaces>5507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2024-01-03T08:10:00Z</dcterms:created>
  <dcterms:modified xsi:type="dcterms:W3CDTF">2024-01-03T08:11:00Z</dcterms:modified>
</cp:coreProperties>
</file>