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cs="Times New Roman"/>
          <w:sz w:val="21"/>
          <w:szCs w:val="21"/>
        </w:rPr>
      </w:pPr>
      <w:bookmarkStart w:id="0" w:name="reporting-checklist-for-randomised-trial."/>
      <w:bookmarkEnd w:id="0"/>
      <w:r>
        <w:rPr>
          <w:rFonts w:hint="default" w:ascii="Times New Roman" w:hAnsi="Times New Roman" w:cs="Times New Roman"/>
          <w:sz w:val="21"/>
          <w:szCs w:val="21"/>
        </w:rPr>
        <w:t>Reporting checklist for randomised trial.</w:t>
      </w:r>
    </w:p>
    <w:p>
      <w:pPr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Based on the CONSORT guidelines.</w:t>
      </w:r>
    </w:p>
    <w:p>
      <w:pPr>
        <w:rPr>
          <w:rFonts w:hint="default" w:ascii="Times New Roman" w:hAnsi="Times New Roman" w:cs="Times New Roman"/>
          <w:sz w:val="21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color w:val="0000FF"/>
          <w:kern w:val="2"/>
          <w:sz w:val="21"/>
          <w:szCs w:val="21"/>
          <w:lang w:val="en-US" w:eastAsia="zh-CN" w:bidi="ar-SA"/>
        </w:rPr>
        <w:t xml:space="preserve">per protocol set (PPS) </w:t>
      </w:r>
    </w:p>
    <w:tbl>
      <w:tblPr>
        <w:tblStyle w:val="1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2"/>
        <w:gridCol w:w="636"/>
        <w:gridCol w:w="6314"/>
        <w:gridCol w:w="1504"/>
      </w:tblGrid>
      <w:tr>
        <w:tc>
          <w:tcPr>
            <w:tcBorders>
              <w:bottom w:val="single" w:color="auto" w:sz="0" w:space="0"/>
            </w:tcBorders>
            <w:vAlign w:val="bottom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bookmarkStart w:id="1" w:name="instructions-to-authors"/>
            <w:bookmarkEnd w:id="1"/>
          </w:p>
        </w:tc>
        <w:tc>
          <w:tcPr>
            <w:tcBorders>
              <w:bottom w:val="single" w:color="auto" w:sz="0" w:space="0"/>
            </w:tcBorders>
            <w:vAlign w:val="bottom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Borders>
              <w:bottom w:val="single" w:color="auto" w:sz="0" w:space="0"/>
            </w:tcBorders>
            <w:vAlign w:val="bottom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Reporting Item</w:t>
            </w:r>
          </w:p>
        </w:tc>
        <w:tc>
          <w:tcPr>
            <w:tcBorders>
              <w:bottom w:val="single" w:color="auto" w:sz="0" w:space="0"/>
            </w:tcBorders>
            <w:vAlign w:val="bottom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Page Number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Title and Abstract</w:t>
            </w: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p>
            <w:pPr>
              <w:rPr>
                <w:rFonts w:hint="eastAsia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Title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"https://www.goodreports.org/reporting-checklists/consort/info/#1a"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#1a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Identification as a randomized trial in the title.</w:t>
            </w:r>
          </w:p>
        </w:tc>
        <w:tc>
          <w:p>
            <w:pPr>
              <w:rPr>
                <w:rFonts w:hint="eastAsia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Abstract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"https://www.goodreports.org/reporting-checklists/consort/info/#1b"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#1b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Structured summary of trial design, methods, results, and conclusions</w:t>
            </w:r>
          </w:p>
        </w:tc>
        <w:tc>
          <w:p>
            <w:pPr>
              <w:rPr>
                <w:rFonts w:hint="eastAsia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Introduction</w:t>
            </w: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Background and objectives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"https://www.goodreports.org/reporting-checklists/consort/info/#2a"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#2a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Scientific background and explanation of rationale</w:t>
            </w:r>
          </w:p>
        </w:tc>
        <w:tc>
          <w:p>
            <w:pPr>
              <w:rPr>
                <w:rFonts w:hint="eastAsia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Background and objectives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"https://www.goodreports.org/reporting-checklists/consort/info/#2b"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#2b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Specific objectives or hypothesis</w:t>
            </w:r>
          </w:p>
        </w:tc>
        <w:tc>
          <w:p>
            <w:pPr>
              <w:rPr>
                <w:rFonts w:hint="eastAsia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Methods</w:t>
            </w: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Trial design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"https://www.goodreports.org/reporting-checklists/consort/info/#3a"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#3a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5687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Description of trial design (such as parallel, factorial) including allocation ratio.</w:t>
            </w:r>
          </w:p>
        </w:tc>
        <w:tc>
          <w:tcPr>
            <w:tcW w:w="2264" w:type="dxa"/>
          </w:tcPr>
          <w:p>
            <w:pPr>
              <w:rPr>
                <w:rFonts w:hint="eastAsia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Trial design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"https://www.goodreports.org/reporting-checklists/consort/info/#3b"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#3b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Important changes to methods after trial commencement (such as eligibility criteria), with reasons</w:t>
            </w:r>
          </w:p>
        </w:tc>
        <w:tc>
          <w:p>
            <w:pPr>
              <w:rPr>
                <w:rFonts w:hint="default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bookmarkStart w:id="2" w:name="OLE_LINK1"/>
            <w:r>
              <w:rPr>
                <w:rFonts w:hint="default" w:ascii="Times New Roman" w:hAnsi="Times New Roman" w:cs="Times New Roman"/>
                <w:sz w:val="21"/>
                <w:szCs w:val="21"/>
              </w:rPr>
              <w:t>n/a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. No changes</w:t>
            </w:r>
            <w:bookmarkEnd w:id="2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Participants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"https://www.goodreports.org/reporting-checklists/consort/info/#4a"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#4a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Eligibility criteria for participants</w:t>
            </w:r>
          </w:p>
        </w:tc>
        <w:tc>
          <w:p>
            <w:pPr>
              <w:rPr>
                <w:rFonts w:hint="eastAsia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Participants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"https://www.goodreports.org/reporting-checklists/consort/info/#4b"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#4b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Settings and locations where the data were collected</w:t>
            </w:r>
          </w:p>
        </w:tc>
        <w:tc>
          <w:p>
            <w:pPr>
              <w:rPr>
                <w:rFonts w:hint="default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Interventions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"https://www.goodreports.org/reporting-checklists/consort/info/#5"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#5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The experimental and control interventions for each group with sufficient details to allow replication, including how and when they were actually administered</w:t>
            </w:r>
          </w:p>
        </w:tc>
        <w:tc>
          <w:p>
            <w:pPr>
              <w:rPr>
                <w:rFonts w:hint="default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Outcomes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"https://www.goodreports.org/reporting-checklists/consort/info/#6a"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#6a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Completely defined prespecified primary and secondary outcome measures, including how and when they were assessed</w:t>
            </w:r>
          </w:p>
        </w:tc>
        <w:tc>
          <w:p>
            <w:pPr>
              <w:rPr>
                <w:rFonts w:hint="default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Outcomes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"https://www.goodreports.org/reporting-checklists/consort/info/#6b"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#6b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Any changes to trial outcomes after the trial commenced, with reasons</w:t>
            </w: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n/a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. No changes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Sample size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"https://www.goodreports.org/reporting-checklists/consort/info/#7a"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#7a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How sample size was determined.</w:t>
            </w:r>
          </w:p>
        </w:tc>
        <w:tc>
          <w:p>
            <w:pPr>
              <w:rPr>
                <w:rFonts w:hint="default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Sample size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"https://www.goodreports.org/reporting-checklists/consort/info/#7b"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#7b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When applicable, explanation of any interim analyses and stopping guidelines</w:t>
            </w:r>
          </w:p>
        </w:tc>
        <w:tc>
          <w:p>
            <w:pPr>
              <w:rPr>
                <w:rFonts w:hint="eastAsia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9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Randomization - Sequence generation</w:t>
            </w:r>
          </w:p>
        </w:tc>
        <w:tc>
          <w:tcPr>
            <w:tcW w:w="636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"https://www.goodreports.org/reporting-checklists/consort/info/#8a"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#8a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5687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Method used to generate the random allocation sequence.</w:t>
            </w: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9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Randomization - Sequence generation</w:t>
            </w:r>
          </w:p>
        </w:tc>
        <w:tc>
          <w:tcPr>
            <w:tcW w:w="636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"https://www.goodreports.org/reporting-checklists/consort/info/#8b"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#8b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tcPr>
            <w:tcW w:w="5687" w:type="dxa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Type of randomization; details of any </w:t>
            </w:r>
            <w:bookmarkStart w:id="3" w:name="OLE_LINK2"/>
            <w:r>
              <w:rPr>
                <w:rFonts w:hint="default" w:ascii="Times New Roman" w:hAnsi="Times New Roman" w:cs="Times New Roman"/>
                <w:sz w:val="21"/>
                <w:szCs w:val="21"/>
              </w:rPr>
              <w:t>restriction</w:t>
            </w:r>
            <w:bookmarkEnd w:id="3"/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(such as blocking and block size)</w:t>
            </w: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Randomization - Allocation concealment mechanism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"https://www.goodreports.org/reporting-checklists/consort/info/#9"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#9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p>
            <w:pPr>
              <w:rPr>
                <w:rFonts w:hint="eastAsia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Randomization - Implementation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"https://www.goodreports.org/reporting-checklists/consort/info/#10"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#10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Who generated the allocation sequence, who enrolled participants, and who assigned participants to interventions</w:t>
            </w:r>
          </w:p>
        </w:tc>
        <w:tc>
          <w:p>
            <w:pPr>
              <w:rPr>
                <w:rFonts w:hint="default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Blinding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"https://www.goodreports.org/reporting-checklists/consort/info/#11a"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#11a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If done, who was blinded after assignment to interventions (for example, participants, care providers, those assessing outcomes) and how.</w:t>
            </w:r>
          </w:p>
        </w:tc>
        <w:tc>
          <w:p>
            <w:pPr>
              <w:rPr>
                <w:rFonts w:hint="eastAsia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Blinding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"https://www.goodreports.org/reporting-checklists/consort/info/#11b"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#11b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If relevant, description of the similarity of interventions</w:t>
            </w:r>
          </w:p>
        </w:tc>
        <w:tc>
          <w:p>
            <w:pPr>
              <w:rPr>
                <w:rFonts w:hint="eastAsia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Statistical methods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"https://www.goodreports.org/reporting-checklists/consort/info/#12a"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#12a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Statistical methods used to compare groups for primary and secondary outcomes</w:t>
            </w:r>
          </w:p>
        </w:tc>
        <w:tc>
          <w:p>
            <w:pPr>
              <w:rPr>
                <w:rFonts w:hint="default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Statistical methods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"https://www.goodreports.org/reporting-checklists/consort/info/#12b"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#12b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Methods for additional analyses, such as subgroup analyses and adjusted analyses</w:t>
            </w:r>
          </w:p>
        </w:tc>
        <w:tc>
          <w:p>
            <w:pPr>
              <w:rPr>
                <w:rFonts w:hint="default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Results</w:t>
            </w: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Participant flow diagram (strongly recommended)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"https://www.goodreports.org/reporting-checklists/consort/info/#13a"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#13a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2264" w:type="dxa"/>
            <w:vMerge w:val="restart"/>
          </w:tcPr>
          <w:p>
            <w:pPr>
              <w:rPr>
                <w:rFonts w:hint="eastAsia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n/a. T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he trial is ongoing and no analysis of the data has yet been performed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Participant flow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"https://www.goodreports.org/reporting-checklists/consort/info/#13b"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#13b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For each group, losses and exclusions after randomization, together with reason</w:t>
            </w:r>
          </w:p>
        </w:tc>
        <w:tc>
          <w:tcPr>
            <w:tcW w:w="2264" w:type="dxa"/>
            <w:vMerge w:val="continue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Recruitment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"https://www.goodreports.org/reporting-checklists/consort/info/#14a"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#14a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Dates defining the periods of recruitment and follow-up</w:t>
            </w:r>
          </w:p>
        </w:tc>
        <w:tc>
          <w:tcPr>
            <w:tcW w:w="2264" w:type="dxa"/>
            <w:vMerge w:val="continue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Recruitment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"https://www.goodreports.org/reporting-checklists/consort/info/#14b"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#14b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Why the trial ended or was stopped</w:t>
            </w:r>
          </w:p>
        </w:tc>
        <w:tc>
          <w:tcPr>
            <w:tcW w:w="2264" w:type="dxa"/>
            <w:vMerge w:val="continue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Baseline data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"https://www.goodreports.org/reporting-checklists/consort/info/#15"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#15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 table showing baseline demographic and clinical characteristics for each group</w:t>
            </w:r>
          </w:p>
        </w:tc>
        <w:tc>
          <w:tcPr>
            <w:tcW w:w="2264" w:type="dxa"/>
            <w:vMerge w:val="continue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Numbers analysed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"https://www.goodreports.org/reporting-checklists/consort/info/#16"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#16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2264" w:type="dxa"/>
            <w:vMerge w:val="continue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Outcomes and estimation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"https://www.goodreports.org/reporting-checklists/consort/info/#17a"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#17a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2264" w:type="dxa"/>
            <w:vMerge w:val="continue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Outcomes and estimation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"https://www.goodreports.org/reporting-checklists/consort/info/#17b"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#17b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For binary outcomes, presentation of both absolute and relative effect sizes is recommended</w:t>
            </w:r>
          </w:p>
        </w:tc>
        <w:tc>
          <w:tcPr>
            <w:tcW w:w="2264" w:type="dxa"/>
            <w:vMerge w:val="continue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Ancillary analyses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"https://www.goodreports.org/reporting-checklists/consort/info/#18"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#18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2264" w:type="dxa"/>
            <w:vMerge w:val="continue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Harms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"https://www.goodreports.org/reporting-checklists/consort/info/#19"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#19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All important harms or unintended effects in each group (For specific guidance see CONSORT for harms)</w:t>
            </w:r>
          </w:p>
        </w:tc>
        <w:tc>
          <w:tcPr>
            <w:tcW w:w="2264" w:type="dxa"/>
            <w:vMerge w:val="continue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Discussion</w:t>
            </w: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Limitations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"https://www.goodreports.org/reporting-checklists/consort/info/#20"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#20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Trial limitations, addressing sources of potential bias, imprecision, and, if relevant, multiplicity of analyses</w:t>
            </w:r>
          </w:p>
        </w:tc>
        <w:tc>
          <w:p>
            <w:pPr>
              <w:rPr>
                <w:rFonts w:hint="default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Generalisability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"https://www.goodreports.org/reporting-checklists/consort/info/#21"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#21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Generalisability (external validity, applicability) of the trial findings</w:t>
            </w: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bookmarkStart w:id="4" w:name="OLE_LINK5" w:colFirst="3" w:colLast="3"/>
            <w:r>
              <w:rPr>
                <w:rFonts w:hint="default" w:ascii="Times New Roman" w:hAnsi="Times New Roman" w:cs="Times New Roman"/>
                <w:sz w:val="21"/>
                <w:szCs w:val="21"/>
              </w:rPr>
              <w:t>Interpretation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"https://www.goodreports.org/reporting-checklists/consort/info/#22"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#22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Interpretation consistent with results, balancing benefits and harms, and considering other relevant evidence</w:t>
            </w:r>
          </w:p>
        </w:tc>
        <w:tc>
          <w:p>
            <w:pPr>
              <w:rPr>
                <w:rFonts w:hint="default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Registration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"https://www.goodreports.org/reporting-checklists/consort/info/#23"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#23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Registration number and name of trial registry</w:t>
            </w:r>
          </w:p>
        </w:tc>
        <w:tc>
          <w:p>
            <w:pPr>
              <w:rPr>
                <w:rFonts w:hint="default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16</w:t>
            </w:r>
          </w:p>
        </w:tc>
      </w:tr>
      <w:bookmarkEnd w:id="4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Other information</w:t>
            </w: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Interpretation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"https://www.goodreports.org/reporting-checklists/consort/info/#22"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#22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Interpretation consistent with results, balancing benefits and harms, and considering other relevant evidence</w:t>
            </w:r>
          </w:p>
        </w:tc>
        <w:tc>
          <w:tcPr>
            <w:tcW w:w="2264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Registration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"https://www.goodreports.org/reporting-checklists/consort/info/#23"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#23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Registration number and name of trial registry</w:t>
            </w:r>
            <w:bookmarkStart w:id="5" w:name="_GoBack"/>
            <w:bookmarkEnd w:id="5"/>
          </w:p>
        </w:tc>
        <w:tc>
          <w:tcPr>
            <w:tcW w:w="2264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Protocol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"https://www.goodreports.org/reporting-checklists/consort/info/#24"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#24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Where the full trial protocol can be accessed, if available</w:t>
            </w:r>
          </w:p>
        </w:tc>
        <w:tc>
          <w:p>
            <w:pPr>
              <w:rPr>
                <w:rFonts w:hint="eastAsia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Funding</w:t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instrText xml:space="preserve"> HYPERLINK "https://www.goodreports.org/reporting-checklists/consort/info/#25" \h </w:instrTex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fldChar w:fldCharType="separate"/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t>#25</w:t>
            </w:r>
            <w:r>
              <w:rPr>
                <w:rStyle w:val="16"/>
                <w:rFonts w:hint="default" w:ascii="Times New Roman" w:hAnsi="Times New Roman" w:cs="Times New Roman"/>
                <w:sz w:val="21"/>
                <w:szCs w:val="21"/>
              </w:rPr>
              <w:fldChar w:fldCharType="end"/>
            </w:r>
          </w:p>
        </w:tc>
        <w:tc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Sources of funding and other support (such as supply of drugs), role of funders</w:t>
            </w:r>
          </w:p>
        </w:tc>
        <w:tc>
          <w:p>
            <w:pPr>
              <w:rPr>
                <w:rFonts w:hint="default" w:ascii="Times New Roman" w:hAnsi="Times New Roman" w:eastAsia="Proxima Nova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18</w:t>
            </w: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None The CONSORT checklist is distributed under the terms of the Creative Commons Attribution License CC-BY. This checklist can be completed online using </w:t>
      </w:r>
      <w:r>
        <w:rPr>
          <w:rFonts w:hint="default" w:ascii="Times New Roman" w:hAnsi="Times New Roman" w:cs="Times New Roman"/>
          <w:sz w:val="21"/>
          <w:szCs w:val="21"/>
        </w:rPr>
        <w:fldChar w:fldCharType="begin"/>
      </w:r>
      <w:r>
        <w:rPr>
          <w:rFonts w:hint="default" w:ascii="Times New Roman" w:hAnsi="Times New Roman" w:cs="Times New Roman"/>
          <w:sz w:val="21"/>
          <w:szCs w:val="21"/>
        </w:rPr>
        <w:instrText xml:space="preserve"> HYPERLINK "https://www.goodreports.org/" \h </w:instrText>
      </w:r>
      <w:r>
        <w:rPr>
          <w:rFonts w:hint="default" w:ascii="Times New Roman" w:hAnsi="Times New Roman" w:cs="Times New Roman"/>
          <w:sz w:val="21"/>
          <w:szCs w:val="21"/>
        </w:rPr>
        <w:fldChar w:fldCharType="separate"/>
      </w:r>
      <w:r>
        <w:rPr>
          <w:rStyle w:val="16"/>
          <w:rFonts w:hint="default" w:ascii="Times New Roman" w:hAnsi="Times New Roman" w:cs="Times New Roman"/>
          <w:sz w:val="21"/>
          <w:szCs w:val="21"/>
        </w:rPr>
        <w:t>https://www.goodreports.org/</w:t>
      </w:r>
      <w:r>
        <w:rPr>
          <w:rStyle w:val="16"/>
          <w:rFonts w:hint="default" w:ascii="Times New Roman" w:hAnsi="Times New Roman" w:cs="Times New Roman"/>
          <w:sz w:val="21"/>
          <w:szCs w:val="21"/>
        </w:rPr>
        <w:fldChar w:fldCharType="end"/>
      </w:r>
      <w:r>
        <w:rPr>
          <w:rFonts w:hint="default" w:ascii="Times New Roman" w:hAnsi="Times New Roman" w:cs="Times New Roman"/>
          <w:sz w:val="21"/>
          <w:szCs w:val="21"/>
        </w:rPr>
        <w:t xml:space="preserve">, a tool made by the </w:t>
      </w:r>
      <w:r>
        <w:rPr>
          <w:rFonts w:hint="default" w:ascii="Times New Roman" w:hAnsi="Times New Roman" w:cs="Times New Roman"/>
          <w:sz w:val="21"/>
          <w:szCs w:val="21"/>
        </w:rPr>
        <w:fldChar w:fldCharType="begin"/>
      </w:r>
      <w:r>
        <w:rPr>
          <w:rFonts w:hint="default" w:ascii="Times New Roman" w:hAnsi="Times New Roman" w:cs="Times New Roman"/>
          <w:sz w:val="21"/>
          <w:szCs w:val="21"/>
        </w:rPr>
        <w:instrText xml:space="preserve"> HYPERLINK "https://www.equator-network.org" \h </w:instrText>
      </w:r>
      <w:r>
        <w:rPr>
          <w:rFonts w:hint="default" w:ascii="Times New Roman" w:hAnsi="Times New Roman" w:cs="Times New Roman"/>
          <w:sz w:val="21"/>
          <w:szCs w:val="21"/>
        </w:rPr>
        <w:fldChar w:fldCharType="separate"/>
      </w:r>
      <w:r>
        <w:rPr>
          <w:rStyle w:val="16"/>
          <w:rFonts w:hint="default" w:ascii="Times New Roman" w:hAnsi="Times New Roman" w:cs="Times New Roman"/>
          <w:sz w:val="21"/>
          <w:szCs w:val="21"/>
        </w:rPr>
        <w:t>EQUATOR Network</w:t>
      </w:r>
      <w:r>
        <w:rPr>
          <w:rStyle w:val="16"/>
          <w:rFonts w:hint="default" w:ascii="Times New Roman" w:hAnsi="Times New Roman" w:cs="Times New Roman"/>
          <w:sz w:val="21"/>
          <w:szCs w:val="21"/>
        </w:rPr>
        <w:fldChar w:fldCharType="end"/>
      </w:r>
      <w:r>
        <w:rPr>
          <w:rFonts w:hint="default" w:ascii="Times New Roman" w:hAnsi="Times New Roman" w:cs="Times New Roman"/>
          <w:sz w:val="21"/>
          <w:szCs w:val="21"/>
        </w:rPr>
        <w:t xml:space="preserve"> in collaboration with </w:t>
      </w:r>
      <w:r>
        <w:rPr>
          <w:rFonts w:hint="default" w:ascii="Times New Roman" w:hAnsi="Times New Roman" w:cs="Times New Roman"/>
          <w:sz w:val="21"/>
          <w:szCs w:val="21"/>
        </w:rPr>
        <w:fldChar w:fldCharType="begin"/>
      </w:r>
      <w:r>
        <w:rPr>
          <w:rFonts w:hint="default" w:ascii="Times New Roman" w:hAnsi="Times New Roman" w:cs="Times New Roman"/>
          <w:sz w:val="21"/>
          <w:szCs w:val="21"/>
        </w:rPr>
        <w:instrText xml:space="preserve"> HYPERLINK "https://www.penelope.ai" \h </w:instrText>
      </w:r>
      <w:r>
        <w:rPr>
          <w:rFonts w:hint="default" w:ascii="Times New Roman" w:hAnsi="Times New Roman" w:cs="Times New Roman"/>
          <w:sz w:val="21"/>
          <w:szCs w:val="21"/>
        </w:rPr>
        <w:fldChar w:fldCharType="separate"/>
      </w:r>
      <w:r>
        <w:rPr>
          <w:rStyle w:val="16"/>
          <w:rFonts w:hint="default" w:ascii="Times New Roman" w:hAnsi="Times New Roman" w:cs="Times New Roman"/>
          <w:sz w:val="21"/>
          <w:szCs w:val="21"/>
        </w:rPr>
        <w:t>Penelope.ai</w:t>
      </w:r>
      <w:r>
        <w:rPr>
          <w:rStyle w:val="16"/>
          <w:rFonts w:hint="default" w:ascii="Times New Roman" w:hAnsi="Times New Roman" w:cs="Times New Roman"/>
          <w:sz w:val="21"/>
          <w:szCs w:val="21"/>
        </w:rPr>
        <w:fldChar w:fldCharType="end"/>
      </w:r>
    </w:p>
    <w:sectPr>
      <w:headerReference r:id="rId5" w:type="first"/>
      <w:pgSz w:w="12240" w:h="15840"/>
      <w:pgMar w:top="720" w:right="720" w:bottom="720" w:left="720" w:header="0" w:footer="720" w:gutter="0"/>
      <w:pgNumType w:start="1"/>
      <w:cols w:space="720" w:num="1"/>
      <w:docGrid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roxima Nova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-54610</wp:posOffset>
              </wp:positionH>
              <wp:positionV relativeFrom="paragraph">
                <wp:posOffset>685165</wp:posOffset>
              </wp:positionV>
              <wp:extent cx="6172200" cy="45720"/>
              <wp:effectExtent l="0" t="0" r="0" b="5715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72200" cy="45719"/>
                      </a:xfrm>
                      <a:prstGeom prst="rect">
                        <a:avLst/>
                      </a:prstGeom>
                      <a:solidFill>
                        <a:srgbClr val="2BB2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-4.3pt;margin-top:53.95pt;height:3.6pt;width:486pt;z-index:251659264;v-text-anchor:middle;mso-width-relative:page;mso-height-relative:page;" fillcolor="#2BB298" filled="t" stroked="f" coordsize="21600,21600" o:gfxdata="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DSGQR32AAAAAoBAAAPAAAAAAAAAAEAIAAAACIAAABkcnMvZG93bnJldi54bWxQSwECFAAUAAAA&#10;CACHTuJACP8iI2ACAADNBAAADgAAAAAAAAABACAAAAAnAQAAZHJzL2Uyb0RvYy54bWxQSwUGAAAA&#10;AAYABgBZAQAA+QUAAAAA&#10;">
              <v:fill on="t" focussize="0,0"/>
              <v:stroke on="f" weight="1pt" miterlimit="8" joinstyle="miter"/>
              <v:imagedata o:title=""/>
              <o:lock v:ext="edit" aspectratio="f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NotTrackMoves/>
  <w:documentProtection w:enforcement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5ZGVkY2IyZTU5YTQxOTQ4ZGE5MjcyMjA3MDkyZTIifQ=="/>
  </w:docVars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  <w:rsid w:val="1AED5D41"/>
    <w:rsid w:val="347E339A"/>
    <w:rsid w:val="4D8D6249"/>
    <w:rsid w:val="53080E48"/>
    <w:rsid w:val="5C622BEC"/>
    <w:rsid w:val="6D287521"/>
    <w:rsid w:val="76052664"/>
  </w:rsids>
  <m:mathPr>
    <m:mathFont m:val="Lucida Grande"/>
    <m:brkBin m:val="before"/>
    <m:brkBinSub m:val="--"/>
    <m:smallFrac m:val="0"/>
    <m:dispDef m:val="0"/>
    <m:lMargin m:val="0"/>
    <m:rMargin m:val="0"/>
    <m:defJc m:val="centerGroup"/>
    <m:wrapRight m:val="1"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Proxima Nova" w:hAnsi="Proxima Nova" w:eastAsia="Proxima Nova" w:cs="Proxima Nova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before="200" w:line="312" w:lineRule="auto"/>
    </w:pPr>
    <w:rPr>
      <w:rFonts w:ascii="Helvetica" w:hAnsi="Helvetica" w:eastAsia="Proxima Nova" w:cs="Proxima Nova"/>
      <w:color w:val="353744"/>
      <w:sz w:val="24"/>
      <w:szCs w:val="24"/>
      <w:lang w:val="en-US" w:eastAsia="en-US" w:bidi="ar-SA"/>
    </w:rPr>
  </w:style>
  <w:style w:type="paragraph" w:styleId="2">
    <w:name w:val="heading 1"/>
    <w:basedOn w:val="3"/>
    <w:next w:val="1"/>
    <w:autoRedefine/>
    <w:qFormat/>
    <w:uiPriority w:val="0"/>
    <w:pPr>
      <w:spacing w:after="400"/>
      <w:contextualSpacing w:val="0"/>
      <w:outlineLvl w:val="0"/>
    </w:pPr>
    <w:rPr>
      <w:color w:val="000000" w:themeColor="text1"/>
      <w:sz w:val="48"/>
      <w:szCs w:val="48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1"/>
    <w:autoRedefine/>
    <w:qFormat/>
    <w:uiPriority w:val="0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outlineLvl w:val="2"/>
    </w:pPr>
    <w:rPr>
      <w:b/>
      <w:color w:val="auto"/>
    </w:rPr>
  </w:style>
  <w:style w:type="paragraph" w:styleId="6">
    <w:name w:val="heading 4"/>
    <w:basedOn w:val="1"/>
    <w:next w:val="1"/>
    <w:autoRedefine/>
    <w:qFormat/>
    <w:uiPriority w:val="0"/>
    <w:pPr>
      <w:spacing w:before="100"/>
      <w:outlineLvl w:val="3"/>
    </w:pPr>
    <w:rPr>
      <w:sz w:val="32"/>
      <w:szCs w:val="32"/>
    </w:rPr>
  </w:style>
  <w:style w:type="paragraph" w:styleId="7">
    <w:name w:val="heading 5"/>
    <w:basedOn w:val="1"/>
    <w:next w:val="1"/>
    <w:autoRedefine/>
    <w:qFormat/>
    <w:uiPriority w:val="0"/>
    <w:pPr>
      <w:keepNext/>
      <w:keepLines/>
      <w:spacing w:before="160"/>
      <w:contextualSpacing/>
      <w:outlineLvl w:val="4"/>
    </w:pPr>
    <w:rPr>
      <w:rFonts w:ascii="Trebuchet MS" w:hAnsi="Trebuchet MS" w:eastAsia="Trebuchet MS" w:cs="Trebuchet MS"/>
      <w:color w:val="666666"/>
    </w:rPr>
  </w:style>
  <w:style w:type="paragraph" w:styleId="8">
    <w:name w:val="heading 6"/>
    <w:basedOn w:val="1"/>
    <w:next w:val="1"/>
    <w:autoRedefine/>
    <w:qFormat/>
    <w:uiPriority w:val="0"/>
    <w:pPr>
      <w:keepNext/>
      <w:keepLines/>
      <w:spacing w:before="160"/>
      <w:contextualSpacing/>
      <w:outlineLvl w:val="5"/>
    </w:pPr>
    <w:rPr>
      <w:rFonts w:ascii="Trebuchet MS" w:hAnsi="Trebuchet MS" w:eastAsia="Trebuchet MS" w:cs="Trebuchet MS"/>
      <w:i/>
      <w:color w:val="666666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next w:val="1"/>
    <w:autoRedefine/>
    <w:qFormat/>
    <w:uiPriority w:val="0"/>
    <w:pPr>
      <w:spacing w:before="320" w:line="240" w:lineRule="auto"/>
      <w:contextualSpacing/>
    </w:pPr>
    <w:rPr>
      <w:sz w:val="72"/>
      <w:szCs w:val="72"/>
    </w:rPr>
  </w:style>
  <w:style w:type="paragraph" w:styleId="9">
    <w:name w:val="annotation text"/>
    <w:basedOn w:val="1"/>
    <w:link w:val="19"/>
    <w:autoRedefine/>
    <w:semiHidden/>
    <w:unhideWhenUsed/>
    <w:qFormat/>
    <w:uiPriority w:val="99"/>
    <w:pPr>
      <w:spacing w:line="240" w:lineRule="auto"/>
    </w:pPr>
  </w:style>
  <w:style w:type="paragraph" w:styleId="10">
    <w:name w:val="Balloon Text"/>
    <w:basedOn w:val="1"/>
    <w:link w:val="20"/>
    <w:autoRedefine/>
    <w:semiHidden/>
    <w:unhideWhenUsed/>
    <w:qFormat/>
    <w:uiPriority w:val="99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paragraph" w:styleId="11">
    <w:name w:val="footer"/>
    <w:basedOn w:val="1"/>
    <w:link w:val="22"/>
    <w:autoRedefine/>
    <w:unhideWhenUsed/>
    <w:qFormat/>
    <w:uiPriority w:val="99"/>
    <w:pPr>
      <w:tabs>
        <w:tab w:val="center" w:pos="4513"/>
        <w:tab w:val="right" w:pos="9026"/>
      </w:tabs>
      <w:spacing w:before="0" w:line="240" w:lineRule="auto"/>
    </w:pPr>
  </w:style>
  <w:style w:type="paragraph" w:styleId="12">
    <w:name w:val="header"/>
    <w:basedOn w:val="1"/>
    <w:link w:val="21"/>
    <w:autoRedefine/>
    <w:unhideWhenUsed/>
    <w:qFormat/>
    <w:uiPriority w:val="99"/>
    <w:pPr>
      <w:tabs>
        <w:tab w:val="center" w:pos="4513"/>
        <w:tab w:val="right" w:pos="9026"/>
      </w:tabs>
      <w:spacing w:before="0" w:line="240" w:lineRule="auto"/>
    </w:pPr>
  </w:style>
  <w:style w:type="paragraph" w:styleId="13">
    <w:name w:val="Subtitle"/>
    <w:basedOn w:val="1"/>
    <w:next w:val="1"/>
    <w:autoRedefine/>
    <w:qFormat/>
    <w:uiPriority w:val="0"/>
    <w:pPr>
      <w:spacing w:before="0" w:line="240" w:lineRule="auto"/>
      <w:contextualSpacing/>
    </w:pPr>
    <w:rPr>
      <w:color w:val="666666"/>
      <w:sz w:val="26"/>
      <w:szCs w:val="26"/>
    </w:rPr>
  </w:style>
  <w:style w:type="character" w:styleId="16">
    <w:name w:val="Hyperlink"/>
    <w:basedOn w:val="15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7">
    <w:name w:val="annotation reference"/>
    <w:basedOn w:val="15"/>
    <w:autoRedefine/>
    <w:semiHidden/>
    <w:unhideWhenUsed/>
    <w:qFormat/>
    <w:uiPriority w:val="99"/>
    <w:rPr>
      <w:sz w:val="18"/>
      <w:szCs w:val="18"/>
    </w:rPr>
  </w:style>
  <w:style w:type="table" w:customStyle="1" w:styleId="18">
    <w:name w:val="1"/>
    <w:basedOn w:val="14"/>
    <w:autoRedefine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9">
    <w:name w:val="Comment Text Char"/>
    <w:basedOn w:val="15"/>
    <w:link w:val="9"/>
    <w:autoRedefine/>
    <w:semiHidden/>
    <w:qFormat/>
    <w:uiPriority w:val="99"/>
    <w:rPr>
      <w:sz w:val="24"/>
      <w:szCs w:val="24"/>
    </w:rPr>
  </w:style>
  <w:style w:type="character" w:customStyle="1" w:styleId="20">
    <w:name w:val="Balloon Text Char"/>
    <w:basedOn w:val="15"/>
    <w:link w:val="10"/>
    <w:autoRedefine/>
    <w:semiHidden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21">
    <w:name w:val="Header Char"/>
    <w:basedOn w:val="15"/>
    <w:link w:val="12"/>
    <w:autoRedefine/>
    <w:qFormat/>
    <w:uiPriority w:val="99"/>
  </w:style>
  <w:style w:type="character" w:customStyle="1" w:styleId="22">
    <w:name w:val="Footer Char"/>
    <w:basedOn w:val="15"/>
    <w:link w:val="11"/>
    <w:autoRedefine/>
    <w:qFormat/>
    <w:uiPriority w:val="99"/>
  </w:style>
  <w:style w:type="paragraph" w:customStyle="1" w:styleId="23">
    <w:name w:val="Source Code"/>
    <w:basedOn w:val="1"/>
    <w:autoRedefine/>
    <w:qFormat/>
    <w:uiPriority w:val="0"/>
    <w:pPr>
      <w:wordWrap w:val="0"/>
    </w:pPr>
  </w:style>
  <w:style w:type="character" w:customStyle="1" w:styleId="24">
    <w:name w:val="KeywordTok"/>
    <w:autoRedefine/>
    <w:qFormat/>
    <w:uiPriority w:val="0"/>
    <w:rPr>
      <w:b/>
      <w:color w:val="007020"/>
    </w:rPr>
  </w:style>
  <w:style w:type="character" w:customStyle="1" w:styleId="25">
    <w:name w:val="DataTypeTok"/>
    <w:autoRedefine/>
    <w:qFormat/>
    <w:uiPriority w:val="0"/>
    <w:rPr>
      <w:color w:val="902000"/>
    </w:rPr>
  </w:style>
  <w:style w:type="character" w:customStyle="1" w:styleId="26">
    <w:name w:val="DecValTok"/>
    <w:autoRedefine/>
    <w:qFormat/>
    <w:uiPriority w:val="0"/>
    <w:rPr>
      <w:color w:val="40A070"/>
    </w:rPr>
  </w:style>
  <w:style w:type="character" w:customStyle="1" w:styleId="27">
    <w:name w:val="BaseNTok"/>
    <w:autoRedefine/>
    <w:qFormat/>
    <w:uiPriority w:val="0"/>
    <w:rPr>
      <w:color w:val="40A070"/>
    </w:rPr>
  </w:style>
  <w:style w:type="character" w:customStyle="1" w:styleId="28">
    <w:name w:val="FloatTok"/>
    <w:autoRedefine/>
    <w:qFormat/>
    <w:uiPriority w:val="0"/>
    <w:rPr>
      <w:color w:val="40A070"/>
    </w:rPr>
  </w:style>
  <w:style w:type="character" w:customStyle="1" w:styleId="29">
    <w:name w:val="ConstantTok"/>
    <w:autoRedefine/>
    <w:qFormat/>
    <w:uiPriority w:val="0"/>
    <w:rPr>
      <w:color w:val="880000"/>
    </w:rPr>
  </w:style>
  <w:style w:type="character" w:customStyle="1" w:styleId="30">
    <w:name w:val="CharTok"/>
    <w:autoRedefine/>
    <w:qFormat/>
    <w:uiPriority w:val="0"/>
    <w:rPr>
      <w:color w:val="4070A0"/>
    </w:rPr>
  </w:style>
  <w:style w:type="character" w:customStyle="1" w:styleId="31">
    <w:name w:val="SpecialCharTok"/>
    <w:autoRedefine/>
    <w:qFormat/>
    <w:uiPriority w:val="0"/>
    <w:rPr>
      <w:color w:val="4070A0"/>
    </w:rPr>
  </w:style>
  <w:style w:type="character" w:customStyle="1" w:styleId="32">
    <w:name w:val="StringTok"/>
    <w:autoRedefine/>
    <w:qFormat/>
    <w:uiPriority w:val="0"/>
    <w:rPr>
      <w:color w:val="4070A0"/>
    </w:rPr>
  </w:style>
  <w:style w:type="character" w:customStyle="1" w:styleId="33">
    <w:name w:val="VerbatimStringTok"/>
    <w:autoRedefine/>
    <w:qFormat/>
    <w:uiPriority w:val="0"/>
    <w:rPr>
      <w:color w:val="4070A0"/>
    </w:rPr>
  </w:style>
  <w:style w:type="character" w:customStyle="1" w:styleId="34">
    <w:name w:val="SpecialStringTok"/>
    <w:autoRedefine/>
    <w:qFormat/>
    <w:uiPriority w:val="0"/>
    <w:rPr>
      <w:color w:val="BB6688"/>
    </w:rPr>
  </w:style>
  <w:style w:type="character" w:customStyle="1" w:styleId="35">
    <w:name w:val="ImportTok"/>
    <w:autoRedefine/>
    <w:qFormat/>
    <w:uiPriority w:val="0"/>
  </w:style>
  <w:style w:type="character" w:customStyle="1" w:styleId="36">
    <w:name w:val="CommentTok"/>
    <w:autoRedefine/>
    <w:qFormat/>
    <w:uiPriority w:val="0"/>
    <w:rPr>
      <w:i/>
      <w:color w:val="60A0B0"/>
    </w:rPr>
  </w:style>
  <w:style w:type="character" w:customStyle="1" w:styleId="37">
    <w:name w:val="DocumentationTok"/>
    <w:autoRedefine/>
    <w:qFormat/>
    <w:uiPriority w:val="0"/>
    <w:rPr>
      <w:i/>
      <w:color w:val="BA2121"/>
    </w:rPr>
  </w:style>
  <w:style w:type="character" w:customStyle="1" w:styleId="38">
    <w:name w:val="AnnotationTok"/>
    <w:autoRedefine/>
    <w:qFormat/>
    <w:uiPriority w:val="0"/>
    <w:rPr>
      <w:b/>
      <w:i/>
      <w:color w:val="60A0B0"/>
    </w:rPr>
  </w:style>
  <w:style w:type="character" w:customStyle="1" w:styleId="39">
    <w:name w:val="CommentVarTok"/>
    <w:autoRedefine/>
    <w:uiPriority w:val="0"/>
    <w:rPr>
      <w:b/>
      <w:i/>
      <w:color w:val="60A0B0"/>
    </w:rPr>
  </w:style>
  <w:style w:type="character" w:customStyle="1" w:styleId="40">
    <w:name w:val="OtherTok"/>
    <w:autoRedefine/>
    <w:qFormat/>
    <w:uiPriority w:val="0"/>
    <w:rPr>
      <w:color w:val="007020"/>
    </w:rPr>
  </w:style>
  <w:style w:type="character" w:customStyle="1" w:styleId="41">
    <w:name w:val="FunctionTok"/>
    <w:autoRedefine/>
    <w:qFormat/>
    <w:uiPriority w:val="0"/>
    <w:rPr>
      <w:color w:val="06287E"/>
    </w:rPr>
  </w:style>
  <w:style w:type="character" w:customStyle="1" w:styleId="42">
    <w:name w:val="VariableTok"/>
    <w:autoRedefine/>
    <w:qFormat/>
    <w:uiPriority w:val="0"/>
    <w:rPr>
      <w:color w:val="19177C"/>
    </w:rPr>
  </w:style>
  <w:style w:type="character" w:customStyle="1" w:styleId="43">
    <w:name w:val="ControlFlowTok"/>
    <w:autoRedefine/>
    <w:qFormat/>
    <w:uiPriority w:val="0"/>
    <w:rPr>
      <w:b/>
      <w:color w:val="007020"/>
    </w:rPr>
  </w:style>
  <w:style w:type="character" w:customStyle="1" w:styleId="44">
    <w:name w:val="OperatorTok"/>
    <w:autoRedefine/>
    <w:qFormat/>
    <w:uiPriority w:val="0"/>
    <w:rPr>
      <w:color w:val="666666"/>
    </w:rPr>
  </w:style>
  <w:style w:type="character" w:customStyle="1" w:styleId="45">
    <w:name w:val="BuiltInTok"/>
    <w:autoRedefine/>
    <w:qFormat/>
    <w:uiPriority w:val="0"/>
  </w:style>
  <w:style w:type="character" w:customStyle="1" w:styleId="46">
    <w:name w:val="ExtensionTok"/>
    <w:autoRedefine/>
    <w:uiPriority w:val="0"/>
  </w:style>
  <w:style w:type="character" w:customStyle="1" w:styleId="47">
    <w:name w:val="PreprocessorTok"/>
    <w:autoRedefine/>
    <w:qFormat/>
    <w:uiPriority w:val="0"/>
    <w:rPr>
      <w:color w:val="BC7A00"/>
    </w:rPr>
  </w:style>
  <w:style w:type="character" w:customStyle="1" w:styleId="48">
    <w:name w:val="AttributeTok"/>
    <w:autoRedefine/>
    <w:qFormat/>
    <w:uiPriority w:val="0"/>
    <w:rPr>
      <w:color w:val="7D9029"/>
    </w:rPr>
  </w:style>
  <w:style w:type="character" w:customStyle="1" w:styleId="49">
    <w:name w:val="RegionMarkerTok"/>
    <w:autoRedefine/>
    <w:qFormat/>
    <w:uiPriority w:val="0"/>
  </w:style>
  <w:style w:type="character" w:customStyle="1" w:styleId="50">
    <w:name w:val="InformationTok"/>
    <w:autoRedefine/>
    <w:qFormat/>
    <w:uiPriority w:val="0"/>
    <w:rPr>
      <w:b/>
      <w:i/>
      <w:color w:val="60A0B0"/>
    </w:rPr>
  </w:style>
  <w:style w:type="character" w:customStyle="1" w:styleId="51">
    <w:name w:val="WarningTok"/>
    <w:autoRedefine/>
    <w:uiPriority w:val="0"/>
    <w:rPr>
      <w:b/>
      <w:i/>
      <w:color w:val="60A0B0"/>
    </w:rPr>
  </w:style>
  <w:style w:type="character" w:customStyle="1" w:styleId="52">
    <w:name w:val="AlertTok"/>
    <w:autoRedefine/>
    <w:qFormat/>
    <w:uiPriority w:val="0"/>
    <w:rPr>
      <w:b/>
      <w:color w:val="FF0000"/>
    </w:rPr>
  </w:style>
  <w:style w:type="character" w:customStyle="1" w:styleId="53">
    <w:name w:val="ErrorTok"/>
    <w:autoRedefine/>
    <w:qFormat/>
    <w:uiPriority w:val="0"/>
    <w:rPr>
      <w:b/>
      <w:color w:val="FF0000"/>
    </w:rPr>
  </w:style>
  <w:style w:type="character" w:customStyle="1" w:styleId="54">
    <w:name w:val="NormalTok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354</Characters>
  <Lines>2</Lines>
  <Paragraphs>1</Paragraphs>
  <TotalTime>4</TotalTime>
  <ScaleCrop>false</ScaleCrop>
  <LinksUpToDate>false</LinksUpToDate>
  <CharactersWithSpaces>415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2023-12-05T09:52:00Z</dcterms:created>
  <dc:creator>123</dc:creator>
  <cp:lastModifiedBy>123</cp:lastModifiedBy>
  <dcterms:modified xsi:type="dcterms:W3CDTF">2023-12-11T08:26:28Z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8A6EDE7F734245989792A02574CF1474_13</vt:lpwstr>
  </property>
</Properties>
</file>