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E86EF" w14:textId="4664C3EA" w:rsidR="00EE70EB" w:rsidRPr="004213D8" w:rsidRDefault="00EE70EB" w:rsidP="00EE70EB">
      <w:pPr>
        <w:spacing w:line="240" w:lineRule="auto"/>
        <w:jc w:val="both"/>
        <w:rPr>
          <w:rFonts w:ascii="Times New Roman" w:eastAsia="Calibri" w:hAnsi="Times New Roman" w:cs="Times New Roman"/>
          <w:b/>
          <w:bCs/>
          <w:sz w:val="24"/>
          <w:szCs w:val="24"/>
        </w:rPr>
      </w:pPr>
      <w:r w:rsidRPr="004213D8">
        <w:rPr>
          <w:rFonts w:ascii="Times New Roman" w:eastAsia="Calibri" w:hAnsi="Times New Roman" w:cs="Times New Roman"/>
          <w:b/>
          <w:bCs/>
          <w:sz w:val="24"/>
          <w:szCs w:val="24"/>
        </w:rPr>
        <w:t xml:space="preserve">Additional file </w:t>
      </w:r>
      <w:r w:rsidR="00BD3114">
        <w:rPr>
          <w:rFonts w:ascii="Times New Roman" w:eastAsia="Calibri" w:hAnsi="Times New Roman" w:cs="Times New Roman"/>
          <w:b/>
          <w:bCs/>
          <w:sz w:val="24"/>
          <w:szCs w:val="24"/>
        </w:rPr>
        <w:t>2</w:t>
      </w:r>
      <w:r w:rsidR="003321D9" w:rsidRPr="004213D8">
        <w:rPr>
          <w:rFonts w:ascii="Times New Roman" w:eastAsia="Calibri" w:hAnsi="Times New Roman" w:cs="Times New Roman"/>
          <w:b/>
          <w:bCs/>
          <w:sz w:val="24"/>
          <w:szCs w:val="24"/>
        </w:rPr>
        <w:t>:</w:t>
      </w:r>
      <w:r w:rsidRPr="004213D8">
        <w:rPr>
          <w:rFonts w:ascii="Times New Roman" w:eastAsia="Calibri" w:hAnsi="Times New Roman" w:cs="Times New Roman"/>
          <w:b/>
          <w:bCs/>
          <w:sz w:val="24"/>
          <w:szCs w:val="24"/>
        </w:rPr>
        <w:t xml:space="preserve"> </w:t>
      </w:r>
      <w:bookmarkStart w:id="0" w:name="_Hlk41474778"/>
      <w:r w:rsidRPr="004213D8">
        <w:rPr>
          <w:rFonts w:ascii="Times New Roman" w:eastAsia="Calibri" w:hAnsi="Times New Roman" w:cs="Times New Roman"/>
          <w:b/>
          <w:bCs/>
          <w:sz w:val="24"/>
          <w:szCs w:val="24"/>
        </w:rPr>
        <w:t xml:space="preserve">Primers used for qPCR validation analyses. </w:t>
      </w:r>
    </w:p>
    <w:tbl>
      <w:tblPr>
        <w:tblStyle w:val="PlainTable55"/>
        <w:tblW w:w="14034" w:type="dxa"/>
        <w:jc w:val="center"/>
        <w:tblLook w:val="04A0" w:firstRow="1" w:lastRow="0" w:firstColumn="1" w:lastColumn="0" w:noHBand="0" w:noVBand="1"/>
      </w:tblPr>
      <w:tblGrid>
        <w:gridCol w:w="1123"/>
        <w:gridCol w:w="4264"/>
        <w:gridCol w:w="2593"/>
        <w:gridCol w:w="2717"/>
        <w:gridCol w:w="726"/>
        <w:gridCol w:w="1453"/>
        <w:gridCol w:w="1158"/>
      </w:tblGrid>
      <w:tr w:rsidR="00EE70EB" w:rsidRPr="00EE70EB" w14:paraId="4C1809EE" w14:textId="77777777" w:rsidTr="00227697">
        <w:trPr>
          <w:cnfStyle w:val="100000000000" w:firstRow="1" w:lastRow="0" w:firstColumn="0" w:lastColumn="0" w:oddVBand="0" w:evenVBand="0" w:oddHBand="0" w:evenHBand="0" w:firstRowFirstColumn="0" w:firstRowLastColumn="0" w:lastRowFirstColumn="0" w:lastRowLastColumn="0"/>
          <w:trHeight w:val="167"/>
          <w:jc w:val="center"/>
        </w:trPr>
        <w:tc>
          <w:tcPr>
            <w:cnfStyle w:val="001000000100" w:firstRow="0" w:lastRow="0" w:firstColumn="1" w:lastColumn="0" w:oddVBand="0" w:evenVBand="0" w:oddHBand="0" w:evenHBand="0" w:firstRowFirstColumn="1" w:firstRowLastColumn="0" w:lastRowFirstColumn="0" w:lastRowLastColumn="0"/>
            <w:tcW w:w="1123" w:type="dxa"/>
            <w:tcBorders>
              <w:top w:val="single" w:sz="12" w:space="0" w:color="auto"/>
              <w:bottom w:val="single" w:sz="12" w:space="0" w:color="auto"/>
            </w:tcBorders>
            <w:shd w:val="clear" w:color="auto" w:fill="auto"/>
            <w:hideMark/>
          </w:tcPr>
          <w:bookmarkEnd w:id="0"/>
          <w:p w14:paraId="41AB4F26" w14:textId="77777777" w:rsidR="00EE70EB" w:rsidRPr="00EE70EB" w:rsidRDefault="00EE70EB" w:rsidP="00EE70EB">
            <w:pPr>
              <w:jc w:val="left"/>
              <w:rPr>
                <w:rFonts w:ascii="Times New Roman" w:eastAsia="Times New Roman" w:hAnsi="Times New Roman"/>
                <w:b/>
                <w:bCs/>
                <w:sz w:val="22"/>
                <w:lang w:val="en-US"/>
              </w:rPr>
            </w:pPr>
            <w:r w:rsidRPr="00EE70EB">
              <w:rPr>
                <w:rFonts w:ascii="Times New Roman" w:eastAsia="Times New Roman" w:hAnsi="Times New Roman"/>
                <w:b/>
                <w:bCs/>
                <w:sz w:val="22"/>
                <w:lang w:val="en-US"/>
              </w:rPr>
              <w:t>Gene</w:t>
            </w:r>
          </w:p>
          <w:p w14:paraId="640833DA" w14:textId="77777777" w:rsidR="00EE70EB" w:rsidRPr="00EE70EB" w:rsidRDefault="00EE70EB" w:rsidP="00EE70EB">
            <w:pPr>
              <w:jc w:val="left"/>
              <w:rPr>
                <w:rFonts w:ascii="Times New Roman" w:eastAsia="Times New Roman" w:hAnsi="Times New Roman"/>
                <w:b/>
                <w:bCs/>
                <w:sz w:val="22"/>
                <w:lang w:val="en-US"/>
              </w:rPr>
            </w:pPr>
            <w:r w:rsidRPr="00EE70EB">
              <w:rPr>
                <w:rFonts w:ascii="Times New Roman" w:eastAsia="Times New Roman" w:hAnsi="Times New Roman"/>
                <w:b/>
                <w:bCs/>
                <w:sz w:val="22"/>
                <w:lang w:val="en-US"/>
              </w:rPr>
              <w:t>Symbol</w:t>
            </w:r>
          </w:p>
        </w:tc>
        <w:tc>
          <w:tcPr>
            <w:tcW w:w="4264" w:type="dxa"/>
            <w:tcBorders>
              <w:top w:val="single" w:sz="12" w:space="0" w:color="auto"/>
              <w:bottom w:val="single" w:sz="12" w:space="0" w:color="auto"/>
            </w:tcBorders>
            <w:shd w:val="clear" w:color="auto" w:fill="auto"/>
            <w:hideMark/>
          </w:tcPr>
          <w:p w14:paraId="29BA243D"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Gene</w:t>
            </w:r>
          </w:p>
          <w:p w14:paraId="650CFD2B"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Name</w:t>
            </w:r>
          </w:p>
        </w:tc>
        <w:tc>
          <w:tcPr>
            <w:tcW w:w="2593" w:type="dxa"/>
            <w:tcBorders>
              <w:top w:val="single" w:sz="12" w:space="0" w:color="auto"/>
              <w:bottom w:val="single" w:sz="12" w:space="0" w:color="auto"/>
            </w:tcBorders>
            <w:shd w:val="clear" w:color="auto" w:fill="auto"/>
            <w:hideMark/>
          </w:tcPr>
          <w:p w14:paraId="3E593FA0"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Forward Primer</w:t>
            </w:r>
          </w:p>
          <w:p w14:paraId="00EAB146"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(Sequence 5'-3')</w:t>
            </w:r>
          </w:p>
        </w:tc>
        <w:tc>
          <w:tcPr>
            <w:tcW w:w="2717" w:type="dxa"/>
            <w:tcBorders>
              <w:top w:val="single" w:sz="12" w:space="0" w:color="auto"/>
              <w:bottom w:val="single" w:sz="12" w:space="0" w:color="auto"/>
            </w:tcBorders>
            <w:shd w:val="clear" w:color="auto" w:fill="auto"/>
            <w:hideMark/>
          </w:tcPr>
          <w:p w14:paraId="469F7D3B"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Reverse Primer</w:t>
            </w:r>
          </w:p>
          <w:p w14:paraId="6F94201E"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(Sequence 5'-3')</w:t>
            </w:r>
          </w:p>
        </w:tc>
        <w:tc>
          <w:tcPr>
            <w:tcW w:w="726" w:type="dxa"/>
            <w:tcBorders>
              <w:top w:val="single" w:sz="12" w:space="0" w:color="auto"/>
              <w:bottom w:val="single" w:sz="12" w:space="0" w:color="auto"/>
            </w:tcBorders>
            <w:shd w:val="clear" w:color="auto" w:fill="auto"/>
            <w:hideMark/>
          </w:tcPr>
          <w:p w14:paraId="20A1027B" w14:textId="5F040606" w:rsidR="00EE70EB" w:rsidRPr="00EE70EB" w:rsidRDefault="00EE70EB" w:rsidP="00EE70E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Size</w:t>
            </w:r>
            <w:r w:rsidR="007A411C" w:rsidRPr="00227697">
              <w:rPr>
                <w:rFonts w:ascii="Times New Roman" w:eastAsia="Times New Roman" w:hAnsi="Times New Roman"/>
                <w:b/>
                <w:bCs/>
                <w:sz w:val="22"/>
                <w:vertAlign w:val="superscript"/>
                <w:lang w:val="en-US"/>
              </w:rPr>
              <w:t>5</w:t>
            </w:r>
          </w:p>
          <w:p w14:paraId="5BE8EB98" w14:textId="77777777" w:rsidR="00EE70EB" w:rsidRPr="00EE70EB" w:rsidRDefault="00EE70EB" w:rsidP="00EE70E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 xml:space="preserve"> (bp)</w:t>
            </w:r>
          </w:p>
        </w:tc>
        <w:tc>
          <w:tcPr>
            <w:tcW w:w="1453" w:type="dxa"/>
            <w:tcBorders>
              <w:top w:val="single" w:sz="12" w:space="0" w:color="auto"/>
              <w:bottom w:val="single" w:sz="12" w:space="0" w:color="auto"/>
            </w:tcBorders>
            <w:shd w:val="clear" w:color="auto" w:fill="auto"/>
            <w:hideMark/>
          </w:tcPr>
          <w:p w14:paraId="11A307EE" w14:textId="4EB30CFF"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GenBank</w:t>
            </w:r>
            <w:r w:rsidR="007A411C">
              <w:rPr>
                <w:rFonts w:ascii="Times New Roman" w:eastAsia="Times New Roman" w:hAnsi="Times New Roman"/>
                <w:b/>
                <w:bCs/>
                <w:sz w:val="22"/>
                <w:vertAlign w:val="superscript"/>
                <w:lang w:val="en-US"/>
              </w:rPr>
              <w:t>6</w:t>
            </w:r>
            <w:r w:rsidRPr="00EE70EB">
              <w:rPr>
                <w:rFonts w:ascii="Times New Roman" w:eastAsia="Times New Roman" w:hAnsi="Times New Roman"/>
                <w:b/>
                <w:bCs/>
                <w:sz w:val="22"/>
                <w:lang w:val="en-US"/>
              </w:rPr>
              <w:t xml:space="preserve"> </w:t>
            </w:r>
          </w:p>
          <w:p w14:paraId="3673E38B" w14:textId="77777777" w:rsidR="00EE70EB" w:rsidRPr="00EE70EB" w:rsidRDefault="00EE70EB" w:rsidP="00EE70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Accession</w:t>
            </w:r>
            <w:r w:rsidRPr="00EE70EB">
              <w:rPr>
                <w:rFonts w:ascii="Times New Roman" w:eastAsia="Times New Roman" w:hAnsi="Times New Roman"/>
                <w:b/>
                <w:bCs/>
                <w:sz w:val="22"/>
                <w:vertAlign w:val="superscript"/>
                <w:lang w:val="en-US"/>
              </w:rPr>
              <w:t>#</w:t>
            </w:r>
          </w:p>
        </w:tc>
        <w:tc>
          <w:tcPr>
            <w:tcW w:w="1158" w:type="dxa"/>
            <w:tcBorders>
              <w:top w:val="single" w:sz="12" w:space="0" w:color="auto"/>
              <w:bottom w:val="single" w:sz="12" w:space="0" w:color="auto"/>
            </w:tcBorders>
            <w:shd w:val="clear" w:color="auto" w:fill="auto"/>
            <w:hideMark/>
          </w:tcPr>
          <w:p w14:paraId="44C5B9B0" w14:textId="71BA18ED" w:rsidR="00EE70EB" w:rsidRPr="00EE70EB" w:rsidRDefault="00EE70EB" w:rsidP="00EE70E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Eff</w:t>
            </w:r>
            <w:r w:rsidR="007A411C">
              <w:rPr>
                <w:rFonts w:ascii="Times New Roman" w:eastAsia="Times New Roman" w:hAnsi="Times New Roman"/>
                <w:b/>
                <w:bCs/>
                <w:sz w:val="22"/>
                <w:vertAlign w:val="superscript"/>
                <w:lang w:val="en-US"/>
              </w:rPr>
              <w:t xml:space="preserve"> 7</w:t>
            </w:r>
          </w:p>
          <w:p w14:paraId="70717811" w14:textId="77777777" w:rsidR="00EE70EB" w:rsidRPr="00EE70EB" w:rsidRDefault="00EE70EB" w:rsidP="00EE70E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lang w:val="en-US"/>
              </w:rPr>
            </w:pPr>
            <w:r w:rsidRPr="00EE70EB">
              <w:rPr>
                <w:rFonts w:ascii="Times New Roman" w:eastAsia="Times New Roman" w:hAnsi="Times New Roman"/>
                <w:b/>
                <w:bCs/>
                <w:sz w:val="22"/>
                <w:lang w:val="en-US"/>
              </w:rPr>
              <w:t>(%)</w:t>
            </w:r>
          </w:p>
        </w:tc>
      </w:tr>
      <w:tr w:rsidR="00EE70EB" w:rsidRPr="00EE70EB" w14:paraId="5C1187D0"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tcBorders>
              <w:top w:val="single" w:sz="12" w:space="0" w:color="auto"/>
            </w:tcBorders>
            <w:shd w:val="clear" w:color="auto" w:fill="auto"/>
            <w:noWrap/>
            <w:vAlign w:val="center"/>
            <w:hideMark/>
          </w:tcPr>
          <w:p w14:paraId="5141BCB6"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apod</w:t>
            </w:r>
          </w:p>
        </w:tc>
        <w:tc>
          <w:tcPr>
            <w:tcW w:w="4264" w:type="dxa"/>
            <w:tcBorders>
              <w:top w:val="single" w:sz="12" w:space="0" w:color="auto"/>
            </w:tcBorders>
            <w:shd w:val="clear" w:color="auto" w:fill="auto"/>
            <w:noWrap/>
            <w:vAlign w:val="center"/>
            <w:hideMark/>
          </w:tcPr>
          <w:p w14:paraId="61F1765F" w14:textId="7217C8F0"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Apolipoprotein D</w:t>
            </w:r>
            <w:r w:rsidR="00CD6A32" w:rsidRPr="004036BF">
              <w:rPr>
                <w:rFonts w:ascii="Times New Roman" w:eastAsia="Times New Roman" w:hAnsi="Times New Roman" w:cs="Times New Roman"/>
                <w:sz w:val="16"/>
                <w:szCs w:val="16"/>
                <w:lang w:val="en-US"/>
              </w:rPr>
              <w:t>-</w:t>
            </w:r>
            <w:r w:rsidRPr="004036BF">
              <w:rPr>
                <w:rFonts w:ascii="Times New Roman" w:eastAsia="Times New Roman" w:hAnsi="Times New Roman" w:cs="Times New Roman"/>
                <w:sz w:val="16"/>
                <w:szCs w:val="16"/>
                <w:lang w:val="en-US"/>
              </w:rPr>
              <w:t>like</w:t>
            </w:r>
          </w:p>
        </w:tc>
        <w:tc>
          <w:tcPr>
            <w:tcW w:w="2593" w:type="dxa"/>
            <w:tcBorders>
              <w:top w:val="single" w:sz="12" w:space="0" w:color="auto"/>
            </w:tcBorders>
            <w:shd w:val="clear" w:color="auto" w:fill="auto"/>
            <w:noWrap/>
            <w:vAlign w:val="bottom"/>
            <w:hideMark/>
          </w:tcPr>
          <w:p w14:paraId="0756F5B4"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GGAGAAACTGGAGGAGCTGTAC</w:t>
            </w:r>
          </w:p>
        </w:tc>
        <w:tc>
          <w:tcPr>
            <w:tcW w:w="2717" w:type="dxa"/>
            <w:tcBorders>
              <w:top w:val="single" w:sz="12" w:space="0" w:color="auto"/>
            </w:tcBorders>
            <w:shd w:val="clear" w:color="auto" w:fill="auto"/>
            <w:noWrap/>
            <w:vAlign w:val="bottom"/>
            <w:hideMark/>
          </w:tcPr>
          <w:p w14:paraId="2E1CB00A"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ACTGAATCATGTCCCTTAGGCC</w:t>
            </w:r>
          </w:p>
        </w:tc>
        <w:tc>
          <w:tcPr>
            <w:tcW w:w="726" w:type="dxa"/>
            <w:tcBorders>
              <w:top w:val="single" w:sz="12" w:space="0" w:color="auto"/>
            </w:tcBorders>
            <w:shd w:val="clear" w:color="auto" w:fill="auto"/>
            <w:noWrap/>
            <w:vAlign w:val="bottom"/>
            <w:hideMark/>
          </w:tcPr>
          <w:p w14:paraId="1D9A4B92"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130</w:t>
            </w:r>
          </w:p>
        </w:tc>
        <w:tc>
          <w:tcPr>
            <w:tcW w:w="1453" w:type="dxa"/>
            <w:tcBorders>
              <w:top w:val="single" w:sz="12" w:space="0" w:color="auto"/>
            </w:tcBorders>
            <w:shd w:val="clear" w:color="auto" w:fill="auto"/>
            <w:noWrap/>
            <w:vAlign w:val="bottom"/>
            <w:hideMark/>
          </w:tcPr>
          <w:p w14:paraId="4351F502"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XM_014189629.1</w:t>
            </w:r>
          </w:p>
        </w:tc>
        <w:tc>
          <w:tcPr>
            <w:tcW w:w="1158" w:type="dxa"/>
            <w:tcBorders>
              <w:top w:val="single" w:sz="12" w:space="0" w:color="auto"/>
            </w:tcBorders>
            <w:shd w:val="clear" w:color="auto" w:fill="auto"/>
            <w:noWrap/>
            <w:vAlign w:val="bottom"/>
            <w:hideMark/>
          </w:tcPr>
          <w:p w14:paraId="0AAAF8A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97.5</w:t>
            </w:r>
          </w:p>
        </w:tc>
      </w:tr>
      <w:tr w:rsidR="00EE70EB" w:rsidRPr="00EE70EB" w14:paraId="24369123"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27942768"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c1ql2</w:t>
            </w:r>
          </w:p>
        </w:tc>
        <w:tc>
          <w:tcPr>
            <w:tcW w:w="4264" w:type="dxa"/>
            <w:shd w:val="clear" w:color="auto" w:fill="auto"/>
            <w:noWrap/>
            <w:vAlign w:val="center"/>
            <w:hideMark/>
          </w:tcPr>
          <w:p w14:paraId="79B88962"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Complement C1q-like protein</w:t>
            </w:r>
          </w:p>
        </w:tc>
        <w:tc>
          <w:tcPr>
            <w:tcW w:w="2593" w:type="dxa"/>
            <w:shd w:val="clear" w:color="auto" w:fill="auto"/>
            <w:noWrap/>
            <w:vAlign w:val="bottom"/>
            <w:hideMark/>
          </w:tcPr>
          <w:p w14:paraId="377B752E"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AACCTGAGCACCTTCAATGGAA</w:t>
            </w:r>
          </w:p>
        </w:tc>
        <w:tc>
          <w:tcPr>
            <w:tcW w:w="2717" w:type="dxa"/>
            <w:shd w:val="clear" w:color="auto" w:fill="auto"/>
            <w:noWrap/>
            <w:vAlign w:val="bottom"/>
            <w:hideMark/>
          </w:tcPr>
          <w:p w14:paraId="164B33D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GCGTTGCCATAATTCCCATCAA</w:t>
            </w:r>
          </w:p>
        </w:tc>
        <w:tc>
          <w:tcPr>
            <w:tcW w:w="726" w:type="dxa"/>
            <w:shd w:val="clear" w:color="auto" w:fill="auto"/>
            <w:noWrap/>
            <w:vAlign w:val="bottom"/>
            <w:hideMark/>
          </w:tcPr>
          <w:p w14:paraId="5E116A1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137</w:t>
            </w:r>
          </w:p>
        </w:tc>
        <w:tc>
          <w:tcPr>
            <w:tcW w:w="1453" w:type="dxa"/>
            <w:shd w:val="clear" w:color="auto" w:fill="auto"/>
            <w:noWrap/>
            <w:vAlign w:val="bottom"/>
            <w:hideMark/>
          </w:tcPr>
          <w:p w14:paraId="5D1F04A3"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XM_014172088.1</w:t>
            </w:r>
          </w:p>
        </w:tc>
        <w:tc>
          <w:tcPr>
            <w:tcW w:w="1158" w:type="dxa"/>
            <w:shd w:val="clear" w:color="auto" w:fill="auto"/>
            <w:noWrap/>
            <w:vAlign w:val="bottom"/>
            <w:hideMark/>
          </w:tcPr>
          <w:p w14:paraId="0071AE4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91.0</w:t>
            </w:r>
          </w:p>
        </w:tc>
      </w:tr>
      <w:tr w:rsidR="00EE70EB" w:rsidRPr="00EE70EB" w14:paraId="680B5B3A"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5C6AB4EB"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c3</w:t>
            </w:r>
          </w:p>
        </w:tc>
        <w:tc>
          <w:tcPr>
            <w:tcW w:w="4264" w:type="dxa"/>
            <w:shd w:val="clear" w:color="auto" w:fill="auto"/>
            <w:noWrap/>
            <w:vAlign w:val="center"/>
            <w:hideMark/>
          </w:tcPr>
          <w:p w14:paraId="04AB9279"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Complement C3-like</w:t>
            </w:r>
          </w:p>
        </w:tc>
        <w:tc>
          <w:tcPr>
            <w:tcW w:w="2593" w:type="dxa"/>
            <w:shd w:val="clear" w:color="auto" w:fill="auto"/>
            <w:noWrap/>
            <w:vAlign w:val="bottom"/>
            <w:hideMark/>
          </w:tcPr>
          <w:p w14:paraId="451EE7C0"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TTATTGAAGGAGTGGGCAAAGC</w:t>
            </w:r>
          </w:p>
        </w:tc>
        <w:tc>
          <w:tcPr>
            <w:tcW w:w="2717" w:type="dxa"/>
            <w:shd w:val="clear" w:color="auto" w:fill="auto"/>
            <w:noWrap/>
            <w:vAlign w:val="bottom"/>
            <w:hideMark/>
          </w:tcPr>
          <w:p w14:paraId="4DAD88A4"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TCTGCTTTCACCATCTCACTCC</w:t>
            </w:r>
          </w:p>
        </w:tc>
        <w:tc>
          <w:tcPr>
            <w:tcW w:w="726" w:type="dxa"/>
            <w:shd w:val="clear" w:color="auto" w:fill="auto"/>
            <w:noWrap/>
            <w:vAlign w:val="bottom"/>
            <w:hideMark/>
          </w:tcPr>
          <w:p w14:paraId="155FD7E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142</w:t>
            </w:r>
          </w:p>
        </w:tc>
        <w:tc>
          <w:tcPr>
            <w:tcW w:w="1453" w:type="dxa"/>
            <w:shd w:val="clear" w:color="auto" w:fill="auto"/>
            <w:noWrap/>
            <w:vAlign w:val="bottom"/>
            <w:hideMark/>
          </w:tcPr>
          <w:p w14:paraId="18EA1747"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XM_014131265.1</w:t>
            </w:r>
          </w:p>
        </w:tc>
        <w:tc>
          <w:tcPr>
            <w:tcW w:w="1158" w:type="dxa"/>
            <w:shd w:val="clear" w:color="auto" w:fill="auto"/>
            <w:noWrap/>
            <w:vAlign w:val="bottom"/>
            <w:hideMark/>
          </w:tcPr>
          <w:p w14:paraId="77CF5561"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91.5</w:t>
            </w:r>
          </w:p>
        </w:tc>
      </w:tr>
      <w:tr w:rsidR="00EE70EB" w:rsidRPr="00EE70EB" w14:paraId="64344157"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16B7BCFB"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calm (cam)</w:t>
            </w:r>
          </w:p>
        </w:tc>
        <w:tc>
          <w:tcPr>
            <w:tcW w:w="4264" w:type="dxa"/>
            <w:shd w:val="clear" w:color="auto" w:fill="auto"/>
            <w:noWrap/>
            <w:vAlign w:val="center"/>
            <w:hideMark/>
          </w:tcPr>
          <w:p w14:paraId="21D994CB"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Calmodulin</w:t>
            </w:r>
          </w:p>
        </w:tc>
        <w:tc>
          <w:tcPr>
            <w:tcW w:w="2593" w:type="dxa"/>
            <w:shd w:val="clear" w:color="auto" w:fill="auto"/>
            <w:noWrap/>
            <w:vAlign w:val="bottom"/>
            <w:hideMark/>
          </w:tcPr>
          <w:p w14:paraId="332DFEA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GAGATGATCAGAGAAGCCGACA</w:t>
            </w:r>
          </w:p>
        </w:tc>
        <w:tc>
          <w:tcPr>
            <w:tcW w:w="2717" w:type="dxa"/>
            <w:shd w:val="clear" w:color="auto" w:fill="auto"/>
            <w:noWrap/>
            <w:vAlign w:val="bottom"/>
            <w:hideMark/>
          </w:tcPr>
          <w:p w14:paraId="068EE40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GCCAGGAGAAGGGTAGGAGA</w:t>
            </w:r>
          </w:p>
        </w:tc>
        <w:tc>
          <w:tcPr>
            <w:tcW w:w="726" w:type="dxa"/>
            <w:shd w:val="clear" w:color="auto" w:fill="auto"/>
            <w:noWrap/>
            <w:vAlign w:val="bottom"/>
            <w:hideMark/>
          </w:tcPr>
          <w:p w14:paraId="32CF6D9D"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104</w:t>
            </w:r>
          </w:p>
        </w:tc>
        <w:tc>
          <w:tcPr>
            <w:tcW w:w="1453" w:type="dxa"/>
            <w:shd w:val="clear" w:color="auto" w:fill="auto"/>
            <w:noWrap/>
            <w:vAlign w:val="bottom"/>
            <w:hideMark/>
          </w:tcPr>
          <w:p w14:paraId="5AACDDE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BT058660.1</w:t>
            </w:r>
          </w:p>
        </w:tc>
        <w:tc>
          <w:tcPr>
            <w:tcW w:w="1158" w:type="dxa"/>
            <w:shd w:val="clear" w:color="auto" w:fill="auto"/>
            <w:noWrap/>
            <w:vAlign w:val="bottom"/>
            <w:hideMark/>
          </w:tcPr>
          <w:p w14:paraId="5DA6D488"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92.5</w:t>
            </w:r>
          </w:p>
        </w:tc>
      </w:tr>
      <w:tr w:rsidR="00EE70EB" w:rsidRPr="00EE70EB" w14:paraId="3B2DFBC0"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3BBA1F0" w14:textId="6A5900FB"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camp-a</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10404D48"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Cathelicidin - paralog a</w:t>
            </w:r>
          </w:p>
        </w:tc>
        <w:tc>
          <w:tcPr>
            <w:tcW w:w="2593" w:type="dxa"/>
            <w:shd w:val="clear" w:color="auto" w:fill="auto"/>
            <w:noWrap/>
            <w:vAlign w:val="bottom"/>
            <w:hideMark/>
          </w:tcPr>
          <w:p w14:paraId="0DE17583"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AAGCCAGAAAATGCTCCAGA</w:t>
            </w:r>
          </w:p>
        </w:tc>
        <w:tc>
          <w:tcPr>
            <w:tcW w:w="2717" w:type="dxa"/>
            <w:shd w:val="clear" w:color="auto" w:fill="auto"/>
            <w:noWrap/>
            <w:vAlign w:val="bottom"/>
            <w:hideMark/>
          </w:tcPr>
          <w:p w14:paraId="1D65D877"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ACCCTCAGGACGACCAATTA</w:t>
            </w:r>
          </w:p>
        </w:tc>
        <w:tc>
          <w:tcPr>
            <w:tcW w:w="726" w:type="dxa"/>
            <w:shd w:val="clear" w:color="auto" w:fill="auto"/>
            <w:noWrap/>
            <w:vAlign w:val="bottom"/>
            <w:hideMark/>
          </w:tcPr>
          <w:p w14:paraId="672E17B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107</w:t>
            </w:r>
          </w:p>
        </w:tc>
        <w:tc>
          <w:tcPr>
            <w:tcW w:w="1453" w:type="dxa"/>
            <w:shd w:val="clear" w:color="auto" w:fill="auto"/>
            <w:noWrap/>
            <w:vAlign w:val="bottom"/>
            <w:hideMark/>
          </w:tcPr>
          <w:p w14:paraId="6E5069B8"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GQ870278.1</w:t>
            </w:r>
          </w:p>
        </w:tc>
        <w:tc>
          <w:tcPr>
            <w:tcW w:w="1158" w:type="dxa"/>
            <w:shd w:val="clear" w:color="auto" w:fill="auto"/>
            <w:noWrap/>
            <w:vAlign w:val="bottom"/>
            <w:hideMark/>
          </w:tcPr>
          <w:p w14:paraId="5053D562"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84.0</w:t>
            </w:r>
          </w:p>
        </w:tc>
      </w:tr>
      <w:tr w:rsidR="00EE70EB" w:rsidRPr="00EE70EB" w14:paraId="42AD67D2"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6E1FC4D9"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casp8</w:t>
            </w:r>
          </w:p>
        </w:tc>
        <w:tc>
          <w:tcPr>
            <w:tcW w:w="4264" w:type="dxa"/>
            <w:shd w:val="clear" w:color="auto" w:fill="auto"/>
            <w:noWrap/>
            <w:vAlign w:val="center"/>
            <w:hideMark/>
          </w:tcPr>
          <w:p w14:paraId="53CF9957"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Caspase 8</w:t>
            </w:r>
          </w:p>
        </w:tc>
        <w:tc>
          <w:tcPr>
            <w:tcW w:w="2593" w:type="dxa"/>
            <w:shd w:val="clear" w:color="auto" w:fill="auto"/>
            <w:noWrap/>
            <w:vAlign w:val="bottom"/>
            <w:hideMark/>
          </w:tcPr>
          <w:p w14:paraId="5E3A76A5"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TCCTGTCTATATAAGTGGGCGTTC</w:t>
            </w:r>
          </w:p>
        </w:tc>
        <w:tc>
          <w:tcPr>
            <w:tcW w:w="2717" w:type="dxa"/>
            <w:shd w:val="clear" w:color="auto" w:fill="auto"/>
            <w:noWrap/>
            <w:vAlign w:val="bottom"/>
            <w:hideMark/>
          </w:tcPr>
          <w:p w14:paraId="03E68232"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CTTTCCCGAGTGAGCTAACAGT</w:t>
            </w:r>
          </w:p>
        </w:tc>
        <w:tc>
          <w:tcPr>
            <w:tcW w:w="726" w:type="dxa"/>
            <w:shd w:val="clear" w:color="auto" w:fill="auto"/>
            <w:noWrap/>
            <w:vAlign w:val="bottom"/>
            <w:hideMark/>
          </w:tcPr>
          <w:p w14:paraId="3D1D5B02"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80</w:t>
            </w:r>
          </w:p>
        </w:tc>
        <w:tc>
          <w:tcPr>
            <w:tcW w:w="1453" w:type="dxa"/>
            <w:shd w:val="clear" w:color="auto" w:fill="auto"/>
            <w:noWrap/>
            <w:vAlign w:val="bottom"/>
            <w:hideMark/>
          </w:tcPr>
          <w:p w14:paraId="2A3920F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BT072408.1</w:t>
            </w:r>
          </w:p>
        </w:tc>
        <w:tc>
          <w:tcPr>
            <w:tcW w:w="1158" w:type="dxa"/>
            <w:shd w:val="clear" w:color="auto" w:fill="auto"/>
            <w:noWrap/>
            <w:vAlign w:val="bottom"/>
            <w:hideMark/>
          </w:tcPr>
          <w:p w14:paraId="0FD6E8CB"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89.5</w:t>
            </w:r>
          </w:p>
        </w:tc>
      </w:tr>
      <w:tr w:rsidR="00EE70EB" w:rsidRPr="00EE70EB" w14:paraId="62C8AE8D"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1174C659" w14:textId="331862DF"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cat</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47E9FCC1"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 xml:space="preserve">Catalase </w:t>
            </w:r>
          </w:p>
        </w:tc>
        <w:tc>
          <w:tcPr>
            <w:tcW w:w="2593" w:type="dxa"/>
            <w:shd w:val="clear" w:color="auto" w:fill="auto"/>
            <w:noWrap/>
            <w:vAlign w:val="bottom"/>
            <w:hideMark/>
          </w:tcPr>
          <w:p w14:paraId="76924955"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CGACGATAACGTCACACAGG</w:t>
            </w:r>
          </w:p>
        </w:tc>
        <w:tc>
          <w:tcPr>
            <w:tcW w:w="2717" w:type="dxa"/>
            <w:shd w:val="clear" w:color="auto" w:fill="auto"/>
            <w:noWrap/>
            <w:vAlign w:val="bottom"/>
            <w:hideMark/>
          </w:tcPr>
          <w:p w14:paraId="65143E2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GCCTGGACCCCGTTTCCATA</w:t>
            </w:r>
          </w:p>
        </w:tc>
        <w:tc>
          <w:tcPr>
            <w:tcW w:w="726" w:type="dxa"/>
            <w:shd w:val="clear" w:color="auto" w:fill="auto"/>
            <w:noWrap/>
            <w:vAlign w:val="center"/>
            <w:hideMark/>
          </w:tcPr>
          <w:p w14:paraId="54A2781A"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177</w:t>
            </w:r>
          </w:p>
        </w:tc>
        <w:tc>
          <w:tcPr>
            <w:tcW w:w="1453" w:type="dxa"/>
            <w:shd w:val="clear" w:color="auto" w:fill="auto"/>
            <w:noWrap/>
            <w:vAlign w:val="bottom"/>
            <w:hideMark/>
          </w:tcPr>
          <w:p w14:paraId="77E64DEA"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NM_001140302.1</w:t>
            </w:r>
          </w:p>
        </w:tc>
        <w:tc>
          <w:tcPr>
            <w:tcW w:w="1158" w:type="dxa"/>
            <w:shd w:val="clear" w:color="auto" w:fill="auto"/>
            <w:noWrap/>
            <w:vAlign w:val="bottom"/>
            <w:hideMark/>
          </w:tcPr>
          <w:p w14:paraId="3C3545EF"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86.0</w:t>
            </w:r>
          </w:p>
        </w:tc>
      </w:tr>
      <w:tr w:rsidR="00EE70EB" w:rsidRPr="00EE70EB" w14:paraId="1CA8F345"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7DD3110"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cirbp</w:t>
            </w:r>
          </w:p>
        </w:tc>
        <w:tc>
          <w:tcPr>
            <w:tcW w:w="4264" w:type="dxa"/>
            <w:shd w:val="clear" w:color="auto" w:fill="auto"/>
            <w:noWrap/>
            <w:vAlign w:val="center"/>
            <w:hideMark/>
          </w:tcPr>
          <w:p w14:paraId="0BB0047D"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Cold-inducible RNA-binding protein</w:t>
            </w:r>
          </w:p>
        </w:tc>
        <w:tc>
          <w:tcPr>
            <w:tcW w:w="2593" w:type="dxa"/>
            <w:shd w:val="clear" w:color="auto" w:fill="auto"/>
            <w:noWrap/>
            <w:vAlign w:val="bottom"/>
            <w:hideMark/>
          </w:tcPr>
          <w:p w14:paraId="7AA8E26F"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TTGAGTACACAGCGGTGAATT</w:t>
            </w:r>
          </w:p>
        </w:tc>
        <w:tc>
          <w:tcPr>
            <w:tcW w:w="2717" w:type="dxa"/>
            <w:shd w:val="clear" w:color="auto" w:fill="auto"/>
            <w:noWrap/>
            <w:vAlign w:val="bottom"/>
            <w:hideMark/>
          </w:tcPr>
          <w:p w14:paraId="3C03B0EA"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ACCAATCTGATGCTATGACGAGA</w:t>
            </w:r>
          </w:p>
        </w:tc>
        <w:tc>
          <w:tcPr>
            <w:tcW w:w="726" w:type="dxa"/>
            <w:shd w:val="clear" w:color="auto" w:fill="auto"/>
            <w:noWrap/>
            <w:vAlign w:val="bottom"/>
            <w:hideMark/>
          </w:tcPr>
          <w:p w14:paraId="74A6CCC2"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132</w:t>
            </w:r>
          </w:p>
        </w:tc>
        <w:tc>
          <w:tcPr>
            <w:tcW w:w="1453" w:type="dxa"/>
            <w:shd w:val="clear" w:color="auto" w:fill="auto"/>
            <w:noWrap/>
            <w:vAlign w:val="bottom"/>
            <w:hideMark/>
          </w:tcPr>
          <w:p w14:paraId="3E0A20D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BT059171.1</w:t>
            </w:r>
          </w:p>
        </w:tc>
        <w:tc>
          <w:tcPr>
            <w:tcW w:w="1158" w:type="dxa"/>
            <w:shd w:val="clear" w:color="auto" w:fill="auto"/>
            <w:noWrap/>
            <w:vAlign w:val="bottom"/>
            <w:hideMark/>
          </w:tcPr>
          <w:p w14:paraId="193EE376"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98.8</w:t>
            </w:r>
          </w:p>
        </w:tc>
      </w:tr>
      <w:tr w:rsidR="00EE70EB" w:rsidRPr="00EE70EB" w14:paraId="13E80D93"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bottom"/>
            <w:hideMark/>
          </w:tcPr>
          <w:p w14:paraId="188969E6"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cldn3</w:t>
            </w:r>
          </w:p>
        </w:tc>
        <w:tc>
          <w:tcPr>
            <w:tcW w:w="4264" w:type="dxa"/>
            <w:shd w:val="clear" w:color="auto" w:fill="auto"/>
            <w:noWrap/>
            <w:vAlign w:val="bottom"/>
            <w:hideMark/>
          </w:tcPr>
          <w:p w14:paraId="6AB04922"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Claudin 3</w:t>
            </w:r>
          </w:p>
        </w:tc>
        <w:tc>
          <w:tcPr>
            <w:tcW w:w="2593" w:type="dxa"/>
            <w:shd w:val="clear" w:color="auto" w:fill="auto"/>
            <w:noWrap/>
            <w:vAlign w:val="bottom"/>
            <w:hideMark/>
          </w:tcPr>
          <w:p w14:paraId="07F2A07B"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GCTCACGTTTTTCCCACAGT</w:t>
            </w:r>
          </w:p>
        </w:tc>
        <w:tc>
          <w:tcPr>
            <w:tcW w:w="2717" w:type="dxa"/>
            <w:shd w:val="clear" w:color="auto" w:fill="auto"/>
            <w:noWrap/>
            <w:vAlign w:val="bottom"/>
            <w:hideMark/>
          </w:tcPr>
          <w:p w14:paraId="02033D38"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CAGTTTGGTGTTGTTCCTCTTCA</w:t>
            </w:r>
          </w:p>
        </w:tc>
        <w:tc>
          <w:tcPr>
            <w:tcW w:w="726" w:type="dxa"/>
            <w:shd w:val="clear" w:color="auto" w:fill="auto"/>
            <w:noWrap/>
            <w:vAlign w:val="bottom"/>
            <w:hideMark/>
          </w:tcPr>
          <w:p w14:paraId="5150391A"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189</w:t>
            </w:r>
          </w:p>
        </w:tc>
        <w:tc>
          <w:tcPr>
            <w:tcW w:w="1453" w:type="dxa"/>
            <w:shd w:val="clear" w:color="auto" w:fill="auto"/>
            <w:noWrap/>
            <w:vAlign w:val="bottom"/>
            <w:hideMark/>
          </w:tcPr>
          <w:p w14:paraId="0DAB774A"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XM_014214348.1</w:t>
            </w:r>
          </w:p>
        </w:tc>
        <w:tc>
          <w:tcPr>
            <w:tcW w:w="1158" w:type="dxa"/>
            <w:shd w:val="clear" w:color="auto" w:fill="auto"/>
            <w:noWrap/>
            <w:vAlign w:val="bottom"/>
            <w:hideMark/>
          </w:tcPr>
          <w:p w14:paraId="1436C31E"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89.5</w:t>
            </w:r>
          </w:p>
        </w:tc>
      </w:tr>
      <w:tr w:rsidR="00EE70EB" w:rsidRPr="00EE70EB" w14:paraId="59D45A6A"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bottom"/>
            <w:hideMark/>
          </w:tcPr>
          <w:p w14:paraId="485D724E"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ctsh</w:t>
            </w:r>
          </w:p>
        </w:tc>
        <w:tc>
          <w:tcPr>
            <w:tcW w:w="4264" w:type="dxa"/>
            <w:shd w:val="clear" w:color="auto" w:fill="auto"/>
            <w:noWrap/>
            <w:vAlign w:val="center"/>
            <w:hideMark/>
          </w:tcPr>
          <w:p w14:paraId="43F6F320"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Cathepsin H precursor</w:t>
            </w:r>
          </w:p>
        </w:tc>
        <w:tc>
          <w:tcPr>
            <w:tcW w:w="2593" w:type="dxa"/>
            <w:shd w:val="clear" w:color="auto" w:fill="auto"/>
            <w:noWrap/>
            <w:vAlign w:val="bottom"/>
            <w:hideMark/>
          </w:tcPr>
          <w:p w14:paraId="73D9F5D4"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AAATGGGTATGGTGGATGCAGT</w:t>
            </w:r>
          </w:p>
        </w:tc>
        <w:tc>
          <w:tcPr>
            <w:tcW w:w="2717" w:type="dxa"/>
            <w:shd w:val="clear" w:color="auto" w:fill="auto"/>
            <w:noWrap/>
            <w:vAlign w:val="bottom"/>
            <w:hideMark/>
          </w:tcPr>
          <w:p w14:paraId="0BB8B2B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ACTGTGTCTGTGGTGTTGTGAC</w:t>
            </w:r>
          </w:p>
        </w:tc>
        <w:tc>
          <w:tcPr>
            <w:tcW w:w="726" w:type="dxa"/>
            <w:shd w:val="clear" w:color="auto" w:fill="auto"/>
            <w:noWrap/>
            <w:vAlign w:val="bottom"/>
            <w:hideMark/>
          </w:tcPr>
          <w:p w14:paraId="47ADC5B7"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130</w:t>
            </w:r>
          </w:p>
        </w:tc>
        <w:tc>
          <w:tcPr>
            <w:tcW w:w="1453" w:type="dxa"/>
            <w:shd w:val="clear" w:color="auto" w:fill="auto"/>
            <w:noWrap/>
            <w:vAlign w:val="bottom"/>
            <w:hideMark/>
          </w:tcPr>
          <w:p w14:paraId="7086DB23"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BT047094.1</w:t>
            </w:r>
          </w:p>
        </w:tc>
        <w:tc>
          <w:tcPr>
            <w:tcW w:w="1158" w:type="dxa"/>
            <w:shd w:val="clear" w:color="auto" w:fill="auto"/>
            <w:noWrap/>
            <w:vAlign w:val="bottom"/>
            <w:hideMark/>
          </w:tcPr>
          <w:p w14:paraId="74E03EC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84.0</w:t>
            </w:r>
          </w:p>
        </w:tc>
      </w:tr>
      <w:tr w:rsidR="00EE70EB" w:rsidRPr="00EE70EB" w14:paraId="56F3AF96"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29D73E4"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cul3</w:t>
            </w:r>
          </w:p>
        </w:tc>
        <w:tc>
          <w:tcPr>
            <w:tcW w:w="4264" w:type="dxa"/>
            <w:shd w:val="clear" w:color="auto" w:fill="auto"/>
            <w:noWrap/>
            <w:vAlign w:val="center"/>
            <w:hideMark/>
          </w:tcPr>
          <w:p w14:paraId="2D73D46F"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Cullin 3</w:t>
            </w:r>
          </w:p>
        </w:tc>
        <w:tc>
          <w:tcPr>
            <w:tcW w:w="2593" w:type="dxa"/>
            <w:shd w:val="clear" w:color="auto" w:fill="auto"/>
            <w:noWrap/>
            <w:vAlign w:val="bottom"/>
            <w:hideMark/>
          </w:tcPr>
          <w:p w14:paraId="4FA981A9"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TCAGGCCCACTACTCTTCTTACT</w:t>
            </w:r>
          </w:p>
        </w:tc>
        <w:tc>
          <w:tcPr>
            <w:tcW w:w="2717" w:type="dxa"/>
            <w:shd w:val="clear" w:color="auto" w:fill="auto"/>
            <w:noWrap/>
            <w:vAlign w:val="bottom"/>
            <w:hideMark/>
          </w:tcPr>
          <w:p w14:paraId="34E01A58"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GCATTCACATCTTTCCCAAGGG</w:t>
            </w:r>
          </w:p>
        </w:tc>
        <w:tc>
          <w:tcPr>
            <w:tcW w:w="726" w:type="dxa"/>
            <w:shd w:val="clear" w:color="auto" w:fill="auto"/>
            <w:noWrap/>
            <w:vAlign w:val="bottom"/>
            <w:hideMark/>
          </w:tcPr>
          <w:p w14:paraId="145F75AB"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127</w:t>
            </w:r>
          </w:p>
        </w:tc>
        <w:tc>
          <w:tcPr>
            <w:tcW w:w="1453" w:type="dxa"/>
            <w:shd w:val="clear" w:color="auto" w:fill="auto"/>
            <w:noWrap/>
            <w:vAlign w:val="bottom"/>
            <w:hideMark/>
          </w:tcPr>
          <w:p w14:paraId="2D31D07A"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XM_014192069.1</w:t>
            </w:r>
          </w:p>
        </w:tc>
        <w:tc>
          <w:tcPr>
            <w:tcW w:w="1158" w:type="dxa"/>
            <w:shd w:val="clear" w:color="auto" w:fill="auto"/>
            <w:noWrap/>
            <w:vAlign w:val="bottom"/>
            <w:hideMark/>
          </w:tcPr>
          <w:p w14:paraId="05EFAE0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89.5</w:t>
            </w:r>
          </w:p>
        </w:tc>
      </w:tr>
      <w:tr w:rsidR="00EE70EB" w:rsidRPr="00EE70EB" w14:paraId="05349E4F"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5DA3E90E" w14:textId="1ADAE64A"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cyp1a</w:t>
            </w:r>
            <w:r w:rsidR="00DD1D06">
              <w:rPr>
                <w:rFonts w:ascii="Times New Roman" w:eastAsia="Times New Roman" w:hAnsi="Times New Roman"/>
                <w:b/>
                <w:sz w:val="16"/>
                <w:szCs w:val="16"/>
                <w:lang w:val="en-US"/>
              </w:rPr>
              <w:t>1</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74309693" w14:textId="74D05B6B"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Cytochrome P450 1A</w:t>
            </w:r>
            <w:r w:rsidR="00DD1D06">
              <w:rPr>
                <w:rFonts w:ascii="Times New Roman" w:eastAsia="Times New Roman" w:hAnsi="Times New Roman" w:cs="Times New Roman"/>
                <w:sz w:val="16"/>
                <w:szCs w:val="16"/>
                <w:lang w:val="en-US"/>
              </w:rPr>
              <w:t>1</w:t>
            </w:r>
          </w:p>
        </w:tc>
        <w:tc>
          <w:tcPr>
            <w:tcW w:w="2593" w:type="dxa"/>
            <w:shd w:val="clear" w:color="auto" w:fill="auto"/>
            <w:noWrap/>
            <w:vAlign w:val="bottom"/>
            <w:hideMark/>
          </w:tcPr>
          <w:p w14:paraId="070D731A"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AGGTGGGAATGACTCGTACTC</w:t>
            </w:r>
          </w:p>
        </w:tc>
        <w:tc>
          <w:tcPr>
            <w:tcW w:w="2717" w:type="dxa"/>
            <w:shd w:val="clear" w:color="auto" w:fill="auto"/>
            <w:noWrap/>
            <w:vAlign w:val="bottom"/>
            <w:hideMark/>
          </w:tcPr>
          <w:p w14:paraId="2A055CE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GATGTATCCTTGACTGTGCAGT</w:t>
            </w:r>
          </w:p>
        </w:tc>
        <w:tc>
          <w:tcPr>
            <w:tcW w:w="726" w:type="dxa"/>
            <w:shd w:val="clear" w:color="auto" w:fill="auto"/>
            <w:noWrap/>
            <w:vAlign w:val="bottom"/>
            <w:hideMark/>
          </w:tcPr>
          <w:p w14:paraId="2ACAB795"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136</w:t>
            </w:r>
          </w:p>
        </w:tc>
        <w:tc>
          <w:tcPr>
            <w:tcW w:w="1453" w:type="dxa"/>
            <w:shd w:val="clear" w:color="auto" w:fill="auto"/>
            <w:noWrap/>
            <w:vAlign w:val="bottom"/>
            <w:hideMark/>
          </w:tcPr>
          <w:p w14:paraId="3DF18D8B"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BT045666.1</w:t>
            </w:r>
          </w:p>
        </w:tc>
        <w:tc>
          <w:tcPr>
            <w:tcW w:w="1158" w:type="dxa"/>
            <w:shd w:val="clear" w:color="auto" w:fill="auto"/>
            <w:noWrap/>
            <w:vAlign w:val="bottom"/>
            <w:hideMark/>
          </w:tcPr>
          <w:p w14:paraId="22ADEB9D"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94.0</w:t>
            </w:r>
          </w:p>
        </w:tc>
      </w:tr>
      <w:tr w:rsidR="00EE70EB" w:rsidRPr="00EE70EB" w14:paraId="575FD079"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EA9FFFC"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dnmt1</w:t>
            </w:r>
          </w:p>
        </w:tc>
        <w:tc>
          <w:tcPr>
            <w:tcW w:w="4264" w:type="dxa"/>
            <w:shd w:val="clear" w:color="auto" w:fill="auto"/>
            <w:noWrap/>
            <w:vAlign w:val="center"/>
            <w:hideMark/>
          </w:tcPr>
          <w:p w14:paraId="6ACE44BB"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DNA (cytosine-5)-methyltransferase 1</w:t>
            </w:r>
          </w:p>
        </w:tc>
        <w:tc>
          <w:tcPr>
            <w:tcW w:w="2593" w:type="dxa"/>
            <w:shd w:val="clear" w:color="auto" w:fill="auto"/>
            <w:noWrap/>
            <w:vAlign w:val="bottom"/>
            <w:hideMark/>
          </w:tcPr>
          <w:p w14:paraId="062FA024"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TGTGTCTTAGAGCGGATCAAGG</w:t>
            </w:r>
          </w:p>
        </w:tc>
        <w:tc>
          <w:tcPr>
            <w:tcW w:w="2717" w:type="dxa"/>
            <w:shd w:val="clear" w:color="auto" w:fill="auto"/>
            <w:noWrap/>
            <w:vAlign w:val="bottom"/>
            <w:hideMark/>
          </w:tcPr>
          <w:p w14:paraId="6C1F2F43"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TAGTCCGACACCTCCATCTTCT</w:t>
            </w:r>
          </w:p>
        </w:tc>
        <w:tc>
          <w:tcPr>
            <w:tcW w:w="726" w:type="dxa"/>
            <w:shd w:val="clear" w:color="auto" w:fill="auto"/>
            <w:noWrap/>
            <w:vAlign w:val="bottom"/>
            <w:hideMark/>
          </w:tcPr>
          <w:p w14:paraId="0365014C"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83</w:t>
            </w:r>
          </w:p>
        </w:tc>
        <w:tc>
          <w:tcPr>
            <w:tcW w:w="1453" w:type="dxa"/>
            <w:shd w:val="clear" w:color="auto" w:fill="auto"/>
            <w:noWrap/>
            <w:vAlign w:val="bottom"/>
            <w:hideMark/>
          </w:tcPr>
          <w:p w14:paraId="54EF8013"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XM_014203933.1</w:t>
            </w:r>
          </w:p>
        </w:tc>
        <w:tc>
          <w:tcPr>
            <w:tcW w:w="1158" w:type="dxa"/>
            <w:shd w:val="clear" w:color="auto" w:fill="auto"/>
            <w:noWrap/>
            <w:vAlign w:val="bottom"/>
            <w:hideMark/>
          </w:tcPr>
          <w:p w14:paraId="44F71EA7"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93.5</w:t>
            </w:r>
          </w:p>
        </w:tc>
      </w:tr>
      <w:tr w:rsidR="00EE70EB" w:rsidRPr="00EE70EB" w14:paraId="696E4150"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11CDA0B4"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egln2</w:t>
            </w:r>
          </w:p>
        </w:tc>
        <w:tc>
          <w:tcPr>
            <w:tcW w:w="4264" w:type="dxa"/>
            <w:shd w:val="clear" w:color="auto" w:fill="auto"/>
            <w:noWrap/>
            <w:vAlign w:val="center"/>
            <w:hideMark/>
          </w:tcPr>
          <w:p w14:paraId="189ADEB4"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Egl nine homolog 2</w:t>
            </w:r>
          </w:p>
        </w:tc>
        <w:tc>
          <w:tcPr>
            <w:tcW w:w="2593" w:type="dxa"/>
            <w:shd w:val="clear" w:color="auto" w:fill="auto"/>
            <w:noWrap/>
            <w:vAlign w:val="bottom"/>
            <w:hideMark/>
          </w:tcPr>
          <w:p w14:paraId="085E538B"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TAGTTAAATGTGTGTGTGCGCA</w:t>
            </w:r>
          </w:p>
        </w:tc>
        <w:tc>
          <w:tcPr>
            <w:tcW w:w="2717" w:type="dxa"/>
            <w:shd w:val="clear" w:color="auto" w:fill="auto"/>
            <w:noWrap/>
            <w:vAlign w:val="bottom"/>
            <w:hideMark/>
          </w:tcPr>
          <w:p w14:paraId="25B7BF29"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TCTTACCCAGTCTATCTCACACAC</w:t>
            </w:r>
          </w:p>
        </w:tc>
        <w:tc>
          <w:tcPr>
            <w:tcW w:w="726" w:type="dxa"/>
            <w:shd w:val="clear" w:color="auto" w:fill="auto"/>
            <w:noWrap/>
            <w:vAlign w:val="bottom"/>
            <w:hideMark/>
          </w:tcPr>
          <w:p w14:paraId="152D3C33"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90</w:t>
            </w:r>
          </w:p>
        </w:tc>
        <w:tc>
          <w:tcPr>
            <w:tcW w:w="1453" w:type="dxa"/>
            <w:shd w:val="clear" w:color="auto" w:fill="auto"/>
            <w:noWrap/>
            <w:vAlign w:val="bottom"/>
            <w:hideMark/>
          </w:tcPr>
          <w:p w14:paraId="036B1BC4"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NM_001165346.1</w:t>
            </w:r>
          </w:p>
        </w:tc>
        <w:tc>
          <w:tcPr>
            <w:tcW w:w="1158" w:type="dxa"/>
            <w:shd w:val="clear" w:color="auto" w:fill="auto"/>
            <w:noWrap/>
            <w:vAlign w:val="bottom"/>
            <w:hideMark/>
          </w:tcPr>
          <w:p w14:paraId="1E060EB0"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89.5</w:t>
            </w:r>
          </w:p>
        </w:tc>
      </w:tr>
      <w:tr w:rsidR="00EE70EB" w:rsidRPr="00EE70EB" w14:paraId="31714917"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5CC8FED" w14:textId="28C0D40E"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epx</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53BA4639"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Eosinophil peroxidase-like</w:t>
            </w:r>
          </w:p>
        </w:tc>
        <w:tc>
          <w:tcPr>
            <w:tcW w:w="2593" w:type="dxa"/>
            <w:shd w:val="clear" w:color="auto" w:fill="auto"/>
            <w:noWrap/>
            <w:vAlign w:val="bottom"/>
            <w:hideMark/>
          </w:tcPr>
          <w:p w14:paraId="2C24CB5B"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CCGTGACCCCTTCAGAATC</w:t>
            </w:r>
          </w:p>
        </w:tc>
        <w:tc>
          <w:tcPr>
            <w:tcW w:w="2717" w:type="dxa"/>
            <w:shd w:val="clear" w:color="auto" w:fill="auto"/>
            <w:noWrap/>
            <w:vAlign w:val="bottom"/>
            <w:hideMark/>
          </w:tcPr>
          <w:p w14:paraId="1A9A22F3"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TCTGCTGTTTGGCCTCTGTA</w:t>
            </w:r>
          </w:p>
        </w:tc>
        <w:tc>
          <w:tcPr>
            <w:tcW w:w="726" w:type="dxa"/>
            <w:shd w:val="clear" w:color="auto" w:fill="auto"/>
            <w:noWrap/>
            <w:vAlign w:val="bottom"/>
            <w:hideMark/>
          </w:tcPr>
          <w:p w14:paraId="263B834B"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116</w:t>
            </w:r>
          </w:p>
        </w:tc>
        <w:tc>
          <w:tcPr>
            <w:tcW w:w="1453" w:type="dxa"/>
            <w:shd w:val="clear" w:color="auto" w:fill="auto"/>
            <w:noWrap/>
            <w:vAlign w:val="bottom"/>
            <w:hideMark/>
          </w:tcPr>
          <w:p w14:paraId="5428A4DE"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BT072012.1</w:t>
            </w:r>
          </w:p>
        </w:tc>
        <w:tc>
          <w:tcPr>
            <w:tcW w:w="1158" w:type="dxa"/>
            <w:shd w:val="clear" w:color="auto" w:fill="auto"/>
            <w:noWrap/>
            <w:vAlign w:val="bottom"/>
            <w:hideMark/>
          </w:tcPr>
          <w:p w14:paraId="46E09998"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108.0</w:t>
            </w:r>
          </w:p>
        </w:tc>
      </w:tr>
      <w:tr w:rsidR="00EE70EB" w:rsidRPr="00EE70EB" w14:paraId="537882C1"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620DCE45" w14:textId="06E2A451"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gck</w:t>
            </w:r>
            <w:r w:rsidR="007A411C" w:rsidRPr="004036BF">
              <w:rPr>
                <w:rFonts w:ascii="Times New Roman" w:hAnsi="Times New Roman"/>
                <w:b/>
                <w:sz w:val="16"/>
                <w:szCs w:val="16"/>
                <w:vertAlign w:val="superscript"/>
                <w:lang w:val="en-US"/>
              </w:rPr>
              <w:t>2</w:t>
            </w:r>
          </w:p>
        </w:tc>
        <w:tc>
          <w:tcPr>
            <w:tcW w:w="4264" w:type="dxa"/>
            <w:shd w:val="clear" w:color="auto" w:fill="auto"/>
            <w:noWrap/>
            <w:vAlign w:val="center"/>
            <w:hideMark/>
          </w:tcPr>
          <w:p w14:paraId="46AF21E1"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 xml:space="preserve">Glucokinase </w:t>
            </w:r>
          </w:p>
        </w:tc>
        <w:tc>
          <w:tcPr>
            <w:tcW w:w="2593" w:type="dxa"/>
            <w:shd w:val="clear" w:color="auto" w:fill="auto"/>
            <w:noWrap/>
            <w:vAlign w:val="bottom"/>
            <w:hideMark/>
          </w:tcPr>
          <w:p w14:paraId="47B39565"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CTTTGGAGCCAACGGAGA</w:t>
            </w:r>
          </w:p>
        </w:tc>
        <w:tc>
          <w:tcPr>
            <w:tcW w:w="2717" w:type="dxa"/>
            <w:shd w:val="clear" w:color="auto" w:fill="auto"/>
            <w:noWrap/>
            <w:vAlign w:val="bottom"/>
            <w:hideMark/>
          </w:tcPr>
          <w:p w14:paraId="4F7729AB"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 xml:space="preserve">GCACCAGCTCTCCCATGTA </w:t>
            </w:r>
          </w:p>
        </w:tc>
        <w:tc>
          <w:tcPr>
            <w:tcW w:w="726" w:type="dxa"/>
            <w:shd w:val="clear" w:color="auto" w:fill="auto"/>
            <w:noWrap/>
            <w:vAlign w:val="bottom"/>
            <w:hideMark/>
          </w:tcPr>
          <w:p w14:paraId="2986672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131</w:t>
            </w:r>
          </w:p>
        </w:tc>
        <w:tc>
          <w:tcPr>
            <w:tcW w:w="1453" w:type="dxa"/>
            <w:shd w:val="clear" w:color="auto" w:fill="auto"/>
            <w:noWrap/>
            <w:vAlign w:val="bottom"/>
            <w:hideMark/>
          </w:tcPr>
          <w:p w14:paraId="242F26F2"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XM_014171080.1</w:t>
            </w:r>
          </w:p>
        </w:tc>
        <w:tc>
          <w:tcPr>
            <w:tcW w:w="1158" w:type="dxa"/>
            <w:shd w:val="clear" w:color="auto" w:fill="auto"/>
            <w:noWrap/>
            <w:vAlign w:val="bottom"/>
            <w:hideMark/>
          </w:tcPr>
          <w:p w14:paraId="543D6C8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87.0</w:t>
            </w:r>
          </w:p>
        </w:tc>
      </w:tr>
      <w:tr w:rsidR="00EE70EB" w:rsidRPr="00EE70EB" w14:paraId="169CB32D"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513D038C"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gstt1</w:t>
            </w:r>
          </w:p>
        </w:tc>
        <w:tc>
          <w:tcPr>
            <w:tcW w:w="4264" w:type="dxa"/>
            <w:shd w:val="clear" w:color="auto" w:fill="auto"/>
            <w:noWrap/>
            <w:vAlign w:val="center"/>
            <w:hideMark/>
          </w:tcPr>
          <w:p w14:paraId="2CBDFF1B"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Glutathione S-transferase theta 1</w:t>
            </w:r>
          </w:p>
        </w:tc>
        <w:tc>
          <w:tcPr>
            <w:tcW w:w="2593" w:type="dxa"/>
            <w:shd w:val="clear" w:color="auto" w:fill="auto"/>
            <w:noWrap/>
            <w:vAlign w:val="bottom"/>
            <w:hideMark/>
          </w:tcPr>
          <w:p w14:paraId="0FF08235"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CAAAGACAAGATGGATGGAGCC</w:t>
            </w:r>
          </w:p>
        </w:tc>
        <w:tc>
          <w:tcPr>
            <w:tcW w:w="2717" w:type="dxa"/>
            <w:shd w:val="clear" w:color="auto" w:fill="auto"/>
            <w:noWrap/>
            <w:vAlign w:val="bottom"/>
            <w:hideMark/>
          </w:tcPr>
          <w:p w14:paraId="18BFE51A"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CATGATCTCAACAATGGCCACC</w:t>
            </w:r>
          </w:p>
        </w:tc>
        <w:tc>
          <w:tcPr>
            <w:tcW w:w="726" w:type="dxa"/>
            <w:shd w:val="clear" w:color="auto" w:fill="auto"/>
            <w:noWrap/>
            <w:vAlign w:val="bottom"/>
            <w:hideMark/>
          </w:tcPr>
          <w:p w14:paraId="14C4D29E"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139</w:t>
            </w:r>
          </w:p>
        </w:tc>
        <w:tc>
          <w:tcPr>
            <w:tcW w:w="1453" w:type="dxa"/>
            <w:shd w:val="clear" w:color="auto" w:fill="auto"/>
            <w:noWrap/>
            <w:vAlign w:val="bottom"/>
            <w:hideMark/>
          </w:tcPr>
          <w:p w14:paraId="5DD0A567"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BT046590.1</w:t>
            </w:r>
          </w:p>
        </w:tc>
        <w:tc>
          <w:tcPr>
            <w:tcW w:w="1158" w:type="dxa"/>
            <w:shd w:val="clear" w:color="auto" w:fill="auto"/>
            <w:noWrap/>
            <w:vAlign w:val="bottom"/>
            <w:hideMark/>
          </w:tcPr>
          <w:p w14:paraId="77DDE4BA"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87.0</w:t>
            </w:r>
          </w:p>
        </w:tc>
      </w:tr>
      <w:tr w:rsidR="00EE70EB" w:rsidRPr="00EE70EB" w14:paraId="3E2EEF70"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7BC556BC" w14:textId="500FC7A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hcn1</w:t>
            </w:r>
          </w:p>
        </w:tc>
        <w:tc>
          <w:tcPr>
            <w:tcW w:w="4264" w:type="dxa"/>
            <w:shd w:val="clear" w:color="auto" w:fill="auto"/>
            <w:noWrap/>
            <w:vAlign w:val="center"/>
            <w:hideMark/>
          </w:tcPr>
          <w:p w14:paraId="5C9D5298" w14:textId="63BE4829" w:rsidR="00EE70EB" w:rsidRPr="004036BF" w:rsidRDefault="00227697"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H</w:t>
            </w:r>
            <w:r w:rsidR="00EE70EB" w:rsidRPr="004036BF">
              <w:rPr>
                <w:rFonts w:ascii="Times New Roman" w:eastAsia="Times New Roman" w:hAnsi="Times New Roman" w:cs="Times New Roman"/>
                <w:sz w:val="16"/>
                <w:szCs w:val="16"/>
                <w:lang w:val="en-US"/>
              </w:rPr>
              <w:t>yperpolarization-act</w:t>
            </w:r>
            <w:r w:rsidRPr="004036BF">
              <w:rPr>
                <w:rFonts w:ascii="Times New Roman" w:eastAsia="Times New Roman" w:hAnsi="Times New Roman" w:cs="Times New Roman"/>
                <w:sz w:val="16"/>
                <w:szCs w:val="16"/>
                <w:lang w:val="en-US"/>
              </w:rPr>
              <w:t>ivated</w:t>
            </w:r>
            <w:r w:rsidR="00EE70EB" w:rsidRPr="004036BF">
              <w:rPr>
                <w:rFonts w:ascii="Times New Roman" w:eastAsia="Times New Roman" w:hAnsi="Times New Roman" w:cs="Times New Roman"/>
                <w:sz w:val="16"/>
                <w:szCs w:val="16"/>
                <w:lang w:val="en-US"/>
              </w:rPr>
              <w:t xml:space="preserve"> cyclic nucl</w:t>
            </w:r>
            <w:r w:rsidRPr="004036BF">
              <w:rPr>
                <w:rFonts w:ascii="Times New Roman" w:eastAsia="Times New Roman" w:hAnsi="Times New Roman" w:cs="Times New Roman"/>
                <w:sz w:val="16"/>
                <w:szCs w:val="16"/>
                <w:lang w:val="en-US"/>
              </w:rPr>
              <w:t>eotide</w:t>
            </w:r>
            <w:r w:rsidR="00EE70EB" w:rsidRPr="004036BF">
              <w:rPr>
                <w:rFonts w:ascii="Times New Roman" w:eastAsia="Times New Roman" w:hAnsi="Times New Roman" w:cs="Times New Roman"/>
                <w:sz w:val="16"/>
                <w:szCs w:val="16"/>
                <w:lang w:val="en-US"/>
              </w:rPr>
              <w:t>-gated chan</w:t>
            </w:r>
            <w:r w:rsidRPr="004036BF">
              <w:rPr>
                <w:rFonts w:ascii="Times New Roman" w:eastAsia="Times New Roman" w:hAnsi="Times New Roman" w:cs="Times New Roman"/>
                <w:sz w:val="16"/>
                <w:szCs w:val="16"/>
                <w:lang w:val="en-US"/>
              </w:rPr>
              <w:t>nel</w:t>
            </w:r>
            <w:r w:rsidR="00EE70EB" w:rsidRPr="004036BF">
              <w:rPr>
                <w:rFonts w:ascii="Times New Roman" w:eastAsia="Times New Roman" w:hAnsi="Times New Roman" w:cs="Times New Roman"/>
                <w:sz w:val="16"/>
                <w:szCs w:val="16"/>
                <w:lang w:val="en-US"/>
              </w:rPr>
              <w:t xml:space="preserve"> 1</w:t>
            </w:r>
          </w:p>
        </w:tc>
        <w:tc>
          <w:tcPr>
            <w:tcW w:w="2593" w:type="dxa"/>
            <w:shd w:val="clear" w:color="auto" w:fill="auto"/>
            <w:noWrap/>
            <w:vAlign w:val="bottom"/>
            <w:hideMark/>
          </w:tcPr>
          <w:p w14:paraId="1A768B6E"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TGCACAACAGGACAAGGAAGAT</w:t>
            </w:r>
          </w:p>
        </w:tc>
        <w:tc>
          <w:tcPr>
            <w:tcW w:w="2717" w:type="dxa"/>
            <w:shd w:val="clear" w:color="auto" w:fill="auto"/>
            <w:noWrap/>
            <w:vAlign w:val="bottom"/>
            <w:hideMark/>
          </w:tcPr>
          <w:p w14:paraId="50CFB840"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ACCAGTCTACACAGTACCAAGTC</w:t>
            </w:r>
          </w:p>
        </w:tc>
        <w:tc>
          <w:tcPr>
            <w:tcW w:w="726" w:type="dxa"/>
            <w:shd w:val="clear" w:color="auto" w:fill="auto"/>
            <w:noWrap/>
            <w:vAlign w:val="bottom"/>
            <w:hideMark/>
          </w:tcPr>
          <w:p w14:paraId="4BDC5F6B"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105</w:t>
            </w:r>
          </w:p>
        </w:tc>
        <w:tc>
          <w:tcPr>
            <w:tcW w:w="1453" w:type="dxa"/>
            <w:shd w:val="clear" w:color="auto" w:fill="auto"/>
            <w:noWrap/>
            <w:vAlign w:val="bottom"/>
            <w:hideMark/>
          </w:tcPr>
          <w:p w14:paraId="6045627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XM_014164789.1</w:t>
            </w:r>
          </w:p>
        </w:tc>
        <w:tc>
          <w:tcPr>
            <w:tcW w:w="1158" w:type="dxa"/>
            <w:shd w:val="clear" w:color="auto" w:fill="auto"/>
            <w:noWrap/>
            <w:vAlign w:val="bottom"/>
            <w:hideMark/>
          </w:tcPr>
          <w:p w14:paraId="135EFD7A"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91.0</w:t>
            </w:r>
          </w:p>
        </w:tc>
      </w:tr>
      <w:tr w:rsidR="00EE70EB" w:rsidRPr="00EE70EB" w14:paraId="208C97CC"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29A4656B" w14:textId="2E09ACEA"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hif1α</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22D38986"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Hypoxia inducible factor 1 alpha</w:t>
            </w:r>
          </w:p>
        </w:tc>
        <w:tc>
          <w:tcPr>
            <w:tcW w:w="2593" w:type="dxa"/>
            <w:shd w:val="clear" w:color="auto" w:fill="auto"/>
            <w:noWrap/>
            <w:vAlign w:val="bottom"/>
            <w:hideMark/>
          </w:tcPr>
          <w:p w14:paraId="284F9061"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CCCATGTTCACAACAACAGC</w:t>
            </w:r>
          </w:p>
        </w:tc>
        <w:tc>
          <w:tcPr>
            <w:tcW w:w="2717" w:type="dxa"/>
            <w:shd w:val="clear" w:color="auto" w:fill="auto"/>
            <w:noWrap/>
            <w:vAlign w:val="bottom"/>
            <w:hideMark/>
          </w:tcPr>
          <w:p w14:paraId="0F62A3A5"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AATGAGAAGGGGCTGAACCT</w:t>
            </w:r>
          </w:p>
        </w:tc>
        <w:tc>
          <w:tcPr>
            <w:tcW w:w="726" w:type="dxa"/>
            <w:shd w:val="clear" w:color="auto" w:fill="auto"/>
            <w:noWrap/>
            <w:vAlign w:val="center"/>
            <w:hideMark/>
          </w:tcPr>
          <w:p w14:paraId="562CB294"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100</w:t>
            </w:r>
          </w:p>
        </w:tc>
        <w:tc>
          <w:tcPr>
            <w:tcW w:w="1453" w:type="dxa"/>
            <w:shd w:val="clear" w:color="auto" w:fill="auto"/>
            <w:noWrap/>
            <w:vAlign w:val="bottom"/>
            <w:hideMark/>
          </w:tcPr>
          <w:p w14:paraId="0BCBB61B"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NM_001140022.1</w:t>
            </w:r>
          </w:p>
        </w:tc>
        <w:tc>
          <w:tcPr>
            <w:tcW w:w="1158" w:type="dxa"/>
            <w:shd w:val="clear" w:color="auto" w:fill="auto"/>
            <w:noWrap/>
            <w:vAlign w:val="bottom"/>
            <w:hideMark/>
          </w:tcPr>
          <w:p w14:paraId="5D084003"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88.0</w:t>
            </w:r>
          </w:p>
        </w:tc>
      </w:tr>
      <w:tr w:rsidR="00EE70EB" w:rsidRPr="00EE70EB" w14:paraId="713219C0"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CA82561" w14:textId="09E2F66F"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hsp70</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69AEE3E3"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Heat shock protein HSP 70</w:t>
            </w:r>
          </w:p>
        </w:tc>
        <w:tc>
          <w:tcPr>
            <w:tcW w:w="2593" w:type="dxa"/>
            <w:shd w:val="clear" w:color="auto" w:fill="auto"/>
            <w:noWrap/>
            <w:vAlign w:val="bottom"/>
            <w:hideMark/>
          </w:tcPr>
          <w:p w14:paraId="756959A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AGTGATCAACGACTCGACACG</w:t>
            </w:r>
          </w:p>
        </w:tc>
        <w:tc>
          <w:tcPr>
            <w:tcW w:w="2717" w:type="dxa"/>
            <w:shd w:val="clear" w:color="auto" w:fill="auto"/>
            <w:noWrap/>
            <w:vAlign w:val="center"/>
            <w:hideMark/>
          </w:tcPr>
          <w:p w14:paraId="65A11B8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CACTGCATTGGTTATAGTCTTG</w:t>
            </w:r>
          </w:p>
        </w:tc>
        <w:tc>
          <w:tcPr>
            <w:tcW w:w="726" w:type="dxa"/>
            <w:shd w:val="clear" w:color="auto" w:fill="auto"/>
            <w:noWrap/>
            <w:vAlign w:val="bottom"/>
            <w:hideMark/>
          </w:tcPr>
          <w:p w14:paraId="70A91AC6"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151</w:t>
            </w:r>
          </w:p>
        </w:tc>
        <w:tc>
          <w:tcPr>
            <w:tcW w:w="1453" w:type="dxa"/>
            <w:shd w:val="clear" w:color="auto" w:fill="auto"/>
            <w:noWrap/>
            <w:vAlign w:val="bottom"/>
            <w:hideMark/>
          </w:tcPr>
          <w:p w14:paraId="227501E3"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BT045715.1</w:t>
            </w:r>
          </w:p>
        </w:tc>
        <w:tc>
          <w:tcPr>
            <w:tcW w:w="1158" w:type="dxa"/>
            <w:shd w:val="clear" w:color="auto" w:fill="auto"/>
            <w:noWrap/>
            <w:vAlign w:val="bottom"/>
            <w:hideMark/>
          </w:tcPr>
          <w:p w14:paraId="1ABA1E88"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90.0</w:t>
            </w:r>
          </w:p>
        </w:tc>
      </w:tr>
      <w:tr w:rsidR="00EE70EB" w:rsidRPr="00EE70EB" w14:paraId="2F8E72BE"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2A12CC7E"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hsp90aa1</w:t>
            </w:r>
          </w:p>
        </w:tc>
        <w:tc>
          <w:tcPr>
            <w:tcW w:w="4264" w:type="dxa"/>
            <w:shd w:val="clear" w:color="auto" w:fill="auto"/>
            <w:noWrap/>
            <w:vAlign w:val="center"/>
            <w:hideMark/>
          </w:tcPr>
          <w:p w14:paraId="2E3BCD6C"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Heat shock protein HSP 90-alpha</w:t>
            </w:r>
          </w:p>
        </w:tc>
        <w:tc>
          <w:tcPr>
            <w:tcW w:w="2593" w:type="dxa"/>
            <w:shd w:val="clear" w:color="auto" w:fill="auto"/>
            <w:noWrap/>
            <w:vAlign w:val="bottom"/>
            <w:hideMark/>
          </w:tcPr>
          <w:p w14:paraId="4744854C"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CGAGGACATGAAGAAGAGGCAT</w:t>
            </w:r>
          </w:p>
        </w:tc>
        <w:tc>
          <w:tcPr>
            <w:tcW w:w="2717" w:type="dxa"/>
            <w:shd w:val="clear" w:color="auto" w:fill="auto"/>
            <w:noWrap/>
            <w:vAlign w:val="bottom"/>
            <w:hideMark/>
          </w:tcPr>
          <w:p w14:paraId="2ABA7F04"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ACACTGTCACCTTCTCCACTTT</w:t>
            </w:r>
          </w:p>
        </w:tc>
        <w:tc>
          <w:tcPr>
            <w:tcW w:w="726" w:type="dxa"/>
            <w:shd w:val="clear" w:color="auto" w:fill="auto"/>
            <w:noWrap/>
            <w:vAlign w:val="bottom"/>
            <w:hideMark/>
          </w:tcPr>
          <w:p w14:paraId="4FA77E17"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104</w:t>
            </w:r>
          </w:p>
        </w:tc>
        <w:tc>
          <w:tcPr>
            <w:tcW w:w="1453" w:type="dxa"/>
            <w:shd w:val="clear" w:color="auto" w:fill="auto"/>
            <w:noWrap/>
            <w:vAlign w:val="bottom"/>
            <w:hideMark/>
          </w:tcPr>
          <w:p w14:paraId="679D16B0"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KC150878.1</w:t>
            </w:r>
          </w:p>
        </w:tc>
        <w:tc>
          <w:tcPr>
            <w:tcW w:w="1158" w:type="dxa"/>
            <w:shd w:val="clear" w:color="auto" w:fill="auto"/>
            <w:noWrap/>
            <w:vAlign w:val="bottom"/>
            <w:hideMark/>
          </w:tcPr>
          <w:p w14:paraId="0C659193"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92.5</w:t>
            </w:r>
          </w:p>
        </w:tc>
      </w:tr>
      <w:tr w:rsidR="00EE70EB" w:rsidRPr="00EE70EB" w14:paraId="3C415658"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06D4C1A9"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hsp90ab1</w:t>
            </w:r>
          </w:p>
        </w:tc>
        <w:tc>
          <w:tcPr>
            <w:tcW w:w="4264" w:type="dxa"/>
            <w:shd w:val="clear" w:color="auto" w:fill="auto"/>
            <w:noWrap/>
            <w:vAlign w:val="center"/>
            <w:hideMark/>
          </w:tcPr>
          <w:p w14:paraId="2B1633AF"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Heat shock protein HSP 90-beta</w:t>
            </w:r>
          </w:p>
        </w:tc>
        <w:tc>
          <w:tcPr>
            <w:tcW w:w="2593" w:type="dxa"/>
            <w:shd w:val="clear" w:color="auto" w:fill="auto"/>
            <w:noWrap/>
            <w:vAlign w:val="bottom"/>
            <w:hideMark/>
          </w:tcPr>
          <w:p w14:paraId="0DC9786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AGGATTCCAAGGACAAGAAGAAGA</w:t>
            </w:r>
          </w:p>
        </w:tc>
        <w:tc>
          <w:tcPr>
            <w:tcW w:w="2717" w:type="dxa"/>
            <w:shd w:val="clear" w:color="auto" w:fill="auto"/>
            <w:noWrap/>
            <w:vAlign w:val="bottom"/>
            <w:hideMark/>
          </w:tcPr>
          <w:p w14:paraId="051CA0E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GTCAGGCTCTTGTAGAACTCCC</w:t>
            </w:r>
          </w:p>
        </w:tc>
        <w:tc>
          <w:tcPr>
            <w:tcW w:w="726" w:type="dxa"/>
            <w:shd w:val="clear" w:color="auto" w:fill="auto"/>
            <w:noWrap/>
            <w:vAlign w:val="bottom"/>
            <w:hideMark/>
          </w:tcPr>
          <w:p w14:paraId="365541BE"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145</w:t>
            </w:r>
          </w:p>
        </w:tc>
        <w:tc>
          <w:tcPr>
            <w:tcW w:w="1453" w:type="dxa"/>
            <w:shd w:val="clear" w:color="auto" w:fill="auto"/>
            <w:noWrap/>
            <w:vAlign w:val="bottom"/>
            <w:hideMark/>
          </w:tcPr>
          <w:p w14:paraId="7FC7D39C"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KC150883.1</w:t>
            </w:r>
          </w:p>
        </w:tc>
        <w:tc>
          <w:tcPr>
            <w:tcW w:w="1158" w:type="dxa"/>
            <w:shd w:val="clear" w:color="auto" w:fill="auto"/>
            <w:noWrap/>
            <w:vAlign w:val="bottom"/>
            <w:hideMark/>
          </w:tcPr>
          <w:p w14:paraId="271719B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93.5</w:t>
            </w:r>
          </w:p>
        </w:tc>
      </w:tr>
      <w:tr w:rsidR="00EE70EB" w:rsidRPr="00EE70EB" w14:paraId="4D4C9FDC"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319A4CE7"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hspd1</w:t>
            </w:r>
          </w:p>
        </w:tc>
        <w:tc>
          <w:tcPr>
            <w:tcW w:w="4264" w:type="dxa"/>
            <w:shd w:val="clear" w:color="auto" w:fill="auto"/>
            <w:noWrap/>
            <w:vAlign w:val="center"/>
            <w:hideMark/>
          </w:tcPr>
          <w:p w14:paraId="07851915" w14:textId="3B9A4183"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60 k</w:t>
            </w:r>
            <w:r w:rsidR="00300B19" w:rsidRPr="004036BF">
              <w:rPr>
                <w:rFonts w:ascii="Times New Roman" w:eastAsia="Times New Roman" w:hAnsi="Times New Roman" w:cs="Times New Roman"/>
                <w:sz w:val="16"/>
                <w:szCs w:val="16"/>
                <w:lang w:val="en-US"/>
              </w:rPr>
              <w:t>D</w:t>
            </w:r>
            <w:r w:rsidRPr="004036BF">
              <w:rPr>
                <w:rFonts w:ascii="Times New Roman" w:eastAsia="Times New Roman" w:hAnsi="Times New Roman" w:cs="Times New Roman"/>
                <w:sz w:val="16"/>
                <w:szCs w:val="16"/>
                <w:lang w:val="en-US"/>
              </w:rPr>
              <w:t>a heat shock</w:t>
            </w:r>
            <w:r w:rsidR="00300B19" w:rsidRPr="004036BF">
              <w:rPr>
                <w:rFonts w:ascii="Times New Roman" w:eastAsia="Times New Roman" w:hAnsi="Times New Roman" w:cs="Times New Roman"/>
                <w:sz w:val="16"/>
                <w:szCs w:val="16"/>
                <w:lang w:val="en-US"/>
              </w:rPr>
              <w:t xml:space="preserve"> protein</w:t>
            </w:r>
          </w:p>
        </w:tc>
        <w:tc>
          <w:tcPr>
            <w:tcW w:w="2593" w:type="dxa"/>
            <w:shd w:val="clear" w:color="auto" w:fill="auto"/>
            <w:noWrap/>
            <w:vAlign w:val="bottom"/>
            <w:hideMark/>
          </w:tcPr>
          <w:p w14:paraId="181FE1F8"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CGGTCCAAGCCACAAGTTAATG</w:t>
            </w:r>
          </w:p>
        </w:tc>
        <w:tc>
          <w:tcPr>
            <w:tcW w:w="2717" w:type="dxa"/>
            <w:shd w:val="clear" w:color="auto" w:fill="auto"/>
            <w:noWrap/>
            <w:vAlign w:val="bottom"/>
            <w:hideMark/>
          </w:tcPr>
          <w:p w14:paraId="1A2CA86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CAACACTTGAATGCACGGTAGT</w:t>
            </w:r>
          </w:p>
        </w:tc>
        <w:tc>
          <w:tcPr>
            <w:tcW w:w="726" w:type="dxa"/>
            <w:shd w:val="clear" w:color="auto" w:fill="auto"/>
            <w:noWrap/>
            <w:vAlign w:val="bottom"/>
            <w:hideMark/>
          </w:tcPr>
          <w:p w14:paraId="3E466CC9"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133</w:t>
            </w:r>
          </w:p>
        </w:tc>
        <w:tc>
          <w:tcPr>
            <w:tcW w:w="1453" w:type="dxa"/>
            <w:shd w:val="clear" w:color="auto" w:fill="auto"/>
            <w:noWrap/>
            <w:vAlign w:val="bottom"/>
            <w:hideMark/>
          </w:tcPr>
          <w:p w14:paraId="2EC83948"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BT071923.1</w:t>
            </w:r>
          </w:p>
        </w:tc>
        <w:tc>
          <w:tcPr>
            <w:tcW w:w="1158" w:type="dxa"/>
            <w:shd w:val="clear" w:color="auto" w:fill="auto"/>
            <w:noWrap/>
            <w:vAlign w:val="bottom"/>
            <w:hideMark/>
          </w:tcPr>
          <w:p w14:paraId="066AE129"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87.5</w:t>
            </w:r>
          </w:p>
        </w:tc>
      </w:tr>
      <w:tr w:rsidR="00EE70EB" w:rsidRPr="00EE70EB" w14:paraId="59941766"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2C9FE028" w14:textId="5CE17343"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igfbp2b1</w:t>
            </w:r>
          </w:p>
        </w:tc>
        <w:tc>
          <w:tcPr>
            <w:tcW w:w="4264" w:type="dxa"/>
            <w:shd w:val="clear" w:color="auto" w:fill="auto"/>
            <w:noWrap/>
            <w:vAlign w:val="center"/>
            <w:hideMark/>
          </w:tcPr>
          <w:p w14:paraId="0C673AD9" w14:textId="0DF9CCDB"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Insulin-like growth factor-binding prot</w:t>
            </w:r>
            <w:r w:rsidR="00227697" w:rsidRPr="004036BF">
              <w:rPr>
                <w:rFonts w:ascii="Times New Roman" w:eastAsia="Times New Roman" w:hAnsi="Times New Roman" w:cs="Times New Roman"/>
                <w:sz w:val="16"/>
                <w:szCs w:val="16"/>
                <w:lang w:val="en-US"/>
              </w:rPr>
              <w:t>ein</w:t>
            </w:r>
            <w:r w:rsidR="00300B19" w:rsidRPr="004036BF">
              <w:rPr>
                <w:rFonts w:ascii="Times New Roman" w:eastAsia="Times New Roman" w:hAnsi="Times New Roman" w:cs="Times New Roman"/>
                <w:sz w:val="16"/>
                <w:szCs w:val="16"/>
                <w:lang w:val="en-US"/>
              </w:rPr>
              <w:t xml:space="preserve"> 2</w:t>
            </w:r>
            <w:r w:rsidR="00227697" w:rsidRPr="004036BF">
              <w:rPr>
                <w:rFonts w:ascii="Times New Roman" w:eastAsia="Times New Roman" w:hAnsi="Times New Roman" w:cs="Times New Roman"/>
                <w:sz w:val="16"/>
                <w:szCs w:val="16"/>
                <w:lang w:val="en-US"/>
              </w:rPr>
              <w:t xml:space="preserve"> - paralog</w:t>
            </w:r>
            <w:r w:rsidRPr="004036BF">
              <w:rPr>
                <w:rFonts w:ascii="Times New Roman" w:eastAsia="Times New Roman" w:hAnsi="Times New Roman" w:cs="Times New Roman"/>
                <w:sz w:val="16"/>
                <w:szCs w:val="16"/>
                <w:lang w:val="en-US"/>
              </w:rPr>
              <w:t xml:space="preserve"> b1</w:t>
            </w:r>
          </w:p>
        </w:tc>
        <w:tc>
          <w:tcPr>
            <w:tcW w:w="2593" w:type="dxa"/>
            <w:shd w:val="clear" w:color="auto" w:fill="auto"/>
            <w:noWrap/>
            <w:vAlign w:val="bottom"/>
            <w:hideMark/>
          </w:tcPr>
          <w:p w14:paraId="6F4941EA"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CTGCTTATGTTACTTGGTCTGCC</w:t>
            </w:r>
          </w:p>
        </w:tc>
        <w:tc>
          <w:tcPr>
            <w:tcW w:w="2717" w:type="dxa"/>
            <w:shd w:val="clear" w:color="auto" w:fill="auto"/>
            <w:noWrap/>
            <w:vAlign w:val="bottom"/>
            <w:hideMark/>
          </w:tcPr>
          <w:p w14:paraId="687298DA"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TACAGTTGATGGTGAGCTCAGG</w:t>
            </w:r>
          </w:p>
        </w:tc>
        <w:tc>
          <w:tcPr>
            <w:tcW w:w="726" w:type="dxa"/>
            <w:shd w:val="clear" w:color="auto" w:fill="auto"/>
            <w:noWrap/>
            <w:vAlign w:val="bottom"/>
            <w:hideMark/>
          </w:tcPr>
          <w:p w14:paraId="0F5EE44D"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112</w:t>
            </w:r>
          </w:p>
        </w:tc>
        <w:tc>
          <w:tcPr>
            <w:tcW w:w="1453" w:type="dxa"/>
            <w:shd w:val="clear" w:color="auto" w:fill="auto"/>
            <w:noWrap/>
            <w:vAlign w:val="bottom"/>
            <w:hideMark/>
          </w:tcPr>
          <w:p w14:paraId="4669102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NM_001123648.1</w:t>
            </w:r>
          </w:p>
        </w:tc>
        <w:tc>
          <w:tcPr>
            <w:tcW w:w="1158" w:type="dxa"/>
            <w:shd w:val="clear" w:color="auto" w:fill="auto"/>
            <w:noWrap/>
            <w:vAlign w:val="bottom"/>
            <w:hideMark/>
          </w:tcPr>
          <w:p w14:paraId="21551F07"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87.5</w:t>
            </w:r>
          </w:p>
        </w:tc>
      </w:tr>
      <w:tr w:rsidR="00EE70EB" w:rsidRPr="00EE70EB" w14:paraId="6F4FEA42"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21528550" w14:textId="2C653E0D"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il8</w:t>
            </w:r>
            <w:r w:rsidR="007A411C" w:rsidRPr="004036BF">
              <w:rPr>
                <w:rFonts w:ascii="Times New Roman" w:hAnsi="Times New Roman"/>
                <w:b/>
                <w:sz w:val="16"/>
                <w:szCs w:val="16"/>
                <w:vertAlign w:val="superscript"/>
                <w:lang w:val="en-US"/>
              </w:rPr>
              <w:t>3</w:t>
            </w:r>
          </w:p>
        </w:tc>
        <w:tc>
          <w:tcPr>
            <w:tcW w:w="4264" w:type="dxa"/>
            <w:shd w:val="clear" w:color="auto" w:fill="auto"/>
            <w:noWrap/>
            <w:vAlign w:val="center"/>
            <w:hideMark/>
          </w:tcPr>
          <w:p w14:paraId="75D11F0F"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Interleukin-8</w:t>
            </w:r>
          </w:p>
        </w:tc>
        <w:tc>
          <w:tcPr>
            <w:tcW w:w="2593" w:type="dxa"/>
            <w:shd w:val="clear" w:color="auto" w:fill="auto"/>
            <w:noWrap/>
            <w:vAlign w:val="center"/>
            <w:hideMark/>
          </w:tcPr>
          <w:p w14:paraId="72A169D9"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GAAAGCAGACGAATTGGTAGAC</w:t>
            </w:r>
          </w:p>
        </w:tc>
        <w:tc>
          <w:tcPr>
            <w:tcW w:w="2717" w:type="dxa"/>
            <w:shd w:val="clear" w:color="auto" w:fill="auto"/>
            <w:noWrap/>
            <w:vAlign w:val="center"/>
            <w:hideMark/>
          </w:tcPr>
          <w:p w14:paraId="35669D26"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GCTGTTGCTCAGAGTTGCAAT</w:t>
            </w:r>
          </w:p>
        </w:tc>
        <w:tc>
          <w:tcPr>
            <w:tcW w:w="726" w:type="dxa"/>
            <w:shd w:val="clear" w:color="auto" w:fill="auto"/>
            <w:noWrap/>
            <w:vAlign w:val="bottom"/>
            <w:hideMark/>
          </w:tcPr>
          <w:p w14:paraId="3CA78343"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99</w:t>
            </w:r>
          </w:p>
        </w:tc>
        <w:tc>
          <w:tcPr>
            <w:tcW w:w="1453" w:type="dxa"/>
            <w:shd w:val="clear" w:color="auto" w:fill="auto"/>
            <w:noWrap/>
            <w:vAlign w:val="bottom"/>
            <w:hideMark/>
          </w:tcPr>
          <w:p w14:paraId="01636D9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BT046706</w:t>
            </w:r>
          </w:p>
        </w:tc>
        <w:tc>
          <w:tcPr>
            <w:tcW w:w="1158" w:type="dxa"/>
            <w:shd w:val="clear" w:color="auto" w:fill="auto"/>
            <w:noWrap/>
            <w:vAlign w:val="bottom"/>
            <w:hideMark/>
          </w:tcPr>
          <w:p w14:paraId="346A5BC8"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90.7</w:t>
            </w:r>
          </w:p>
        </w:tc>
      </w:tr>
      <w:tr w:rsidR="00EE70EB" w:rsidRPr="00EE70EB" w14:paraId="3B3BF83C"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67DAE7AD"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irf2</w:t>
            </w:r>
          </w:p>
        </w:tc>
        <w:tc>
          <w:tcPr>
            <w:tcW w:w="4264" w:type="dxa"/>
            <w:shd w:val="clear" w:color="auto" w:fill="auto"/>
            <w:noWrap/>
            <w:vAlign w:val="center"/>
            <w:hideMark/>
          </w:tcPr>
          <w:p w14:paraId="53F6C1DF"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 xml:space="preserve">Interferon regulatory factor 2 </w:t>
            </w:r>
          </w:p>
        </w:tc>
        <w:tc>
          <w:tcPr>
            <w:tcW w:w="2593" w:type="dxa"/>
            <w:shd w:val="clear" w:color="auto" w:fill="auto"/>
            <w:noWrap/>
            <w:vAlign w:val="bottom"/>
            <w:hideMark/>
          </w:tcPr>
          <w:p w14:paraId="3C7862A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TTCATCAGAGCAGTCACAGTCC</w:t>
            </w:r>
          </w:p>
        </w:tc>
        <w:tc>
          <w:tcPr>
            <w:tcW w:w="2717" w:type="dxa"/>
            <w:shd w:val="clear" w:color="auto" w:fill="auto"/>
            <w:noWrap/>
            <w:vAlign w:val="bottom"/>
            <w:hideMark/>
          </w:tcPr>
          <w:p w14:paraId="716E587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GACTGACTGCTCCTCATTCTCC</w:t>
            </w:r>
          </w:p>
        </w:tc>
        <w:tc>
          <w:tcPr>
            <w:tcW w:w="726" w:type="dxa"/>
            <w:shd w:val="clear" w:color="auto" w:fill="auto"/>
            <w:noWrap/>
            <w:vAlign w:val="bottom"/>
            <w:hideMark/>
          </w:tcPr>
          <w:p w14:paraId="3143DFD6"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107</w:t>
            </w:r>
          </w:p>
        </w:tc>
        <w:tc>
          <w:tcPr>
            <w:tcW w:w="1453" w:type="dxa"/>
            <w:shd w:val="clear" w:color="auto" w:fill="auto"/>
            <w:noWrap/>
            <w:vAlign w:val="bottom"/>
            <w:hideMark/>
          </w:tcPr>
          <w:p w14:paraId="13EEE717"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NM_001252351.1</w:t>
            </w:r>
          </w:p>
        </w:tc>
        <w:tc>
          <w:tcPr>
            <w:tcW w:w="1158" w:type="dxa"/>
            <w:shd w:val="clear" w:color="auto" w:fill="auto"/>
            <w:noWrap/>
            <w:vAlign w:val="bottom"/>
            <w:hideMark/>
          </w:tcPr>
          <w:p w14:paraId="393B83CC"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107.5</w:t>
            </w:r>
          </w:p>
        </w:tc>
      </w:tr>
      <w:tr w:rsidR="00EE70EB" w:rsidRPr="00EE70EB" w14:paraId="6E7C1840"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06AEE872"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jak2</w:t>
            </w:r>
          </w:p>
        </w:tc>
        <w:tc>
          <w:tcPr>
            <w:tcW w:w="4264" w:type="dxa"/>
            <w:shd w:val="clear" w:color="auto" w:fill="auto"/>
            <w:noWrap/>
            <w:vAlign w:val="center"/>
            <w:hideMark/>
          </w:tcPr>
          <w:p w14:paraId="7F181E4C"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Tyrosine-protein kinase JAK2-like</w:t>
            </w:r>
          </w:p>
        </w:tc>
        <w:tc>
          <w:tcPr>
            <w:tcW w:w="2593" w:type="dxa"/>
            <w:shd w:val="clear" w:color="auto" w:fill="auto"/>
            <w:noWrap/>
            <w:vAlign w:val="bottom"/>
            <w:hideMark/>
          </w:tcPr>
          <w:p w14:paraId="5B4F5559"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ACCGCTCAGATATGTAAGGGTATG</w:t>
            </w:r>
          </w:p>
        </w:tc>
        <w:tc>
          <w:tcPr>
            <w:tcW w:w="2717" w:type="dxa"/>
            <w:shd w:val="clear" w:color="auto" w:fill="auto"/>
            <w:noWrap/>
            <w:vAlign w:val="bottom"/>
            <w:hideMark/>
          </w:tcPr>
          <w:p w14:paraId="0D8A2E66"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AGCTCACTCTCTACCAGGATGT</w:t>
            </w:r>
          </w:p>
        </w:tc>
        <w:tc>
          <w:tcPr>
            <w:tcW w:w="726" w:type="dxa"/>
            <w:shd w:val="clear" w:color="auto" w:fill="auto"/>
            <w:noWrap/>
            <w:vAlign w:val="bottom"/>
            <w:hideMark/>
          </w:tcPr>
          <w:p w14:paraId="0922A439"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95</w:t>
            </w:r>
          </w:p>
        </w:tc>
        <w:tc>
          <w:tcPr>
            <w:tcW w:w="1453" w:type="dxa"/>
            <w:shd w:val="clear" w:color="auto" w:fill="auto"/>
            <w:noWrap/>
            <w:vAlign w:val="bottom"/>
            <w:hideMark/>
          </w:tcPr>
          <w:p w14:paraId="1102D5C8"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XM_014171549.1</w:t>
            </w:r>
          </w:p>
        </w:tc>
        <w:tc>
          <w:tcPr>
            <w:tcW w:w="1158" w:type="dxa"/>
            <w:shd w:val="clear" w:color="auto" w:fill="auto"/>
            <w:noWrap/>
            <w:vAlign w:val="bottom"/>
            <w:hideMark/>
          </w:tcPr>
          <w:p w14:paraId="2F7D2188"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92.0</w:t>
            </w:r>
          </w:p>
        </w:tc>
      </w:tr>
      <w:tr w:rsidR="00EE70EB" w:rsidRPr="00EE70EB" w14:paraId="7E91D15B"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29BB31C8"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jund</w:t>
            </w:r>
          </w:p>
        </w:tc>
        <w:tc>
          <w:tcPr>
            <w:tcW w:w="4264" w:type="dxa"/>
            <w:shd w:val="clear" w:color="auto" w:fill="auto"/>
            <w:noWrap/>
            <w:vAlign w:val="center"/>
            <w:hideMark/>
          </w:tcPr>
          <w:p w14:paraId="0D719A1B"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Transcription factor Jun-D-like</w:t>
            </w:r>
          </w:p>
        </w:tc>
        <w:tc>
          <w:tcPr>
            <w:tcW w:w="2593" w:type="dxa"/>
            <w:shd w:val="clear" w:color="auto" w:fill="auto"/>
            <w:noWrap/>
            <w:vAlign w:val="bottom"/>
            <w:hideMark/>
          </w:tcPr>
          <w:p w14:paraId="5A31A61E"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CTGGATTAGGGTAGAATAGGTGCA</w:t>
            </w:r>
          </w:p>
        </w:tc>
        <w:tc>
          <w:tcPr>
            <w:tcW w:w="2717" w:type="dxa"/>
            <w:shd w:val="clear" w:color="auto" w:fill="auto"/>
            <w:noWrap/>
            <w:vAlign w:val="bottom"/>
            <w:hideMark/>
          </w:tcPr>
          <w:p w14:paraId="3DBEC27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ACATTGAGGGATGCAGTTCAGT</w:t>
            </w:r>
          </w:p>
        </w:tc>
        <w:tc>
          <w:tcPr>
            <w:tcW w:w="726" w:type="dxa"/>
            <w:shd w:val="clear" w:color="auto" w:fill="auto"/>
            <w:noWrap/>
            <w:vAlign w:val="bottom"/>
            <w:hideMark/>
          </w:tcPr>
          <w:p w14:paraId="5A37027B"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134</w:t>
            </w:r>
          </w:p>
        </w:tc>
        <w:tc>
          <w:tcPr>
            <w:tcW w:w="1453" w:type="dxa"/>
            <w:shd w:val="clear" w:color="auto" w:fill="auto"/>
            <w:noWrap/>
            <w:vAlign w:val="bottom"/>
            <w:hideMark/>
          </w:tcPr>
          <w:p w14:paraId="0B670BD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XM_014190066.1</w:t>
            </w:r>
          </w:p>
        </w:tc>
        <w:tc>
          <w:tcPr>
            <w:tcW w:w="1158" w:type="dxa"/>
            <w:shd w:val="clear" w:color="auto" w:fill="auto"/>
            <w:noWrap/>
            <w:vAlign w:val="bottom"/>
            <w:hideMark/>
          </w:tcPr>
          <w:p w14:paraId="40A7C087"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86.5</w:t>
            </w:r>
          </w:p>
        </w:tc>
      </w:tr>
      <w:tr w:rsidR="00EE70EB" w:rsidRPr="00EE70EB" w14:paraId="56EB037F"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3B1999DA"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mhcii</w:t>
            </w:r>
          </w:p>
        </w:tc>
        <w:tc>
          <w:tcPr>
            <w:tcW w:w="4264" w:type="dxa"/>
            <w:shd w:val="clear" w:color="auto" w:fill="auto"/>
            <w:noWrap/>
            <w:vAlign w:val="center"/>
            <w:hideMark/>
          </w:tcPr>
          <w:p w14:paraId="60301B88"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MHC class ii antigen alpha chain</w:t>
            </w:r>
          </w:p>
        </w:tc>
        <w:tc>
          <w:tcPr>
            <w:tcW w:w="2593" w:type="dxa"/>
            <w:shd w:val="clear" w:color="auto" w:fill="auto"/>
            <w:noWrap/>
            <w:vAlign w:val="bottom"/>
            <w:hideMark/>
          </w:tcPr>
          <w:p w14:paraId="309D1A5B"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GGGCACTGGACTAGAGAGATCT</w:t>
            </w:r>
          </w:p>
        </w:tc>
        <w:tc>
          <w:tcPr>
            <w:tcW w:w="2717" w:type="dxa"/>
            <w:shd w:val="clear" w:color="auto" w:fill="auto"/>
            <w:noWrap/>
            <w:vAlign w:val="bottom"/>
            <w:hideMark/>
          </w:tcPr>
          <w:p w14:paraId="1608E8C2"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TGGCGTACATTGTTGACTGTGA</w:t>
            </w:r>
          </w:p>
        </w:tc>
        <w:tc>
          <w:tcPr>
            <w:tcW w:w="726" w:type="dxa"/>
            <w:shd w:val="clear" w:color="auto" w:fill="auto"/>
            <w:noWrap/>
            <w:vAlign w:val="bottom"/>
            <w:hideMark/>
          </w:tcPr>
          <w:p w14:paraId="6ED609D4"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110</w:t>
            </w:r>
          </w:p>
        </w:tc>
        <w:tc>
          <w:tcPr>
            <w:tcW w:w="1453" w:type="dxa"/>
            <w:shd w:val="clear" w:color="auto" w:fill="auto"/>
            <w:noWrap/>
            <w:vAlign w:val="bottom"/>
            <w:hideMark/>
          </w:tcPr>
          <w:p w14:paraId="2444026D"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XM_014137044.1</w:t>
            </w:r>
          </w:p>
        </w:tc>
        <w:tc>
          <w:tcPr>
            <w:tcW w:w="1158" w:type="dxa"/>
            <w:shd w:val="clear" w:color="auto" w:fill="auto"/>
            <w:noWrap/>
            <w:vAlign w:val="bottom"/>
            <w:hideMark/>
          </w:tcPr>
          <w:p w14:paraId="75FBC61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94.0</w:t>
            </w:r>
          </w:p>
        </w:tc>
      </w:tr>
      <w:tr w:rsidR="00EE70EB" w:rsidRPr="00EE70EB" w14:paraId="68C541D6"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10F20052" w14:textId="756017AC"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mmp9</w:t>
            </w:r>
            <w:r w:rsidR="007A411C" w:rsidRPr="004036BF">
              <w:rPr>
                <w:rFonts w:ascii="Times New Roman" w:hAnsi="Times New Roman"/>
                <w:b/>
                <w:sz w:val="16"/>
                <w:szCs w:val="16"/>
                <w:vertAlign w:val="superscript"/>
                <w:lang w:val="en-US"/>
              </w:rPr>
              <w:t>1</w:t>
            </w:r>
          </w:p>
        </w:tc>
        <w:tc>
          <w:tcPr>
            <w:tcW w:w="4264" w:type="dxa"/>
            <w:shd w:val="clear" w:color="auto" w:fill="auto"/>
            <w:noWrap/>
            <w:vAlign w:val="center"/>
            <w:hideMark/>
          </w:tcPr>
          <w:p w14:paraId="2F0313D2"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Matrix metalloproteinase 9</w:t>
            </w:r>
          </w:p>
        </w:tc>
        <w:tc>
          <w:tcPr>
            <w:tcW w:w="2593" w:type="dxa"/>
            <w:shd w:val="clear" w:color="auto" w:fill="auto"/>
            <w:noWrap/>
            <w:vAlign w:val="center"/>
            <w:hideMark/>
          </w:tcPr>
          <w:p w14:paraId="241C2473"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GGACCTTGTGACCAGGAAAA</w:t>
            </w:r>
          </w:p>
        </w:tc>
        <w:tc>
          <w:tcPr>
            <w:tcW w:w="2717" w:type="dxa"/>
            <w:shd w:val="clear" w:color="auto" w:fill="auto"/>
            <w:noWrap/>
            <w:vAlign w:val="center"/>
            <w:hideMark/>
          </w:tcPr>
          <w:p w14:paraId="66AF1C5A"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TGGAGGACAGACCCAGTTTC</w:t>
            </w:r>
          </w:p>
        </w:tc>
        <w:tc>
          <w:tcPr>
            <w:tcW w:w="726" w:type="dxa"/>
            <w:shd w:val="clear" w:color="auto" w:fill="auto"/>
            <w:noWrap/>
            <w:vAlign w:val="center"/>
            <w:hideMark/>
          </w:tcPr>
          <w:p w14:paraId="66DF9AF5"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110</w:t>
            </w:r>
          </w:p>
        </w:tc>
        <w:tc>
          <w:tcPr>
            <w:tcW w:w="1453" w:type="dxa"/>
            <w:shd w:val="clear" w:color="auto" w:fill="auto"/>
            <w:noWrap/>
            <w:vAlign w:val="bottom"/>
            <w:hideMark/>
          </w:tcPr>
          <w:p w14:paraId="2B48A948"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NM_001140457.1</w:t>
            </w:r>
          </w:p>
        </w:tc>
        <w:tc>
          <w:tcPr>
            <w:tcW w:w="1158" w:type="dxa"/>
            <w:shd w:val="clear" w:color="auto" w:fill="auto"/>
            <w:noWrap/>
            <w:vAlign w:val="bottom"/>
            <w:hideMark/>
          </w:tcPr>
          <w:p w14:paraId="2C9EF26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90.5</w:t>
            </w:r>
          </w:p>
        </w:tc>
      </w:tr>
      <w:tr w:rsidR="00EE70EB" w:rsidRPr="00EE70EB" w14:paraId="075FC84A"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727B9D55"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nckap1l</w:t>
            </w:r>
          </w:p>
        </w:tc>
        <w:tc>
          <w:tcPr>
            <w:tcW w:w="4264" w:type="dxa"/>
            <w:shd w:val="clear" w:color="auto" w:fill="auto"/>
            <w:noWrap/>
            <w:vAlign w:val="center"/>
            <w:hideMark/>
          </w:tcPr>
          <w:p w14:paraId="0B4FC9FB"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Nck-associated protein 1-like</w:t>
            </w:r>
          </w:p>
        </w:tc>
        <w:tc>
          <w:tcPr>
            <w:tcW w:w="2593" w:type="dxa"/>
            <w:shd w:val="clear" w:color="auto" w:fill="auto"/>
            <w:noWrap/>
            <w:vAlign w:val="bottom"/>
            <w:hideMark/>
          </w:tcPr>
          <w:p w14:paraId="0F045EA7" w14:textId="77777777" w:rsidR="00EE70EB" w:rsidRPr="00300B19"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300B19">
              <w:rPr>
                <w:rFonts w:ascii="Courier New" w:eastAsia="Calibri" w:hAnsi="Courier New" w:cs="Courier New"/>
                <w:sz w:val="16"/>
                <w:szCs w:val="16"/>
              </w:rPr>
              <w:t>TCTGCGTCTATGTGTGACCTTC</w:t>
            </w:r>
          </w:p>
        </w:tc>
        <w:tc>
          <w:tcPr>
            <w:tcW w:w="2717" w:type="dxa"/>
            <w:shd w:val="clear" w:color="auto" w:fill="auto"/>
            <w:noWrap/>
            <w:vAlign w:val="bottom"/>
            <w:hideMark/>
          </w:tcPr>
          <w:p w14:paraId="35AFF68C" w14:textId="77777777" w:rsidR="00EE70EB" w:rsidRPr="00300B19"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300B19">
              <w:rPr>
                <w:rFonts w:ascii="Courier New" w:eastAsia="Calibri" w:hAnsi="Courier New" w:cs="Courier New"/>
                <w:sz w:val="16"/>
                <w:szCs w:val="16"/>
              </w:rPr>
              <w:t>GGTCATTGAGGTTGCACTGTTC</w:t>
            </w:r>
          </w:p>
        </w:tc>
        <w:tc>
          <w:tcPr>
            <w:tcW w:w="726" w:type="dxa"/>
            <w:shd w:val="clear" w:color="auto" w:fill="auto"/>
            <w:noWrap/>
            <w:vAlign w:val="bottom"/>
            <w:hideMark/>
          </w:tcPr>
          <w:p w14:paraId="3A923672"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E70EB">
              <w:rPr>
                <w:rFonts w:ascii="Times New Roman" w:eastAsia="Calibri" w:hAnsi="Times New Roman" w:cs="Times New Roman"/>
                <w:sz w:val="18"/>
                <w:szCs w:val="18"/>
              </w:rPr>
              <w:t>95</w:t>
            </w:r>
          </w:p>
        </w:tc>
        <w:tc>
          <w:tcPr>
            <w:tcW w:w="1453" w:type="dxa"/>
            <w:shd w:val="clear" w:color="auto" w:fill="auto"/>
            <w:noWrap/>
            <w:vAlign w:val="bottom"/>
            <w:hideMark/>
          </w:tcPr>
          <w:p w14:paraId="163F883C"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XM_014134027.1</w:t>
            </w:r>
          </w:p>
        </w:tc>
        <w:tc>
          <w:tcPr>
            <w:tcW w:w="1158" w:type="dxa"/>
            <w:shd w:val="clear" w:color="auto" w:fill="auto"/>
            <w:noWrap/>
            <w:vAlign w:val="bottom"/>
            <w:hideMark/>
          </w:tcPr>
          <w:p w14:paraId="0514BB3D"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100.0</w:t>
            </w:r>
          </w:p>
        </w:tc>
      </w:tr>
      <w:tr w:rsidR="00EE70EB" w:rsidRPr="00EE70EB" w14:paraId="487B28CA"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3257F373" w14:textId="1C802B33"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ndufa1</w:t>
            </w:r>
          </w:p>
        </w:tc>
        <w:tc>
          <w:tcPr>
            <w:tcW w:w="4264" w:type="dxa"/>
            <w:shd w:val="clear" w:color="auto" w:fill="auto"/>
            <w:noWrap/>
            <w:vAlign w:val="center"/>
            <w:hideMark/>
          </w:tcPr>
          <w:p w14:paraId="7323593E"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 xml:space="preserve">NADH dehydrogenase 1 alpha subcomplex subunit 1 </w:t>
            </w:r>
          </w:p>
        </w:tc>
        <w:tc>
          <w:tcPr>
            <w:tcW w:w="2593" w:type="dxa"/>
            <w:shd w:val="clear" w:color="auto" w:fill="auto"/>
            <w:noWrap/>
            <w:vAlign w:val="bottom"/>
            <w:hideMark/>
          </w:tcPr>
          <w:p w14:paraId="2E239C65" w14:textId="77777777" w:rsidR="00EE70EB" w:rsidRPr="00300B19"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300B19">
              <w:rPr>
                <w:rFonts w:ascii="Courier New" w:eastAsia="Times New Roman" w:hAnsi="Courier New" w:cs="Courier New"/>
                <w:sz w:val="16"/>
                <w:szCs w:val="16"/>
                <w:lang w:val="en-US"/>
              </w:rPr>
              <w:t>TGATGGAGAGAGACAGACGAGT</w:t>
            </w:r>
          </w:p>
        </w:tc>
        <w:tc>
          <w:tcPr>
            <w:tcW w:w="2717" w:type="dxa"/>
            <w:shd w:val="clear" w:color="auto" w:fill="auto"/>
            <w:noWrap/>
            <w:vAlign w:val="bottom"/>
            <w:hideMark/>
          </w:tcPr>
          <w:p w14:paraId="27338A1D" w14:textId="77777777" w:rsidR="00EE70EB" w:rsidRPr="00300B19"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300B19">
              <w:rPr>
                <w:rFonts w:ascii="Courier New" w:eastAsia="Times New Roman" w:hAnsi="Courier New" w:cs="Courier New"/>
                <w:sz w:val="16"/>
                <w:szCs w:val="16"/>
                <w:lang w:val="en-US"/>
              </w:rPr>
              <w:t>AGGTGAGATCTGGGATTAGTGGA</w:t>
            </w:r>
          </w:p>
        </w:tc>
        <w:tc>
          <w:tcPr>
            <w:tcW w:w="726" w:type="dxa"/>
            <w:shd w:val="clear" w:color="auto" w:fill="auto"/>
            <w:noWrap/>
            <w:vAlign w:val="bottom"/>
            <w:hideMark/>
          </w:tcPr>
          <w:p w14:paraId="7F462F95"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89</w:t>
            </w:r>
          </w:p>
        </w:tc>
        <w:tc>
          <w:tcPr>
            <w:tcW w:w="1453" w:type="dxa"/>
            <w:shd w:val="clear" w:color="auto" w:fill="auto"/>
            <w:noWrap/>
            <w:vAlign w:val="bottom"/>
            <w:hideMark/>
          </w:tcPr>
          <w:p w14:paraId="429C580C"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BT046880.1</w:t>
            </w:r>
          </w:p>
        </w:tc>
        <w:tc>
          <w:tcPr>
            <w:tcW w:w="1158" w:type="dxa"/>
            <w:shd w:val="clear" w:color="auto" w:fill="auto"/>
            <w:noWrap/>
            <w:vAlign w:val="bottom"/>
            <w:hideMark/>
          </w:tcPr>
          <w:p w14:paraId="7C3CEDC9"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91.0</w:t>
            </w:r>
          </w:p>
        </w:tc>
      </w:tr>
      <w:tr w:rsidR="00EE70EB" w:rsidRPr="00EE70EB" w14:paraId="2A48E346"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0D660974" w14:textId="7C05FBB8"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ndufa4</w:t>
            </w:r>
          </w:p>
        </w:tc>
        <w:tc>
          <w:tcPr>
            <w:tcW w:w="4264" w:type="dxa"/>
            <w:shd w:val="clear" w:color="auto" w:fill="auto"/>
            <w:noWrap/>
            <w:vAlign w:val="center"/>
            <w:hideMark/>
          </w:tcPr>
          <w:p w14:paraId="1E854F61"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Cytochrome c oxidase subunit NDUFA4</w:t>
            </w:r>
          </w:p>
        </w:tc>
        <w:tc>
          <w:tcPr>
            <w:tcW w:w="2593" w:type="dxa"/>
            <w:shd w:val="clear" w:color="auto" w:fill="auto"/>
            <w:noWrap/>
            <w:vAlign w:val="bottom"/>
            <w:hideMark/>
          </w:tcPr>
          <w:p w14:paraId="7B430477"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GCCTCTTTCAACACACAACACT</w:t>
            </w:r>
          </w:p>
        </w:tc>
        <w:tc>
          <w:tcPr>
            <w:tcW w:w="2717" w:type="dxa"/>
            <w:shd w:val="clear" w:color="auto" w:fill="auto"/>
            <w:noWrap/>
            <w:vAlign w:val="bottom"/>
            <w:hideMark/>
          </w:tcPr>
          <w:p w14:paraId="550F4D54"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TCACTTTAGGGTTGGAGAGGGT</w:t>
            </w:r>
          </w:p>
        </w:tc>
        <w:tc>
          <w:tcPr>
            <w:tcW w:w="726" w:type="dxa"/>
            <w:shd w:val="clear" w:color="auto" w:fill="auto"/>
            <w:noWrap/>
            <w:vAlign w:val="bottom"/>
            <w:hideMark/>
          </w:tcPr>
          <w:p w14:paraId="47167259"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96</w:t>
            </w:r>
          </w:p>
        </w:tc>
        <w:tc>
          <w:tcPr>
            <w:tcW w:w="1453" w:type="dxa"/>
            <w:shd w:val="clear" w:color="auto" w:fill="auto"/>
            <w:noWrap/>
            <w:vAlign w:val="bottom"/>
            <w:hideMark/>
          </w:tcPr>
          <w:p w14:paraId="432D8A36"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XR_001319779.1</w:t>
            </w:r>
          </w:p>
        </w:tc>
        <w:tc>
          <w:tcPr>
            <w:tcW w:w="1158" w:type="dxa"/>
            <w:shd w:val="clear" w:color="auto" w:fill="auto"/>
            <w:noWrap/>
            <w:vAlign w:val="bottom"/>
            <w:hideMark/>
          </w:tcPr>
          <w:p w14:paraId="61B2FAB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86.0</w:t>
            </w:r>
          </w:p>
        </w:tc>
      </w:tr>
      <w:tr w:rsidR="00EE70EB" w:rsidRPr="00EE70EB" w14:paraId="37926894"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0922F5A6" w14:textId="0C96CAE4"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pdk3</w:t>
            </w:r>
          </w:p>
        </w:tc>
        <w:tc>
          <w:tcPr>
            <w:tcW w:w="4264" w:type="dxa"/>
            <w:shd w:val="clear" w:color="auto" w:fill="auto"/>
            <w:noWrap/>
            <w:vAlign w:val="center"/>
            <w:hideMark/>
          </w:tcPr>
          <w:p w14:paraId="1D368666" w14:textId="115A1872"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rPr>
            </w:pPr>
            <w:r w:rsidRPr="004036BF">
              <w:rPr>
                <w:rFonts w:ascii="Times New Roman" w:eastAsia="Times New Roman" w:hAnsi="Times New Roman" w:cs="Times New Roman"/>
                <w:sz w:val="16"/>
                <w:szCs w:val="16"/>
                <w:lang w:val="de-DE"/>
              </w:rPr>
              <w:t xml:space="preserve">Pyruvate dehydrogenase [lipoamide] kinase isozyme 3 </w:t>
            </w:r>
          </w:p>
        </w:tc>
        <w:tc>
          <w:tcPr>
            <w:tcW w:w="2593" w:type="dxa"/>
            <w:shd w:val="clear" w:color="auto" w:fill="auto"/>
            <w:noWrap/>
            <w:vAlign w:val="bottom"/>
            <w:hideMark/>
          </w:tcPr>
          <w:p w14:paraId="4FCEA728"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AGTACATTATTTCCCGTGGTGTCA</w:t>
            </w:r>
          </w:p>
        </w:tc>
        <w:tc>
          <w:tcPr>
            <w:tcW w:w="2717" w:type="dxa"/>
            <w:shd w:val="clear" w:color="auto" w:fill="auto"/>
            <w:noWrap/>
            <w:vAlign w:val="bottom"/>
            <w:hideMark/>
          </w:tcPr>
          <w:p w14:paraId="45EF9AE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CCACAGTTTCCATGGTAGCAGA</w:t>
            </w:r>
          </w:p>
        </w:tc>
        <w:tc>
          <w:tcPr>
            <w:tcW w:w="726" w:type="dxa"/>
            <w:shd w:val="clear" w:color="auto" w:fill="auto"/>
            <w:noWrap/>
            <w:vAlign w:val="bottom"/>
            <w:hideMark/>
          </w:tcPr>
          <w:p w14:paraId="14163C94"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116</w:t>
            </w:r>
          </w:p>
        </w:tc>
        <w:tc>
          <w:tcPr>
            <w:tcW w:w="1453" w:type="dxa"/>
            <w:shd w:val="clear" w:color="auto" w:fill="auto"/>
            <w:noWrap/>
            <w:vAlign w:val="bottom"/>
            <w:hideMark/>
          </w:tcPr>
          <w:p w14:paraId="341EB722"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NM_001139694.1</w:t>
            </w:r>
          </w:p>
        </w:tc>
        <w:tc>
          <w:tcPr>
            <w:tcW w:w="1158" w:type="dxa"/>
            <w:shd w:val="clear" w:color="auto" w:fill="auto"/>
            <w:noWrap/>
            <w:vAlign w:val="bottom"/>
            <w:hideMark/>
          </w:tcPr>
          <w:p w14:paraId="3B61F21F"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88.5</w:t>
            </w:r>
          </w:p>
        </w:tc>
      </w:tr>
      <w:tr w:rsidR="00EE70EB" w:rsidRPr="00EE70EB" w14:paraId="2E0A81B1"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06C2BD07"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prdx6</w:t>
            </w:r>
          </w:p>
        </w:tc>
        <w:tc>
          <w:tcPr>
            <w:tcW w:w="4264" w:type="dxa"/>
            <w:shd w:val="clear" w:color="auto" w:fill="auto"/>
            <w:noWrap/>
            <w:vAlign w:val="center"/>
            <w:hideMark/>
          </w:tcPr>
          <w:p w14:paraId="77DA5F0D"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Peroxiredoxin 6</w:t>
            </w:r>
          </w:p>
        </w:tc>
        <w:tc>
          <w:tcPr>
            <w:tcW w:w="2593" w:type="dxa"/>
            <w:shd w:val="clear" w:color="auto" w:fill="auto"/>
            <w:noWrap/>
            <w:vAlign w:val="bottom"/>
            <w:hideMark/>
          </w:tcPr>
          <w:p w14:paraId="0F7D67B1"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GCGTTCATGTTGCATTTGTTGT</w:t>
            </w:r>
          </w:p>
        </w:tc>
        <w:tc>
          <w:tcPr>
            <w:tcW w:w="2717" w:type="dxa"/>
            <w:shd w:val="clear" w:color="auto" w:fill="auto"/>
            <w:noWrap/>
            <w:vAlign w:val="bottom"/>
            <w:hideMark/>
          </w:tcPr>
          <w:p w14:paraId="58FFAF6A"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CGCAATTAGAAGTAAGGCAGCA</w:t>
            </w:r>
          </w:p>
        </w:tc>
        <w:tc>
          <w:tcPr>
            <w:tcW w:w="726" w:type="dxa"/>
            <w:shd w:val="clear" w:color="auto" w:fill="auto"/>
            <w:noWrap/>
            <w:vAlign w:val="bottom"/>
            <w:hideMark/>
          </w:tcPr>
          <w:p w14:paraId="63F96599"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126</w:t>
            </w:r>
          </w:p>
        </w:tc>
        <w:tc>
          <w:tcPr>
            <w:tcW w:w="1453" w:type="dxa"/>
            <w:shd w:val="clear" w:color="auto" w:fill="auto"/>
            <w:noWrap/>
            <w:vAlign w:val="bottom"/>
            <w:hideMark/>
          </w:tcPr>
          <w:p w14:paraId="71BB9497"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BT047207.1</w:t>
            </w:r>
          </w:p>
        </w:tc>
        <w:tc>
          <w:tcPr>
            <w:tcW w:w="1158" w:type="dxa"/>
            <w:shd w:val="clear" w:color="auto" w:fill="auto"/>
            <w:noWrap/>
            <w:vAlign w:val="bottom"/>
            <w:hideMark/>
          </w:tcPr>
          <w:p w14:paraId="75ED5CB5"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92.5</w:t>
            </w:r>
          </w:p>
        </w:tc>
      </w:tr>
      <w:tr w:rsidR="00EE70EB" w:rsidRPr="00EE70EB" w14:paraId="3D24C4AD"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641E398B"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rraga</w:t>
            </w:r>
          </w:p>
        </w:tc>
        <w:tc>
          <w:tcPr>
            <w:tcW w:w="4264" w:type="dxa"/>
            <w:shd w:val="clear" w:color="auto" w:fill="auto"/>
            <w:noWrap/>
            <w:vAlign w:val="center"/>
            <w:hideMark/>
          </w:tcPr>
          <w:p w14:paraId="769265F4"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 xml:space="preserve">Ras-related GTP binding protein A </w:t>
            </w:r>
          </w:p>
        </w:tc>
        <w:tc>
          <w:tcPr>
            <w:tcW w:w="2593" w:type="dxa"/>
            <w:shd w:val="clear" w:color="auto" w:fill="auto"/>
            <w:noWrap/>
            <w:vAlign w:val="bottom"/>
            <w:hideMark/>
          </w:tcPr>
          <w:p w14:paraId="695E4763"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GTTGTAGTAAACTGGCAGCCTC</w:t>
            </w:r>
          </w:p>
        </w:tc>
        <w:tc>
          <w:tcPr>
            <w:tcW w:w="2717" w:type="dxa"/>
            <w:shd w:val="clear" w:color="auto" w:fill="auto"/>
            <w:noWrap/>
            <w:vAlign w:val="bottom"/>
            <w:hideMark/>
          </w:tcPr>
          <w:p w14:paraId="60E583A5"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TTAATGAGTGTGGCTGCAAAGG</w:t>
            </w:r>
          </w:p>
        </w:tc>
        <w:tc>
          <w:tcPr>
            <w:tcW w:w="726" w:type="dxa"/>
            <w:shd w:val="clear" w:color="auto" w:fill="auto"/>
            <w:noWrap/>
            <w:vAlign w:val="bottom"/>
            <w:hideMark/>
          </w:tcPr>
          <w:p w14:paraId="5FF8333F"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145</w:t>
            </w:r>
          </w:p>
        </w:tc>
        <w:tc>
          <w:tcPr>
            <w:tcW w:w="1453" w:type="dxa"/>
            <w:shd w:val="clear" w:color="auto" w:fill="auto"/>
            <w:noWrap/>
            <w:vAlign w:val="bottom"/>
            <w:hideMark/>
          </w:tcPr>
          <w:p w14:paraId="4FD2DDB7"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XM_014137442.1</w:t>
            </w:r>
          </w:p>
        </w:tc>
        <w:tc>
          <w:tcPr>
            <w:tcW w:w="1158" w:type="dxa"/>
            <w:shd w:val="clear" w:color="auto" w:fill="auto"/>
            <w:noWrap/>
            <w:vAlign w:val="bottom"/>
            <w:hideMark/>
          </w:tcPr>
          <w:p w14:paraId="2EF9B86C"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89.5</w:t>
            </w:r>
          </w:p>
        </w:tc>
      </w:tr>
      <w:tr w:rsidR="00EE70EB" w:rsidRPr="00EE70EB" w14:paraId="0D6FAAA6"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699F897"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serpinh1</w:t>
            </w:r>
          </w:p>
        </w:tc>
        <w:tc>
          <w:tcPr>
            <w:tcW w:w="4264" w:type="dxa"/>
            <w:shd w:val="clear" w:color="auto" w:fill="auto"/>
            <w:noWrap/>
            <w:vAlign w:val="center"/>
            <w:hideMark/>
          </w:tcPr>
          <w:p w14:paraId="1BE2873C"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Serpin H1</w:t>
            </w:r>
          </w:p>
        </w:tc>
        <w:tc>
          <w:tcPr>
            <w:tcW w:w="2593" w:type="dxa"/>
            <w:shd w:val="clear" w:color="auto" w:fill="auto"/>
            <w:noWrap/>
            <w:vAlign w:val="center"/>
            <w:hideMark/>
          </w:tcPr>
          <w:p w14:paraId="5C6ABC1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GACCATTCAAAAATCAACCTCA</w:t>
            </w:r>
          </w:p>
        </w:tc>
        <w:tc>
          <w:tcPr>
            <w:tcW w:w="2717" w:type="dxa"/>
            <w:shd w:val="clear" w:color="auto" w:fill="auto"/>
            <w:noWrap/>
            <w:vAlign w:val="center"/>
            <w:hideMark/>
          </w:tcPr>
          <w:p w14:paraId="05BFDB5D"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CATGGCTCCATCAGCATTCT</w:t>
            </w:r>
          </w:p>
        </w:tc>
        <w:tc>
          <w:tcPr>
            <w:tcW w:w="726" w:type="dxa"/>
            <w:shd w:val="clear" w:color="auto" w:fill="auto"/>
            <w:noWrap/>
            <w:vAlign w:val="bottom"/>
            <w:hideMark/>
          </w:tcPr>
          <w:p w14:paraId="2C4F3A0E"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129</w:t>
            </w:r>
          </w:p>
        </w:tc>
        <w:tc>
          <w:tcPr>
            <w:tcW w:w="1453" w:type="dxa"/>
            <w:shd w:val="clear" w:color="auto" w:fill="auto"/>
            <w:noWrap/>
            <w:vAlign w:val="center"/>
            <w:hideMark/>
          </w:tcPr>
          <w:p w14:paraId="7672F88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XM_014214963.1</w:t>
            </w:r>
          </w:p>
        </w:tc>
        <w:tc>
          <w:tcPr>
            <w:tcW w:w="1158" w:type="dxa"/>
            <w:shd w:val="clear" w:color="auto" w:fill="auto"/>
            <w:noWrap/>
            <w:vAlign w:val="bottom"/>
            <w:hideMark/>
          </w:tcPr>
          <w:p w14:paraId="7B372411"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92.0</w:t>
            </w:r>
          </w:p>
        </w:tc>
      </w:tr>
      <w:tr w:rsidR="00EE70EB" w:rsidRPr="00EE70EB" w14:paraId="7B64A92B"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0FF24932"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tapbp</w:t>
            </w:r>
          </w:p>
        </w:tc>
        <w:tc>
          <w:tcPr>
            <w:tcW w:w="4264" w:type="dxa"/>
            <w:shd w:val="clear" w:color="auto" w:fill="auto"/>
            <w:noWrap/>
            <w:vAlign w:val="center"/>
            <w:hideMark/>
          </w:tcPr>
          <w:p w14:paraId="5CEEC10E"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Tapasin</w:t>
            </w:r>
          </w:p>
        </w:tc>
        <w:tc>
          <w:tcPr>
            <w:tcW w:w="2593" w:type="dxa"/>
            <w:shd w:val="clear" w:color="auto" w:fill="auto"/>
            <w:noWrap/>
            <w:vAlign w:val="bottom"/>
            <w:hideMark/>
          </w:tcPr>
          <w:p w14:paraId="4E711146"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ATTCCCTGCTGCAATGATCCA</w:t>
            </w:r>
          </w:p>
        </w:tc>
        <w:tc>
          <w:tcPr>
            <w:tcW w:w="2717" w:type="dxa"/>
            <w:shd w:val="clear" w:color="auto" w:fill="auto"/>
            <w:noWrap/>
            <w:vAlign w:val="bottom"/>
            <w:hideMark/>
          </w:tcPr>
          <w:p w14:paraId="62B0867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CCTGCTGTGACTTGGTTTCTTC</w:t>
            </w:r>
          </w:p>
        </w:tc>
        <w:tc>
          <w:tcPr>
            <w:tcW w:w="726" w:type="dxa"/>
            <w:shd w:val="clear" w:color="auto" w:fill="auto"/>
            <w:noWrap/>
            <w:vAlign w:val="bottom"/>
            <w:hideMark/>
          </w:tcPr>
          <w:p w14:paraId="292278FD"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83</w:t>
            </w:r>
          </w:p>
        </w:tc>
        <w:tc>
          <w:tcPr>
            <w:tcW w:w="1453" w:type="dxa"/>
            <w:shd w:val="clear" w:color="auto" w:fill="auto"/>
            <w:noWrap/>
            <w:vAlign w:val="bottom"/>
            <w:hideMark/>
          </w:tcPr>
          <w:p w14:paraId="2A8856E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BT045317.1</w:t>
            </w:r>
          </w:p>
        </w:tc>
        <w:tc>
          <w:tcPr>
            <w:tcW w:w="1158" w:type="dxa"/>
            <w:shd w:val="clear" w:color="auto" w:fill="auto"/>
            <w:noWrap/>
            <w:vAlign w:val="bottom"/>
            <w:hideMark/>
          </w:tcPr>
          <w:p w14:paraId="1B0073BC"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90.0</w:t>
            </w:r>
          </w:p>
        </w:tc>
      </w:tr>
      <w:tr w:rsidR="00EE70EB" w:rsidRPr="00EE70EB" w14:paraId="29EE8FD7" w14:textId="77777777" w:rsidTr="00227697">
        <w:trPr>
          <w:cnfStyle w:val="000000100000" w:firstRow="0" w:lastRow="0" w:firstColumn="0" w:lastColumn="0" w:oddVBand="0" w:evenVBand="0" w:oddHBand="1" w:evenHBand="0" w:firstRowFirstColumn="0" w:firstRowLastColumn="0" w:lastRowFirstColumn="0" w:lastRowLastColumn="0"/>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1B82E8FD" w14:textId="0FF248D9"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tnfrsf6b</w:t>
            </w:r>
          </w:p>
        </w:tc>
        <w:tc>
          <w:tcPr>
            <w:tcW w:w="4264" w:type="dxa"/>
            <w:shd w:val="clear" w:color="auto" w:fill="auto"/>
            <w:noWrap/>
            <w:vAlign w:val="center"/>
            <w:hideMark/>
          </w:tcPr>
          <w:p w14:paraId="0830F3B3"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Tumor necrosis factor receptor superfamily member 6b</w:t>
            </w:r>
          </w:p>
        </w:tc>
        <w:tc>
          <w:tcPr>
            <w:tcW w:w="2593" w:type="dxa"/>
            <w:shd w:val="clear" w:color="auto" w:fill="auto"/>
            <w:noWrap/>
            <w:vAlign w:val="bottom"/>
            <w:hideMark/>
          </w:tcPr>
          <w:p w14:paraId="5901DFE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CAACTGTCCTAGACCTTCTCACA</w:t>
            </w:r>
          </w:p>
        </w:tc>
        <w:tc>
          <w:tcPr>
            <w:tcW w:w="2717" w:type="dxa"/>
            <w:shd w:val="clear" w:color="auto" w:fill="auto"/>
            <w:noWrap/>
            <w:vAlign w:val="bottom"/>
            <w:hideMark/>
          </w:tcPr>
          <w:p w14:paraId="37F8BFB9"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TGTCCAGGATATCATGCAATCGA</w:t>
            </w:r>
          </w:p>
        </w:tc>
        <w:tc>
          <w:tcPr>
            <w:tcW w:w="726" w:type="dxa"/>
            <w:shd w:val="clear" w:color="auto" w:fill="auto"/>
            <w:noWrap/>
            <w:vAlign w:val="bottom"/>
            <w:hideMark/>
          </w:tcPr>
          <w:p w14:paraId="5CDFE543"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87</w:t>
            </w:r>
          </w:p>
        </w:tc>
        <w:tc>
          <w:tcPr>
            <w:tcW w:w="1453" w:type="dxa"/>
            <w:shd w:val="clear" w:color="auto" w:fill="auto"/>
            <w:noWrap/>
            <w:vAlign w:val="bottom"/>
            <w:hideMark/>
          </w:tcPr>
          <w:p w14:paraId="146B1901"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XM_014136455.1</w:t>
            </w:r>
          </w:p>
        </w:tc>
        <w:tc>
          <w:tcPr>
            <w:tcW w:w="1158" w:type="dxa"/>
            <w:shd w:val="clear" w:color="auto" w:fill="auto"/>
            <w:noWrap/>
            <w:vAlign w:val="bottom"/>
            <w:hideMark/>
          </w:tcPr>
          <w:p w14:paraId="17E43C6B"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100.5</w:t>
            </w:r>
          </w:p>
        </w:tc>
      </w:tr>
      <w:tr w:rsidR="00EE70EB" w:rsidRPr="00EE70EB" w14:paraId="40934014"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shd w:val="clear" w:color="auto" w:fill="auto"/>
            <w:noWrap/>
            <w:vAlign w:val="center"/>
            <w:hideMark/>
          </w:tcPr>
          <w:p w14:paraId="40110312"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txn</w:t>
            </w:r>
          </w:p>
        </w:tc>
        <w:tc>
          <w:tcPr>
            <w:tcW w:w="4264" w:type="dxa"/>
            <w:shd w:val="clear" w:color="auto" w:fill="auto"/>
            <w:noWrap/>
            <w:vAlign w:val="center"/>
            <w:hideMark/>
          </w:tcPr>
          <w:p w14:paraId="67AFACD1"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Thioredoxin</w:t>
            </w:r>
          </w:p>
        </w:tc>
        <w:tc>
          <w:tcPr>
            <w:tcW w:w="2593" w:type="dxa"/>
            <w:shd w:val="clear" w:color="auto" w:fill="auto"/>
            <w:noWrap/>
            <w:vAlign w:val="bottom"/>
            <w:hideMark/>
          </w:tcPr>
          <w:p w14:paraId="5985C19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AGGATTCCTTCTTCATTGCCCT</w:t>
            </w:r>
          </w:p>
        </w:tc>
        <w:tc>
          <w:tcPr>
            <w:tcW w:w="2717" w:type="dxa"/>
            <w:shd w:val="clear" w:color="auto" w:fill="auto"/>
            <w:noWrap/>
            <w:vAlign w:val="bottom"/>
            <w:hideMark/>
          </w:tcPr>
          <w:p w14:paraId="7B618F41"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TTCCGACAGCCCTTTGAAGAA</w:t>
            </w:r>
          </w:p>
        </w:tc>
        <w:tc>
          <w:tcPr>
            <w:tcW w:w="726" w:type="dxa"/>
            <w:shd w:val="clear" w:color="auto" w:fill="auto"/>
            <w:noWrap/>
            <w:vAlign w:val="bottom"/>
            <w:hideMark/>
          </w:tcPr>
          <w:p w14:paraId="68C1AE0B"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119</w:t>
            </w:r>
          </w:p>
        </w:tc>
        <w:tc>
          <w:tcPr>
            <w:tcW w:w="1453" w:type="dxa"/>
            <w:shd w:val="clear" w:color="auto" w:fill="auto"/>
            <w:noWrap/>
            <w:vAlign w:val="bottom"/>
            <w:hideMark/>
          </w:tcPr>
          <w:p w14:paraId="693EB888"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BT125521.1</w:t>
            </w:r>
          </w:p>
        </w:tc>
        <w:tc>
          <w:tcPr>
            <w:tcW w:w="1158" w:type="dxa"/>
            <w:shd w:val="clear" w:color="auto" w:fill="auto"/>
            <w:noWrap/>
            <w:vAlign w:val="bottom"/>
            <w:hideMark/>
          </w:tcPr>
          <w:p w14:paraId="1EE133F7"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103.5</w:t>
            </w:r>
          </w:p>
        </w:tc>
      </w:tr>
      <w:tr w:rsidR="00EE70EB" w:rsidRPr="00EE70EB" w14:paraId="7147518B" w14:textId="77777777" w:rsidTr="00227697">
        <w:trPr>
          <w:cnfStyle w:val="000000100000" w:firstRow="0" w:lastRow="0" w:firstColumn="0" w:lastColumn="0" w:oddVBand="0" w:evenVBand="0" w:oddHBand="1" w:evenHBand="0" w:firstRowFirstColumn="0" w:firstRowLastColumn="0" w:lastRowFirstColumn="0" w:lastRowLastColumn="0"/>
          <w:trHeight w:val="120"/>
          <w:jc w:val="center"/>
        </w:trPr>
        <w:tc>
          <w:tcPr>
            <w:cnfStyle w:val="001000000000" w:firstRow="0" w:lastRow="0" w:firstColumn="1" w:lastColumn="0" w:oddVBand="0" w:evenVBand="0" w:oddHBand="0" w:evenHBand="0" w:firstRowFirstColumn="0" w:firstRowLastColumn="0" w:lastRowFirstColumn="0" w:lastRowLastColumn="0"/>
            <w:tcW w:w="1123" w:type="dxa"/>
            <w:tcBorders>
              <w:bottom w:val="dashSmallGap" w:sz="4" w:space="0" w:color="auto"/>
            </w:tcBorders>
            <w:shd w:val="clear" w:color="auto" w:fill="auto"/>
            <w:noWrap/>
            <w:vAlign w:val="center"/>
            <w:hideMark/>
          </w:tcPr>
          <w:p w14:paraId="6C0E25B1" w14:textId="77777777"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ucp2</w:t>
            </w:r>
          </w:p>
        </w:tc>
        <w:tc>
          <w:tcPr>
            <w:tcW w:w="4264" w:type="dxa"/>
            <w:tcBorders>
              <w:bottom w:val="dashSmallGap" w:sz="4" w:space="0" w:color="auto"/>
            </w:tcBorders>
            <w:shd w:val="clear" w:color="auto" w:fill="auto"/>
            <w:noWrap/>
            <w:vAlign w:val="center"/>
            <w:hideMark/>
          </w:tcPr>
          <w:p w14:paraId="75C8DCC0"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Mitochondrial uncoupling protein 2</w:t>
            </w:r>
          </w:p>
        </w:tc>
        <w:tc>
          <w:tcPr>
            <w:tcW w:w="2593" w:type="dxa"/>
            <w:tcBorders>
              <w:bottom w:val="dashSmallGap" w:sz="4" w:space="0" w:color="auto"/>
            </w:tcBorders>
            <w:shd w:val="clear" w:color="auto" w:fill="auto"/>
            <w:noWrap/>
            <w:vAlign w:val="bottom"/>
            <w:hideMark/>
          </w:tcPr>
          <w:p w14:paraId="35C9AFDB"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CTGATCTCTGCCGTCACCAT</w:t>
            </w:r>
          </w:p>
        </w:tc>
        <w:tc>
          <w:tcPr>
            <w:tcW w:w="2717" w:type="dxa"/>
            <w:tcBorders>
              <w:bottom w:val="dashSmallGap" w:sz="4" w:space="0" w:color="auto"/>
            </w:tcBorders>
            <w:shd w:val="clear" w:color="auto" w:fill="auto"/>
            <w:noWrap/>
            <w:vAlign w:val="bottom"/>
            <w:hideMark/>
          </w:tcPr>
          <w:p w14:paraId="156C3303"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AGAAGACTGATGAGGTGAAGACA</w:t>
            </w:r>
          </w:p>
        </w:tc>
        <w:tc>
          <w:tcPr>
            <w:tcW w:w="726" w:type="dxa"/>
            <w:tcBorders>
              <w:bottom w:val="dashSmallGap" w:sz="4" w:space="0" w:color="auto"/>
            </w:tcBorders>
            <w:shd w:val="clear" w:color="auto" w:fill="auto"/>
            <w:noWrap/>
            <w:vAlign w:val="bottom"/>
            <w:hideMark/>
          </w:tcPr>
          <w:p w14:paraId="72EDB462"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89</w:t>
            </w:r>
          </w:p>
        </w:tc>
        <w:tc>
          <w:tcPr>
            <w:tcW w:w="1453" w:type="dxa"/>
            <w:tcBorders>
              <w:bottom w:val="dashSmallGap" w:sz="4" w:space="0" w:color="auto"/>
            </w:tcBorders>
            <w:shd w:val="clear" w:color="auto" w:fill="auto"/>
            <w:noWrap/>
            <w:vAlign w:val="bottom"/>
            <w:hideMark/>
          </w:tcPr>
          <w:p w14:paraId="242DF995"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XM_014196911.1</w:t>
            </w:r>
          </w:p>
        </w:tc>
        <w:tc>
          <w:tcPr>
            <w:tcW w:w="1158" w:type="dxa"/>
            <w:tcBorders>
              <w:bottom w:val="dashSmallGap" w:sz="4" w:space="0" w:color="auto"/>
            </w:tcBorders>
            <w:shd w:val="clear" w:color="auto" w:fill="auto"/>
            <w:noWrap/>
            <w:vAlign w:val="bottom"/>
            <w:hideMark/>
          </w:tcPr>
          <w:p w14:paraId="4B1149C1"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val="en-US"/>
              </w:rPr>
            </w:pPr>
            <w:r w:rsidRPr="00EE70EB">
              <w:rPr>
                <w:rFonts w:ascii="Times New Roman" w:eastAsia="Times New Roman" w:hAnsi="Times New Roman" w:cs="Times New Roman"/>
                <w:sz w:val="16"/>
                <w:szCs w:val="16"/>
                <w:lang w:val="en-US"/>
              </w:rPr>
              <w:t>87.5</w:t>
            </w:r>
          </w:p>
        </w:tc>
      </w:tr>
      <w:tr w:rsidR="00EE70EB" w:rsidRPr="00EE70EB" w14:paraId="302CC996" w14:textId="77777777" w:rsidTr="00227697">
        <w:trPr>
          <w:trHeight w:val="111"/>
          <w:jc w:val="center"/>
        </w:trPr>
        <w:tc>
          <w:tcPr>
            <w:cnfStyle w:val="001000000000" w:firstRow="0" w:lastRow="0" w:firstColumn="1" w:lastColumn="0" w:oddVBand="0" w:evenVBand="0" w:oddHBand="0" w:evenHBand="0" w:firstRowFirstColumn="0" w:firstRowLastColumn="0" w:lastRowFirstColumn="0" w:lastRowLastColumn="0"/>
            <w:tcW w:w="1123" w:type="dxa"/>
            <w:tcBorders>
              <w:top w:val="dashSmallGap" w:sz="4" w:space="0" w:color="auto"/>
            </w:tcBorders>
            <w:shd w:val="clear" w:color="auto" w:fill="auto"/>
            <w:noWrap/>
            <w:vAlign w:val="bottom"/>
            <w:hideMark/>
          </w:tcPr>
          <w:p w14:paraId="581038EE" w14:textId="3BA59DF9"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eif3d</w:t>
            </w:r>
            <w:r w:rsidR="007A411C" w:rsidRPr="004036BF">
              <w:rPr>
                <w:rFonts w:ascii="Times New Roman" w:hAnsi="Times New Roman"/>
                <w:b/>
                <w:sz w:val="16"/>
                <w:szCs w:val="16"/>
                <w:vertAlign w:val="superscript"/>
                <w:lang w:val="en-US"/>
              </w:rPr>
              <w:t>4</w:t>
            </w:r>
          </w:p>
        </w:tc>
        <w:tc>
          <w:tcPr>
            <w:tcW w:w="4264" w:type="dxa"/>
            <w:tcBorders>
              <w:top w:val="dashSmallGap" w:sz="4" w:space="0" w:color="auto"/>
            </w:tcBorders>
            <w:shd w:val="clear" w:color="auto" w:fill="auto"/>
            <w:noWrap/>
            <w:vAlign w:val="center"/>
            <w:hideMark/>
          </w:tcPr>
          <w:p w14:paraId="0164F0FC" w14:textId="77777777" w:rsidR="00EE70EB" w:rsidRPr="004036BF"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 xml:space="preserve">Eukaryotic translation initiation factor 3 subunit D </w:t>
            </w:r>
          </w:p>
        </w:tc>
        <w:tc>
          <w:tcPr>
            <w:tcW w:w="2593" w:type="dxa"/>
            <w:tcBorders>
              <w:top w:val="dashSmallGap" w:sz="4" w:space="0" w:color="auto"/>
            </w:tcBorders>
            <w:shd w:val="clear" w:color="auto" w:fill="auto"/>
            <w:noWrap/>
            <w:vAlign w:val="center"/>
            <w:hideMark/>
          </w:tcPr>
          <w:p w14:paraId="187DA3F4"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CTCCTCCTCCTCGTCCTCTT</w:t>
            </w:r>
          </w:p>
        </w:tc>
        <w:tc>
          <w:tcPr>
            <w:tcW w:w="2717" w:type="dxa"/>
            <w:tcBorders>
              <w:top w:val="dashSmallGap" w:sz="4" w:space="0" w:color="auto"/>
            </w:tcBorders>
            <w:shd w:val="clear" w:color="auto" w:fill="auto"/>
            <w:noWrap/>
            <w:vAlign w:val="center"/>
            <w:hideMark/>
          </w:tcPr>
          <w:p w14:paraId="27078828"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GACCCCAACAAGCAAGTGAT</w:t>
            </w:r>
          </w:p>
        </w:tc>
        <w:tc>
          <w:tcPr>
            <w:tcW w:w="726" w:type="dxa"/>
            <w:tcBorders>
              <w:top w:val="dashSmallGap" w:sz="4" w:space="0" w:color="auto"/>
            </w:tcBorders>
            <w:shd w:val="clear" w:color="auto" w:fill="auto"/>
            <w:noWrap/>
            <w:vAlign w:val="center"/>
            <w:hideMark/>
          </w:tcPr>
          <w:p w14:paraId="66FF3491"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105</w:t>
            </w:r>
          </w:p>
        </w:tc>
        <w:tc>
          <w:tcPr>
            <w:tcW w:w="1453" w:type="dxa"/>
            <w:tcBorders>
              <w:top w:val="dashSmallGap" w:sz="4" w:space="0" w:color="auto"/>
            </w:tcBorders>
            <w:shd w:val="clear" w:color="auto" w:fill="auto"/>
            <w:vAlign w:val="center"/>
            <w:hideMark/>
          </w:tcPr>
          <w:p w14:paraId="6790928D" w14:textId="77777777" w:rsidR="00EE70EB" w:rsidRPr="00EE70EB" w:rsidRDefault="00EE70EB" w:rsidP="00EE70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GE777139</w:t>
            </w:r>
          </w:p>
        </w:tc>
        <w:tc>
          <w:tcPr>
            <w:tcW w:w="1158" w:type="dxa"/>
            <w:tcBorders>
              <w:top w:val="dashSmallGap" w:sz="4" w:space="0" w:color="auto"/>
            </w:tcBorders>
            <w:shd w:val="clear" w:color="auto" w:fill="auto"/>
            <w:noWrap/>
            <w:vAlign w:val="bottom"/>
            <w:hideMark/>
          </w:tcPr>
          <w:p w14:paraId="7E4ECD74" w14:textId="77777777" w:rsidR="00EE70EB" w:rsidRPr="00EE70EB" w:rsidRDefault="00EE70EB" w:rsidP="00EE70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91.5</w:t>
            </w:r>
          </w:p>
        </w:tc>
      </w:tr>
      <w:tr w:rsidR="00EE70EB" w:rsidRPr="00EE70EB" w14:paraId="5B472D91" w14:textId="77777777" w:rsidTr="00227697">
        <w:trPr>
          <w:cnfStyle w:val="000000100000" w:firstRow="0" w:lastRow="0" w:firstColumn="0" w:lastColumn="0" w:oddVBand="0" w:evenVBand="0" w:oddHBand="1" w:evenHBand="0" w:firstRowFirstColumn="0" w:firstRowLastColumn="0" w:lastRowFirstColumn="0" w:lastRowLastColumn="0"/>
          <w:trHeight w:val="120"/>
          <w:jc w:val="center"/>
        </w:trPr>
        <w:tc>
          <w:tcPr>
            <w:cnfStyle w:val="001000000000" w:firstRow="0" w:lastRow="0" w:firstColumn="1" w:lastColumn="0" w:oddVBand="0" w:evenVBand="0" w:oddHBand="0" w:evenHBand="0" w:firstRowFirstColumn="0" w:firstRowLastColumn="0" w:lastRowFirstColumn="0" w:lastRowLastColumn="0"/>
            <w:tcW w:w="1123" w:type="dxa"/>
            <w:tcBorders>
              <w:bottom w:val="single" w:sz="12" w:space="0" w:color="auto"/>
            </w:tcBorders>
            <w:shd w:val="clear" w:color="auto" w:fill="auto"/>
            <w:vAlign w:val="center"/>
            <w:hideMark/>
          </w:tcPr>
          <w:p w14:paraId="413E4F71" w14:textId="357A3058" w:rsidR="00EE70EB" w:rsidRPr="004036BF" w:rsidRDefault="00EE70EB" w:rsidP="00EE70EB">
            <w:pPr>
              <w:jc w:val="left"/>
              <w:rPr>
                <w:rFonts w:ascii="Times New Roman" w:eastAsia="Times New Roman" w:hAnsi="Times New Roman"/>
                <w:b/>
                <w:sz w:val="16"/>
                <w:szCs w:val="16"/>
                <w:lang w:val="en-US"/>
              </w:rPr>
            </w:pPr>
            <w:r w:rsidRPr="004036BF">
              <w:rPr>
                <w:rFonts w:ascii="Times New Roman" w:eastAsia="Times New Roman" w:hAnsi="Times New Roman"/>
                <w:b/>
                <w:sz w:val="16"/>
                <w:szCs w:val="16"/>
                <w:lang w:val="en-US"/>
              </w:rPr>
              <w:t>rpl32</w:t>
            </w:r>
            <w:r w:rsidR="007A411C" w:rsidRPr="004036BF">
              <w:rPr>
                <w:rFonts w:ascii="Times New Roman" w:hAnsi="Times New Roman"/>
                <w:b/>
                <w:sz w:val="16"/>
                <w:szCs w:val="16"/>
                <w:vertAlign w:val="superscript"/>
                <w:lang w:val="en-US"/>
              </w:rPr>
              <w:t>4</w:t>
            </w:r>
          </w:p>
        </w:tc>
        <w:tc>
          <w:tcPr>
            <w:tcW w:w="4264" w:type="dxa"/>
            <w:tcBorders>
              <w:bottom w:val="single" w:sz="12" w:space="0" w:color="auto"/>
            </w:tcBorders>
            <w:shd w:val="clear" w:color="auto" w:fill="auto"/>
            <w:noWrap/>
            <w:vAlign w:val="bottom"/>
            <w:hideMark/>
          </w:tcPr>
          <w:p w14:paraId="0E7A74A0" w14:textId="77777777" w:rsidR="00EE70EB" w:rsidRPr="004036BF"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4036BF">
              <w:rPr>
                <w:rFonts w:ascii="Times New Roman" w:eastAsia="Times New Roman" w:hAnsi="Times New Roman" w:cs="Times New Roman"/>
                <w:sz w:val="16"/>
                <w:szCs w:val="16"/>
                <w:lang w:val="en-US"/>
              </w:rPr>
              <w:t>60S ribosomal protein 32</w:t>
            </w:r>
          </w:p>
        </w:tc>
        <w:tc>
          <w:tcPr>
            <w:tcW w:w="2593" w:type="dxa"/>
            <w:tcBorders>
              <w:bottom w:val="single" w:sz="12" w:space="0" w:color="auto"/>
            </w:tcBorders>
            <w:shd w:val="clear" w:color="auto" w:fill="auto"/>
            <w:noWrap/>
            <w:vAlign w:val="center"/>
            <w:hideMark/>
          </w:tcPr>
          <w:p w14:paraId="0AD8D80C"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AGGCGGTTTAAGGGTCAGAT</w:t>
            </w:r>
          </w:p>
        </w:tc>
        <w:tc>
          <w:tcPr>
            <w:tcW w:w="2717" w:type="dxa"/>
            <w:tcBorders>
              <w:bottom w:val="single" w:sz="12" w:space="0" w:color="auto"/>
            </w:tcBorders>
            <w:shd w:val="clear" w:color="auto" w:fill="auto"/>
            <w:noWrap/>
            <w:vAlign w:val="center"/>
            <w:hideMark/>
          </w:tcPr>
          <w:p w14:paraId="3BE5077F"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6"/>
                <w:szCs w:val="16"/>
                <w:lang w:val="en-US"/>
              </w:rPr>
            </w:pPr>
            <w:r w:rsidRPr="00EE70EB">
              <w:rPr>
                <w:rFonts w:ascii="Courier New" w:eastAsia="Times New Roman" w:hAnsi="Courier New" w:cs="Courier New"/>
                <w:sz w:val="16"/>
                <w:szCs w:val="16"/>
                <w:lang w:val="en-US"/>
              </w:rPr>
              <w:t>TCGAGCTCCTTGATGTTGTG</w:t>
            </w:r>
          </w:p>
        </w:tc>
        <w:tc>
          <w:tcPr>
            <w:tcW w:w="726" w:type="dxa"/>
            <w:tcBorders>
              <w:bottom w:val="single" w:sz="12" w:space="0" w:color="auto"/>
            </w:tcBorders>
            <w:shd w:val="clear" w:color="auto" w:fill="auto"/>
            <w:noWrap/>
            <w:vAlign w:val="center"/>
            <w:hideMark/>
          </w:tcPr>
          <w:p w14:paraId="5C5D6362"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119</w:t>
            </w:r>
          </w:p>
        </w:tc>
        <w:tc>
          <w:tcPr>
            <w:tcW w:w="1453" w:type="dxa"/>
            <w:tcBorders>
              <w:bottom w:val="single" w:sz="12" w:space="0" w:color="auto"/>
            </w:tcBorders>
            <w:shd w:val="clear" w:color="auto" w:fill="auto"/>
            <w:noWrap/>
            <w:vAlign w:val="center"/>
            <w:hideMark/>
          </w:tcPr>
          <w:p w14:paraId="05BA950D" w14:textId="77777777" w:rsidR="00EE70EB" w:rsidRPr="00EE70EB" w:rsidRDefault="00EE70EB" w:rsidP="00EE70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BT043656</w:t>
            </w:r>
          </w:p>
        </w:tc>
        <w:tc>
          <w:tcPr>
            <w:tcW w:w="1158" w:type="dxa"/>
            <w:tcBorders>
              <w:bottom w:val="single" w:sz="12" w:space="0" w:color="auto"/>
            </w:tcBorders>
            <w:shd w:val="clear" w:color="auto" w:fill="auto"/>
            <w:noWrap/>
            <w:vAlign w:val="bottom"/>
            <w:hideMark/>
          </w:tcPr>
          <w:p w14:paraId="05099288" w14:textId="77777777" w:rsidR="00EE70EB" w:rsidRPr="00EE70EB" w:rsidRDefault="00EE70EB" w:rsidP="00EE70E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en-US"/>
              </w:rPr>
            </w:pPr>
            <w:r w:rsidRPr="00EE70EB">
              <w:rPr>
                <w:rFonts w:ascii="Times New Roman" w:eastAsia="Times New Roman" w:hAnsi="Times New Roman" w:cs="Times New Roman"/>
                <w:sz w:val="16"/>
                <w:szCs w:val="16"/>
                <w:lang w:val="en-US"/>
              </w:rPr>
              <w:t>95.5</w:t>
            </w:r>
          </w:p>
        </w:tc>
      </w:tr>
    </w:tbl>
    <w:p w14:paraId="52C9627E" w14:textId="77777777" w:rsidR="00EE70EB" w:rsidRDefault="00EE70EB" w:rsidP="00EE70EB">
      <w:pPr>
        <w:spacing w:before="120" w:after="120" w:line="240" w:lineRule="auto"/>
        <w:contextualSpacing/>
        <w:jc w:val="both"/>
        <w:rPr>
          <w:rFonts w:ascii="Times New Roman" w:eastAsia="Calibri" w:hAnsi="Times New Roman" w:cs="Arial"/>
          <w:vertAlign w:val="superscript"/>
          <w:lang w:val="en-GB"/>
        </w:rPr>
      </w:pPr>
    </w:p>
    <w:p w14:paraId="54ABFC6D" w14:textId="12D46247" w:rsidR="00EE70EB" w:rsidRPr="00714D3D" w:rsidRDefault="00EE70EB" w:rsidP="00737A1F">
      <w:pPr>
        <w:spacing w:before="120" w:after="120" w:line="276" w:lineRule="auto"/>
        <w:contextualSpacing/>
        <w:jc w:val="both"/>
        <w:rPr>
          <w:rFonts w:ascii="Times New Roman" w:eastAsia="Calibri" w:hAnsi="Times New Roman" w:cs="Arial"/>
          <w:lang w:val="en-GB"/>
        </w:rPr>
      </w:pPr>
      <w:r w:rsidRPr="00EE70EB">
        <w:rPr>
          <w:rFonts w:ascii="Times New Roman" w:eastAsia="Calibri" w:hAnsi="Times New Roman" w:cs="Arial"/>
          <w:vertAlign w:val="superscript"/>
          <w:lang w:val="en-GB"/>
        </w:rPr>
        <w:lastRenderedPageBreak/>
        <w:t>1</w:t>
      </w:r>
      <w:r w:rsidRPr="00EE70EB">
        <w:rPr>
          <w:rFonts w:ascii="Times New Roman" w:eastAsia="Calibri" w:hAnsi="Times New Roman" w:cs="Arial"/>
          <w:lang w:val="en-GB"/>
        </w:rPr>
        <w:t xml:space="preserve"> </w:t>
      </w:r>
      <w:r w:rsidRPr="00714D3D">
        <w:rPr>
          <w:rFonts w:ascii="Times New Roman" w:eastAsia="Calibri" w:hAnsi="Times New Roman" w:cs="Arial"/>
          <w:lang w:val="en-GB"/>
        </w:rPr>
        <w:t xml:space="preserve">Primers established within the Genomic Applications Partnership Program (GAPP </w:t>
      </w:r>
      <w:r w:rsidRPr="00714D3D">
        <w:rPr>
          <w:rFonts w:ascii="Times New Roman" w:eastAsia="Calibri" w:hAnsi="Times New Roman" w:cs="Arial"/>
          <w:vertAlign w:val="superscript"/>
          <w:lang w:val="en-GB"/>
        </w:rPr>
        <w:t>#</w:t>
      </w:r>
      <w:r w:rsidRPr="00714D3D">
        <w:rPr>
          <w:rFonts w:ascii="Times New Roman" w:eastAsia="Calibri" w:hAnsi="Times New Roman" w:cs="Arial"/>
          <w:lang w:val="en-GB"/>
        </w:rPr>
        <w:t>6604) and quality-tested again using the reference cDNA</w:t>
      </w:r>
    </w:p>
    <w:p w14:paraId="64FFB8E3" w14:textId="0FE3178E" w:rsidR="00EE70EB" w:rsidRPr="00714D3D" w:rsidRDefault="00EE70EB" w:rsidP="00737A1F">
      <w:pPr>
        <w:spacing w:before="240" w:after="240" w:line="276" w:lineRule="auto"/>
        <w:contextualSpacing/>
        <w:jc w:val="both"/>
        <w:rPr>
          <w:rFonts w:ascii="Times New Roman" w:eastAsia="Calibri" w:hAnsi="Times New Roman" w:cs="Arial"/>
          <w:lang w:val="en-GB"/>
        </w:rPr>
      </w:pPr>
      <w:r w:rsidRPr="00714D3D">
        <w:rPr>
          <w:rFonts w:ascii="Times New Roman" w:eastAsia="Calibri" w:hAnsi="Times New Roman" w:cs="Arial"/>
          <w:lang w:val="en-GB"/>
        </w:rPr>
        <w:t xml:space="preserve">  template of the present study </w:t>
      </w:r>
      <w:r w:rsidRPr="00714D3D">
        <w:rPr>
          <w:rFonts w:ascii="Times New Roman" w:eastAsia="SimSun" w:hAnsi="Times New Roman" w:cs="Times New Roman"/>
          <w:lang w:val="en-US"/>
        </w:rPr>
        <w:t xml:space="preserve">(see </w:t>
      </w:r>
      <w:r w:rsidR="00737A1F" w:rsidRPr="00714D3D">
        <w:rPr>
          <w:rFonts w:ascii="Times New Roman" w:eastAsia="SimSun" w:hAnsi="Times New Roman" w:cs="Times New Roman"/>
          <w:lang w:val="en-US"/>
        </w:rPr>
        <w:t xml:space="preserve">Additional file </w:t>
      </w:r>
      <w:r w:rsidR="00BD3114">
        <w:rPr>
          <w:rFonts w:ascii="Times New Roman" w:eastAsia="SimSun" w:hAnsi="Times New Roman" w:cs="Times New Roman"/>
          <w:lang w:val="en-US"/>
        </w:rPr>
        <w:t>3</w:t>
      </w:r>
      <w:r w:rsidRPr="00714D3D">
        <w:rPr>
          <w:rFonts w:ascii="Times New Roman" w:eastAsia="SimSun" w:hAnsi="Times New Roman" w:cs="Times New Roman"/>
          <w:lang w:val="en-US"/>
        </w:rPr>
        <w:t>)</w:t>
      </w:r>
      <w:r w:rsidRPr="00714D3D">
        <w:rPr>
          <w:rFonts w:ascii="Times New Roman" w:eastAsia="Calibri" w:hAnsi="Times New Roman" w:cs="Arial"/>
          <w:lang w:val="en-GB"/>
        </w:rPr>
        <w:t>.</w:t>
      </w:r>
    </w:p>
    <w:p w14:paraId="4164CDC2" w14:textId="5696E82A" w:rsidR="00EE70EB" w:rsidRPr="00714D3D" w:rsidRDefault="00EE70EB" w:rsidP="00737A1F">
      <w:pPr>
        <w:spacing w:before="240" w:after="240" w:line="276" w:lineRule="auto"/>
        <w:contextualSpacing/>
        <w:jc w:val="both"/>
        <w:rPr>
          <w:rFonts w:ascii="Times New Roman" w:eastAsia="Calibri" w:hAnsi="Times New Roman" w:cs="Arial"/>
          <w:lang w:val="en-GB"/>
        </w:rPr>
      </w:pPr>
      <w:r w:rsidRPr="00714D3D">
        <w:rPr>
          <w:rFonts w:ascii="Times New Roman" w:eastAsia="Calibri" w:hAnsi="Times New Roman" w:cs="Arial"/>
          <w:vertAlign w:val="superscript"/>
          <w:lang w:val="en-GB"/>
        </w:rPr>
        <w:t>2</w:t>
      </w:r>
      <w:r w:rsidRPr="00714D3D">
        <w:rPr>
          <w:rFonts w:ascii="Times New Roman" w:eastAsia="Calibri" w:hAnsi="Times New Roman" w:cs="Arial"/>
          <w:lang w:val="en-GB"/>
        </w:rPr>
        <w:t xml:space="preserve"> Primers previously published in </w:t>
      </w:r>
      <w:r w:rsidRPr="00714D3D">
        <w:rPr>
          <w:rFonts w:ascii="Times New Roman" w:eastAsia="Calibri" w:hAnsi="Times New Roman" w:cs="Arial"/>
          <w:lang w:val="en-GB"/>
        </w:rPr>
        <w:fldChar w:fldCharType="begin" w:fldLock="1"/>
      </w:r>
      <w:r w:rsidR="00E95295" w:rsidRPr="00714D3D">
        <w:rPr>
          <w:rFonts w:ascii="Times New Roman" w:eastAsia="Calibri" w:hAnsi="Times New Roman" w:cs="Arial"/>
          <w:lang w:val="en-GB"/>
        </w:rPr>
        <w:instrText>ADDIN CSL_CITATION {"citationItems":[{"id":"ITEM-1","itemData":{"DOI":"10.1186/s12864-018-5188-6","ISSN":"1471-2164","author":[{"dropping-particle":"","family":"Caballero-Solares","given":"Albert","non-dropping-particle":"","parse-names":false,"suffix":""},{"dropping-particle":"","family":"Xue","given":"Xi","non-dropping-particle":"","parse-names":false,"suffix":""},{"dropping-particle":"","family":"Parrish","given":"Christopher C","non-dropping-particle":"","parse-names":false,"suffix":""},{"dropping-particle":"","family":"Foroutani","given":"Maryam Beheshti","non-dropping-particle":"","parse-names":false,"suffix":""},{"dropping-particle":"","family":"Taylor","given":"Richard G","non-dropping-particle":"","parse-names":false,"suffix":""},{"dropping-particle":"","family":"Rise","given":"Matthew L","non-dropping-particle":"","parse-names":false,"suffix":""}],"container-title":"BMC Genomics","id":"ITEM-1","issue":"1","issued":{"date-parts":[["2018","12","3"]]},"page":"796","publisher":"Springer","title":"Changes in the liver transcriptome of farmed Atlantic salmon (Salmo salar) fed experimental diets based on terrestrial alternatives to fish meal and fish oil","type":"article-journal","volume":"19"},"uris":["http://www.mendeley.com/documents/?uuid=631f3674-55bb-4926-aec6-c6ab66055708"]}],"mendeley":{"formattedCitation":"[1]","manualFormatting":"Caballero-Solares et al. ","plainTextFormattedCitation":"[1]","previouslyFormattedCitation":"[1]"},"properties":{"noteIndex":0},"schema":"https://github.com/citation-style-language/schema/raw/master/csl-citation.json"}</w:instrText>
      </w:r>
      <w:r w:rsidRPr="00714D3D">
        <w:rPr>
          <w:rFonts w:ascii="Times New Roman" w:eastAsia="Calibri" w:hAnsi="Times New Roman" w:cs="Arial"/>
          <w:lang w:val="en-GB"/>
        </w:rPr>
        <w:fldChar w:fldCharType="separate"/>
      </w:r>
      <w:r w:rsidRPr="00714D3D">
        <w:rPr>
          <w:rFonts w:ascii="Times New Roman" w:eastAsia="Calibri" w:hAnsi="Times New Roman" w:cs="Arial"/>
          <w:noProof/>
          <w:lang w:val="en-GB"/>
        </w:rPr>
        <w:t xml:space="preserve">Caballero-Solares et al. </w:t>
      </w:r>
      <w:r w:rsidRPr="00714D3D">
        <w:rPr>
          <w:rFonts w:ascii="Times New Roman" w:eastAsia="Calibri" w:hAnsi="Times New Roman" w:cs="Arial"/>
          <w:lang w:val="en-GB"/>
        </w:rPr>
        <w:fldChar w:fldCharType="end"/>
      </w:r>
      <w:r w:rsidR="00E95295" w:rsidRPr="00714D3D">
        <w:rPr>
          <w:rFonts w:ascii="Times New Roman" w:eastAsia="Calibri" w:hAnsi="Times New Roman" w:cs="Arial"/>
          <w:lang w:val="en-GB"/>
        </w:rPr>
        <w:fldChar w:fldCharType="begin" w:fldLock="1"/>
      </w:r>
      <w:r w:rsidR="005F4DC7" w:rsidRPr="00714D3D">
        <w:rPr>
          <w:rFonts w:ascii="Times New Roman" w:eastAsia="Calibri" w:hAnsi="Times New Roman" w:cs="Arial"/>
          <w:lang w:val="en-GB"/>
        </w:rPr>
        <w:instrText>ADDIN CSL_CITATION {"citationItems":[{"id":"ITEM-1","itemData":{"DOI":"10.1186/s12864-018-5188-6","ISSN":"1471-2164","author":[{"dropping-particle":"","family":"Caballero-Solares","given":"Albert","non-dropping-particle":"","parse-names":false,"suffix":""},{"dropping-particle":"","family":"Xue","given":"Xi","non-dropping-particle":"","parse-names":false,"suffix":""},{"dropping-particle":"","family":"Parrish","given":"Christopher C","non-dropping-particle":"","parse-names":false,"suffix":""},{"dropping-particle":"","family":"Foroutani","given":"Maryam Beheshti","non-dropping-particle":"","parse-names":false,"suffix":""},{"dropping-particle":"","family":"Taylor","given":"Richard G","non-dropping-particle":"","parse-names":false,"suffix":""},{"dropping-particle":"","family":"Rise","given":"Matthew L","non-dropping-particle":"","parse-names":false,"suffix":""}],"container-title":"BMC Genomics","id":"ITEM-1","issue":"1","issued":{"date-parts":[["2018","12","3"]]},"page":"796","publisher":"Springer","title":"Changes in the liver transcriptome of farmed Atlantic salmon (Salmo salar) fed experimental diets based on terrestrial alternatives to fish meal and fish oil","type":"article-journal","volume":"19"},"uris":["http://www.mendeley.com/documents/?uuid=631f3674-55bb-4926-aec6-c6ab66055708"]}],"mendeley":{"formattedCitation":"[1]","plainTextFormattedCitation":"[1]","previouslyFormattedCitation":"[1]"},"properties":{"noteIndex":0},"schema":"https://github.com/citation-style-language/schema/raw/master/csl-citation.json"}</w:instrText>
      </w:r>
      <w:r w:rsidR="00E95295" w:rsidRPr="00714D3D">
        <w:rPr>
          <w:rFonts w:ascii="Times New Roman" w:eastAsia="Calibri" w:hAnsi="Times New Roman" w:cs="Arial"/>
          <w:lang w:val="en-GB"/>
        </w:rPr>
        <w:fldChar w:fldCharType="separate"/>
      </w:r>
      <w:r w:rsidR="00E95295" w:rsidRPr="00714D3D">
        <w:rPr>
          <w:rFonts w:ascii="Times New Roman" w:eastAsia="Calibri" w:hAnsi="Times New Roman" w:cs="Arial"/>
          <w:noProof/>
          <w:lang w:val="en-GB"/>
        </w:rPr>
        <w:t>[1]</w:t>
      </w:r>
      <w:r w:rsidR="00E95295" w:rsidRPr="00714D3D">
        <w:rPr>
          <w:rFonts w:ascii="Times New Roman" w:eastAsia="Calibri" w:hAnsi="Times New Roman" w:cs="Arial"/>
          <w:lang w:val="en-GB"/>
        </w:rPr>
        <w:fldChar w:fldCharType="end"/>
      </w:r>
      <w:r w:rsidR="005F4DC7" w:rsidRPr="00714D3D">
        <w:rPr>
          <w:rFonts w:ascii="Times New Roman" w:eastAsia="Calibri" w:hAnsi="Times New Roman" w:cs="Arial"/>
          <w:lang w:val="en-GB"/>
        </w:rPr>
        <w:t xml:space="preserve"> </w:t>
      </w:r>
      <w:r w:rsidRPr="00714D3D">
        <w:rPr>
          <w:rFonts w:ascii="Times New Roman" w:eastAsia="Calibri" w:hAnsi="Times New Roman" w:cs="Arial"/>
          <w:lang w:val="en-GB"/>
        </w:rPr>
        <w:t>and quality-tested again using the reference cDNA template of the present study.</w:t>
      </w:r>
    </w:p>
    <w:p w14:paraId="53365787" w14:textId="721259A3" w:rsidR="00EE70EB" w:rsidRPr="00714D3D" w:rsidRDefault="00EE70EB" w:rsidP="00737A1F">
      <w:pPr>
        <w:spacing w:before="240" w:after="240" w:line="276" w:lineRule="auto"/>
        <w:contextualSpacing/>
        <w:jc w:val="both"/>
        <w:rPr>
          <w:rFonts w:ascii="Times New Roman" w:eastAsia="Calibri" w:hAnsi="Times New Roman" w:cs="Arial"/>
          <w:lang w:val="en-GB"/>
        </w:rPr>
      </w:pPr>
      <w:r w:rsidRPr="00714D3D">
        <w:rPr>
          <w:rFonts w:ascii="Times New Roman" w:eastAsia="Calibri" w:hAnsi="Times New Roman" w:cs="Arial"/>
          <w:vertAlign w:val="superscript"/>
          <w:lang w:val="en-GB"/>
        </w:rPr>
        <w:t>3</w:t>
      </w:r>
      <w:r w:rsidRPr="00714D3D">
        <w:rPr>
          <w:rFonts w:ascii="Times New Roman" w:eastAsia="Calibri" w:hAnsi="Times New Roman" w:cs="Arial"/>
          <w:lang w:val="en-GB"/>
        </w:rPr>
        <w:t xml:space="preserve"> Primers previously published in </w:t>
      </w:r>
      <w:r w:rsidRPr="00714D3D">
        <w:rPr>
          <w:rFonts w:ascii="Times New Roman" w:eastAsia="Calibri" w:hAnsi="Times New Roman" w:cs="Arial"/>
          <w:lang w:val="en-GB"/>
        </w:rPr>
        <w:fldChar w:fldCharType="begin" w:fldLock="1"/>
      </w:r>
      <w:r w:rsidR="005F4DC7" w:rsidRPr="00714D3D">
        <w:rPr>
          <w:rFonts w:ascii="Times New Roman" w:eastAsia="Calibri" w:hAnsi="Times New Roman" w:cs="Arial"/>
          <w:lang w:val="en-GB"/>
        </w:rPr>
        <w:instrText>ADDIN CSL_CITATION {"citationItems":[{"id":"ITEM-1","itemData":{"DOI":"10.3389/fimmu.2019.03011","ISSN":"1664-3224","author":[{"dropping-particle":"","family":"Soto-Dávila","given":"Manuel","non-dropping-particle":"","parse-names":false,"suffix":""},{"dropping-particle":"","family":"Valderrama","given":"Katherinne","non-dropping-particle":"","parse-names":false,"suffix":""},{"dropping-particle":"","family":"Inkpen","given":"Sabrina M","non-dropping-particle":"","parse-names":false,"suffix":""},{"dropping-particle":"","family":"Hall","given":"Jennifer R","non-dropping-particle":"","parse-names":false,"suffix":""},{"dropping-particle":"","family":"Rise","given":"Matthew L","non-dropping-particle":"","parse-names":false,"suffix":""},{"dropping-particle":"","family":"Santander","given":"Javier","non-dropping-particle":"","parse-names":false,"suffix":""}],"container-title":"Frontiers in Immunology","id":"ITEM-1","issued":{"date-parts":[["2020","1","14"]]},"page":"3011","publisher":"Frontiers","title":"Effects of Vitamin D2 (Ergocalciferol) and D3 (Cholecalciferol) on Atlantic Salmon (Salmo salar) Primary Macrophage Immune Response to Aeromonas salmonicida subsp. salmonicida Infection","type":"article-journal","volume":"10"},"uris":["http://www.mendeley.com/documents/?uuid=2fc99cf7-99cf-4931-8210-8ba17b21c62e"]}],"mendeley":{"formattedCitation":"[2]","manualFormatting":"Soto-Dávila et al. ","plainTextFormattedCitation":"[2]","previouslyFormattedCitation":"[2]"},"properties":{"noteIndex":0},"schema":"https://github.com/citation-style-language/schema/raw/master/csl-citation.json"}</w:instrText>
      </w:r>
      <w:r w:rsidRPr="00714D3D">
        <w:rPr>
          <w:rFonts w:ascii="Times New Roman" w:eastAsia="Calibri" w:hAnsi="Times New Roman" w:cs="Arial"/>
          <w:lang w:val="en-GB"/>
        </w:rPr>
        <w:fldChar w:fldCharType="separate"/>
      </w:r>
      <w:r w:rsidRPr="00714D3D">
        <w:rPr>
          <w:rFonts w:ascii="Times New Roman" w:eastAsia="Calibri" w:hAnsi="Times New Roman" w:cs="Arial"/>
          <w:noProof/>
          <w:lang w:val="en-GB"/>
        </w:rPr>
        <w:t xml:space="preserve">Soto-Dávila et al. </w:t>
      </w:r>
      <w:r w:rsidRPr="00714D3D">
        <w:rPr>
          <w:rFonts w:ascii="Times New Roman" w:eastAsia="Calibri" w:hAnsi="Times New Roman" w:cs="Arial"/>
          <w:lang w:val="en-GB"/>
        </w:rPr>
        <w:fldChar w:fldCharType="end"/>
      </w:r>
      <w:r w:rsidR="005F4DC7" w:rsidRPr="00714D3D">
        <w:rPr>
          <w:rFonts w:ascii="Times New Roman" w:eastAsia="Calibri" w:hAnsi="Times New Roman" w:cs="Arial"/>
          <w:lang w:val="en-GB"/>
        </w:rPr>
        <w:fldChar w:fldCharType="begin" w:fldLock="1"/>
      </w:r>
      <w:r w:rsidR="00CA2204" w:rsidRPr="00714D3D">
        <w:rPr>
          <w:rFonts w:ascii="Times New Roman" w:eastAsia="Calibri" w:hAnsi="Times New Roman" w:cs="Arial"/>
          <w:lang w:val="en-GB"/>
        </w:rPr>
        <w:instrText>ADDIN CSL_CITATION {"citationItems":[{"id":"ITEM-1","itemData":{"DOI":"10.3389/fimmu.2019.03011","ISSN":"1664-3224","author":[{"dropping-particle":"","family":"Soto-Dávila","given":"Manuel","non-dropping-particle":"","parse-names":false,"suffix":""},{"dropping-particle":"","family":"Valderrama","given":"Katherinne","non-dropping-particle":"","parse-names":false,"suffix":""},{"dropping-particle":"","family":"Inkpen","given":"Sabrina M","non-dropping-particle":"","parse-names":false,"suffix":""},{"dropping-particle":"","family":"Hall","given":"Jennifer R","non-dropping-particle":"","parse-names":false,"suffix":""},{"dropping-particle":"","family":"Rise","given":"Matthew L","non-dropping-particle":"","parse-names":false,"suffix":""},{"dropping-particle":"","family":"Santander","given":"Javier","non-dropping-particle":"","parse-names":false,"suffix":""}],"container-title":"Frontiers in Immunology","id":"ITEM-1","issued":{"date-parts":[["2020","1","14"]]},"page":"3011","publisher":"Frontiers","title":"Effects of Vitamin D2 (Ergocalciferol) and D3 (Cholecalciferol) on Atlantic Salmon (Salmo salar) Primary Macrophage Immune Response to Aeromonas salmonicida subsp. salmonicida Infection","type":"article-journal","volume":"10"},"uris":["http://www.mendeley.com/documents/?uuid=2fc99cf7-99cf-4931-8210-8ba17b21c62e"]}],"mendeley":{"formattedCitation":"[2]","plainTextFormattedCitation":"[2]","previouslyFormattedCitation":"[2]"},"properties":{"noteIndex":0},"schema":"https://github.com/citation-style-language/schema/raw/master/csl-citation.json"}</w:instrText>
      </w:r>
      <w:r w:rsidR="005F4DC7" w:rsidRPr="00714D3D">
        <w:rPr>
          <w:rFonts w:ascii="Times New Roman" w:eastAsia="Calibri" w:hAnsi="Times New Roman" w:cs="Arial"/>
          <w:lang w:val="en-GB"/>
        </w:rPr>
        <w:fldChar w:fldCharType="separate"/>
      </w:r>
      <w:r w:rsidR="005F4DC7" w:rsidRPr="00714D3D">
        <w:rPr>
          <w:rFonts w:ascii="Times New Roman" w:eastAsia="Calibri" w:hAnsi="Times New Roman" w:cs="Arial"/>
          <w:noProof/>
          <w:lang w:val="en-GB"/>
        </w:rPr>
        <w:t>[2]</w:t>
      </w:r>
      <w:r w:rsidR="005F4DC7" w:rsidRPr="00714D3D">
        <w:rPr>
          <w:rFonts w:ascii="Times New Roman" w:eastAsia="Calibri" w:hAnsi="Times New Roman" w:cs="Arial"/>
          <w:lang w:val="en-GB"/>
        </w:rPr>
        <w:fldChar w:fldCharType="end"/>
      </w:r>
      <w:r w:rsidRPr="00714D3D">
        <w:rPr>
          <w:rFonts w:ascii="Times New Roman" w:eastAsia="Calibri" w:hAnsi="Times New Roman" w:cs="Arial"/>
          <w:lang w:val="en-GB"/>
        </w:rPr>
        <w:t xml:space="preserve"> and quality-tested again using the reference cDNA template of the present study.</w:t>
      </w:r>
    </w:p>
    <w:p w14:paraId="27FAFD17" w14:textId="77777777" w:rsidR="00CD6A32" w:rsidRPr="00714D3D" w:rsidRDefault="00EE70EB" w:rsidP="00737A1F">
      <w:pPr>
        <w:spacing w:before="240" w:after="240" w:line="276" w:lineRule="auto"/>
        <w:contextualSpacing/>
        <w:jc w:val="both"/>
        <w:rPr>
          <w:rFonts w:ascii="Times New Roman" w:eastAsia="Calibri" w:hAnsi="Times New Roman" w:cs="Arial"/>
          <w:lang w:val="en-GB"/>
        </w:rPr>
      </w:pPr>
      <w:r w:rsidRPr="00714D3D">
        <w:rPr>
          <w:rFonts w:ascii="Times New Roman" w:eastAsia="SimSun" w:hAnsi="Times New Roman" w:cs="Times New Roman"/>
          <w:vertAlign w:val="superscript"/>
          <w:lang w:val="en-US"/>
        </w:rPr>
        <w:t xml:space="preserve">4 </w:t>
      </w:r>
      <w:r w:rsidRPr="00714D3D">
        <w:rPr>
          <w:rFonts w:ascii="Times New Roman" w:eastAsia="SimSun" w:hAnsi="Times New Roman" w:cs="Times New Roman"/>
          <w:lang w:val="en-US"/>
        </w:rPr>
        <w:t xml:space="preserve">Primers for normalization </w:t>
      </w:r>
      <w:r w:rsidR="00CD6A32" w:rsidRPr="00714D3D">
        <w:rPr>
          <w:rFonts w:ascii="Times New Roman" w:eastAsia="SimSun" w:hAnsi="Times New Roman" w:cs="Times New Roman"/>
          <w:lang w:val="en-US"/>
        </w:rPr>
        <w:t>from</w:t>
      </w:r>
      <w:r w:rsidRPr="00714D3D">
        <w:rPr>
          <w:rFonts w:ascii="Times New Roman" w:eastAsia="SimSun" w:hAnsi="Times New Roman" w:cs="Times New Roman"/>
          <w:lang w:val="en-US"/>
        </w:rPr>
        <w:t xml:space="preserve"> previous salmon transcriptome studies </w:t>
      </w:r>
      <w:r w:rsidR="00E95295" w:rsidRPr="00714D3D">
        <w:rPr>
          <w:rFonts w:ascii="Times New Roman" w:eastAsiaTheme="minorEastAsia" w:hAnsi="Times New Roman" w:cs="Times New Roman"/>
          <w:lang w:val="en-US"/>
        </w:rPr>
        <w:fldChar w:fldCharType="begin" w:fldLock="1"/>
      </w:r>
      <w:r w:rsidR="00E95295" w:rsidRPr="00714D3D">
        <w:rPr>
          <w:rFonts w:ascii="Times New Roman" w:eastAsiaTheme="minorEastAsia" w:hAnsi="Times New Roman" w:cs="Times New Roman"/>
          <w:lang w:val="en-US"/>
        </w:rPr>
        <w:instrText>ADDIN CSL_CITATION {"citationItems":[{"id":"ITEM-1","itemData":{"DOI":"10.1016/j.cbd.2015.01.005","ISSN":"1744117X","PMID":"25681993","abstract":"Due to increasing demand for fish oil (FO) and fish meal (FM) in aquafeeds, more sustainable alternatives such as plant-derived oils and proteins are needed. Camelina sativa products are viable feed ingredients given the high oil and crude protein content in the seed. Atlantic salmon were fed diets with complete or partial replacement of FO and/or FM with camelina oil (CO) and/or camelina meal (CM) in a 16-week trial [Control diet: FO; Test diets: 100% CO replacement of FO (100CO), or 100CO with solvent-extracted FM (100COSEFM), 10% CM (100CO10CM), or SEFM + 10% CM (100COSEFM10CM)]. Diet composition, growth, and fatty acid analyses for this feeding trial were published previously. A 44 K microarray experiment identified liver transcripts that responded to 100COSEFM10CM (associated with reduced growth) compared to controls, yielding 67 differentially expressed features (FDR &lt; 5%). Ten microarray-identified genes [cpt1, pcb, bar, igfbp-5b (2 paralogues), btg1, dnph1, lect-2, clra, klf9, and fadsd6a], and three additional genes involved in lipid metabolism [elovl2, elovl5 (2 paralogues), and fadsd5], were subjected to QPCR with liver templates from all 5 dietary treatments. Of the microarray-identified genes, only bar was not QPCR validated. Both igfbp-5b paralogues were significantly down-regulated, and fadsd6a was significantly up-regulated, in all 4 camelina-containing diet groups compared with controls. Multivariate statistics were used to correlate hepatic desaturase and elongase gene expression data with tissue fatty acid profiles, indicating the involvement of these genes in LC-PUFA biosynthesis. This nutrigenomic study provides molecular biomarkers for use in developing novel aquafeeds using camelina products.","author":[{"dropping-particle":"","family":"Xue","given":"Xi","non-dropping-particle":"","parse-names":false,"suffix":""},{"dropping-particle":"","family":"Hixson","given":"Stefanie M.","non-dropping-particle":"","parse-names":false,"suffix":""},{"dropping-particle":"","family":"Hori","given":"Tiago S.","non-dropping-particle":"","parse-names":false,"suffix":""},{"dropping-particle":"","family":"Booman","given":"Marije","non-dropping-particle":"","parse-names":false,"suffix":""},{"dropping-particle":"","family":"Parrish","given":"Christopher C.","non-dropping-particle":"","parse-names":false,"suffix":""},{"dropping-particle":"","family":"Anderson","given":"Derek M.","non-dropping-particle":"","parse-names":false,"suffix":""},{"dropping-particle":"","family":"Rise","given":"Matthew L.","non-dropping-particle":"","parse-names":false,"suffix":""}],"container-title":"Comparative Biochemistry and Physiology Part D: Genomics and Proteomics","id":"ITEM-1","issued":{"date-parts":[["2015","6"]]},"page":"1-15","publisher":"Elsevier Inc.","title":"Atlantic salmon (Salmo salar) liver transcriptome response to diets containing Camelina sativa products","type":"article-journal","volume":"14"},"uris":["http://www.mendeley.com/documents/?uuid=ce22916f-921d-49f2-b5db-74f1ac651dea"]},{"id":"ITEM-2","itemData":{"DOI":"10.1016/j.fsi.2017.02.040","ISSN":"10504648","PMID":"28242361","abstract":"The effects of replacing marine ingredients by terrestrial ingredients on the health of Atlantic salmon (Salmo salar) are poorly understood. During a 14-week trial, Atlantic salmon fed a fish meal-fish oil based diet (MAR) showed similar growth performance to others fed a plant protein/vegetable oil based diet (VEG), whereas poorer performance was observed in those fed an animal by-product meal/vegetable oil based diet (ABP). At the end of the trial, salmon were injected with either phosphate-buffered saline (PBS) or the viral mimic polyriboinosinic polyribocytidylic acid (pIC) and sampled for head kidney RNA after 24 h. The levels of 27 immune-related transcripts, and of 5 others involved in eicosanoid synthesis (including paralogues in both cases) were measured in the head kidney of the salmon using qPCR. All of the assayed immune-related genes and cox2 were pIC-induced, while the other eicosanoid synthesis-related genes were pIC-repressed. Linear regression was used to establish correlations between different immune transcripts, elucidating the cascade of responses to pIC and specialization among paralogues. Regarding the effect of diet on the antiviral immune response, pIC-treated fish fed diets ABP and VEG showed higher transcript levels of tlr3, irf1b, stat1a, isg15b, and gig1 compared to those fed diet MAR. We infer that the observed dietary immunomodulation could be due to the lower proportion of arachidonic acid (ARA), eicosapentaenoic acid (EPA), and docosahexaenoic acid (DHA) in diets ABP and VEG. Furthermore, our results suggest a major role of dietary ARA in Atlantic salmon immunity, as low ARA proportion in diet VEG coincided with the highest pIC-induction of some immune transcripts (tlr7, stat1c, mxb, and gig1) and the lowest levels of transcripts encoding eicosanoid-synthesizing enzymes (5loxa, 5loxb, and pgds). In contrast, the high ARA/EPA ratio of diet ABP appeared to favor increased expression of transcripts involved in the synthesis of pro-inflammatory eicosanoids (5loxa and 5loxb) and chemotaxis (ccl19b). In conclusion, our findings show that nutritionally balanced plant-based diets may enhance the immune response of Atlantic salmon. Future studies should explore the possible advantages of plant-based diets in Atlantic salmon exposed to a viral infection.","author":[{"dropping-particle":"","family":"Caballero-Solares","given":"Albert","non-dropping-particle":"","parse-names":false,"suffix":""},{"dropping-particle":"","family":"Hall","given":"Jennifer R.","non-dropping-particle":"","parse-names":false,"suffix":""},{"dropping-particle":"","family":"Xue","given":"Xi","non-dropping-particle":"","parse-names":false,"suffix":""},{"dropping-particle":"","family":"Eslamloo","given":"Khalil","non-dropping-particle":"","parse-names":false,"suffix":""},{"dropping-particle":"","family":"Taylor","given":"Richard G.","non-dropping-particle":"","parse-names":false,"suffix":""},{"dropping-particle":"","family":"Parrish","given":"Christopher C.","non-dropping-particle":"","parse-names":false,"suffix":""},{"dropping-particle":"","family":"Rise","given":"Matthew L.","non-dropping-particle":"","parse-names":false,"suffix":""}],"container-title":"Fish &amp; Shellfish Immunology","id":"ITEM-2","issued":{"date-parts":[["2017","5"]]},"page":"24-38","publisher":"Elsevier Ltd","title":"The dietary replacement of marine ingredients by terrestrial animal and plant alternatives modulates the antiviral immune response of Atlantic salmon (Salmo salar)","type":"article-journal","volume":"64"},"uris":["http://www.mendeley.com/documents/?uuid=be0798ac-cf3d-456a-b744-aa28c211dad5"]},{"id":"ITEM-3","itemData":{"DOI":"10.1186/s12864-017-4099-2","ISSN":"1471-2164","PMID":"28886690","abstract":"BACKGROUND Due to the limited availability and high cost of fish oil in the face of increasing aquaculture production, there is a need to reduce usage of fish oil in aquafeeds without compromising farm fish health. Therefore, the present study was conducted to determine if different levels of vegetable and fish oils can alter antiviral responses of salmon macrophage-like cells (MLCs). Atlantic salmon (Salmo salar) were fed diets containing 7.4% (FO7) or 5.1% (FO5) fish oil. These diets were designed to be relatively low in EPA + DHA (i.e. FO7: 1.41% and FO5: 1%), but near the requirement level, and resulting in comparable growth. Vegetable oil (i.e. rapeseed oil) was used to balance fish oil in experimental diets. After a 16-week feeding trial, MLCs isolated from fish in these dietary groups were stimulated by a viral mimic (dsRNA: pIC) for 6 h (qPCR assay) and 24 h (microarray and qPCR assays). RESULTS The fatty acid composition of head kidney leukocytes varied between the two dietary groups (e.g. higher 20:5n-3 in the FO7 group). Following microarray assays using a 44K salmonid platform, Rank Products (RP) analysis showed 14 and 54 differentially expressed probes (DEP) (PFP &lt; 0.05) between the two diets in control and pIC groups (FO5 vs. FO7), respectively. Nonetheless, Significance Analysis of Microarrays (SAM, FDR &lt; 0.05) identified only one DEP between pIC groups of the two diets. Moreover, we identified a large number (i.e. 890 DEP in FO7 and 1128 DEP in FO5 overlapping between SAM and RP) of pIC-responsive transcripts, and several of them were involved in TLR-/RLR-dependent and cytokine-mediated pathways. The microarray results were validated as significantly differentially expressed by qPCR assays for 2 out of 9 diet-responsive transcripts and for all of the 35 selected pIC-responsive transcripts. CONCLUSION Fatty acid-binding protein adipocyte (fabp4) and proteasome subunit beta type-8 (psmb8) were significantly up- and down-regulated, respectively, in the MLCs of fish fed the diet with a lower level of fish oil, suggesting that they are important diet-responsive, immune-related biomarkers for future studies. Although the different levels of dietary fish and vegetable oils involved in this study affected the expression of some transcripts, the immune-related pathways and functions activated by the antiviral response of salmon MLCs in both groups were comparable overall. Moreover, the qPCR revealed transcripts responding early to pIC (e.g. lgp2,…","author":[{"dropping-particle":"","family":"Eslamloo","given":"Khalil","non-dropping-particle":"","parse-names":false,"suffix":""},{"dropping-particle":"","family":"Xue","given":"Xi","non-dropping-particle":"","parse-names":false,"suffix":""},{"dropping-particle":"","family":"Hall","given":"Jennifer R.","non-dropping-particle":"","parse-names":false,"suffix":""},{"dropping-particle":"","family":"Smith","given":"Nicole C.","non-dropping-particle":"","parse-names":false,"suffix":""},{"dropping-particle":"","family":"Caballero-Solares","given":"Albert","non-dropping-particle":"","parse-names":false,"suffix":""},{"dropping-particle":"","family":"Parrish","given":"Christopher C.","non-dropping-particle":"","parse-names":false,"suffix":""},{"dropping-particle":"","family":"Taylor","given":"Richard G.","non-dropping-particle":"","parse-names":false,"suffix":""},{"dropping-particle":"","family":"Rise","given":"Matthew L.","non-dropping-particle":"","parse-names":false,"suffix":""}],"container-title":"BMC Genomics","id":"ITEM-3","issue":"1","issued":{"date-parts":[["2017","12","8"]]},"page":"706","publisher":"BMC Genomics","title":"Transcriptome profiling of antiviral immune and dietary fatty acid dependent responses of Atlantic salmon macrophage-like cells","type":"article-journal","volume":"18"},"uris":["http://www.mendeley.com/documents/?uuid=84421fc1-6c66-4413-8c1a-d6029ae2f3e5"]}],"mendeley":{"formattedCitation":"[3–5]","plainTextFormattedCitation":"[3–5]","previouslyFormattedCitation":"[3–5]"},"properties":{"noteIndex":0},"schema":"https://github.com/citation-style-language/schema/raw/master/csl-citation.json"}</w:instrText>
      </w:r>
      <w:r w:rsidR="00E95295" w:rsidRPr="00714D3D">
        <w:rPr>
          <w:rFonts w:ascii="Times New Roman" w:eastAsiaTheme="minorEastAsia" w:hAnsi="Times New Roman" w:cs="Times New Roman"/>
          <w:lang w:val="en-US"/>
        </w:rPr>
        <w:fldChar w:fldCharType="separate"/>
      </w:r>
      <w:r w:rsidR="00E95295" w:rsidRPr="00714D3D">
        <w:rPr>
          <w:rFonts w:ascii="Times New Roman" w:eastAsiaTheme="minorEastAsia" w:hAnsi="Times New Roman" w:cs="Times New Roman"/>
          <w:noProof/>
          <w:lang w:val="en-US"/>
        </w:rPr>
        <w:t>[3–5]</w:t>
      </w:r>
      <w:r w:rsidR="00E95295" w:rsidRPr="00714D3D">
        <w:rPr>
          <w:rFonts w:ascii="Times New Roman" w:eastAsiaTheme="minorEastAsia" w:hAnsi="Times New Roman" w:cs="Times New Roman"/>
          <w:lang w:val="en-US"/>
        </w:rPr>
        <w:fldChar w:fldCharType="end"/>
      </w:r>
      <w:r w:rsidR="00E95295" w:rsidRPr="00714D3D">
        <w:rPr>
          <w:rFonts w:ascii="Times New Roman" w:eastAsiaTheme="minorEastAsia" w:hAnsi="Times New Roman" w:cs="Times New Roman"/>
          <w:sz w:val="20"/>
          <w:szCs w:val="20"/>
          <w:lang w:val="en-US"/>
        </w:rPr>
        <w:t xml:space="preserve"> </w:t>
      </w:r>
      <w:r w:rsidRPr="00714D3D">
        <w:rPr>
          <w:rFonts w:ascii="Times New Roman" w:eastAsia="SimSun" w:hAnsi="Times New Roman" w:cs="Times New Roman"/>
          <w:sz w:val="20"/>
          <w:szCs w:val="20"/>
          <w:lang w:val="en-US"/>
        </w:rPr>
        <w:t>and</w:t>
      </w:r>
      <w:r w:rsidR="00E95295" w:rsidRPr="00714D3D">
        <w:rPr>
          <w:rFonts w:ascii="Times New Roman" w:eastAsia="SimSun" w:hAnsi="Times New Roman" w:cs="Times New Roman"/>
          <w:lang w:val="en-US"/>
        </w:rPr>
        <w:t xml:space="preserve"> </w:t>
      </w:r>
      <w:r w:rsidRPr="00714D3D">
        <w:rPr>
          <w:rFonts w:ascii="Times New Roman" w:eastAsia="SimSun" w:hAnsi="Times New Roman" w:cs="Times New Roman"/>
          <w:lang w:val="en-US"/>
        </w:rPr>
        <w:t xml:space="preserve">amplification efficiencies were determined </w:t>
      </w:r>
      <w:r w:rsidR="00CD6A32" w:rsidRPr="00714D3D">
        <w:rPr>
          <w:rFonts w:ascii="Times New Roman" w:eastAsia="Calibri" w:hAnsi="Times New Roman" w:cs="Arial"/>
          <w:lang w:val="en-GB"/>
        </w:rPr>
        <w:t>using the reference</w:t>
      </w:r>
    </w:p>
    <w:p w14:paraId="3E29CA97" w14:textId="7EC123A4" w:rsidR="00EE70EB" w:rsidRPr="00714D3D" w:rsidRDefault="00CD6A32" w:rsidP="00737A1F">
      <w:pPr>
        <w:spacing w:before="240" w:after="240" w:line="276" w:lineRule="auto"/>
        <w:contextualSpacing/>
        <w:jc w:val="both"/>
        <w:rPr>
          <w:rFonts w:ascii="Times New Roman" w:eastAsia="SimSun" w:hAnsi="Times New Roman" w:cs="Times New Roman"/>
          <w:lang w:val="en-US"/>
        </w:rPr>
      </w:pPr>
      <w:r w:rsidRPr="00714D3D">
        <w:rPr>
          <w:rFonts w:ascii="Times New Roman" w:eastAsia="Calibri" w:hAnsi="Times New Roman" w:cs="Arial"/>
          <w:lang w:val="en-GB"/>
        </w:rPr>
        <w:t xml:space="preserve">  cDNA template of the present study</w:t>
      </w:r>
      <w:r w:rsidRPr="00714D3D">
        <w:rPr>
          <w:rFonts w:ascii="Times New Roman" w:eastAsia="SimSun" w:hAnsi="Times New Roman" w:cs="Times New Roman"/>
          <w:lang w:val="en-US"/>
        </w:rPr>
        <w:t xml:space="preserve"> </w:t>
      </w:r>
      <w:r w:rsidR="00C06EAF" w:rsidRPr="00714D3D">
        <w:rPr>
          <w:rFonts w:ascii="Times New Roman" w:eastAsia="SimSun" w:hAnsi="Times New Roman" w:cs="Times New Roman"/>
          <w:lang w:val="en-US"/>
        </w:rPr>
        <w:t xml:space="preserve">(see Additional file </w:t>
      </w:r>
      <w:r w:rsidR="00BD3114">
        <w:rPr>
          <w:rFonts w:ascii="Times New Roman" w:eastAsia="SimSun" w:hAnsi="Times New Roman" w:cs="Times New Roman"/>
          <w:lang w:val="en-US"/>
        </w:rPr>
        <w:t>3</w:t>
      </w:r>
      <w:r w:rsidR="00C06EAF" w:rsidRPr="00714D3D">
        <w:rPr>
          <w:rFonts w:ascii="Times New Roman" w:eastAsia="SimSun" w:hAnsi="Times New Roman" w:cs="Times New Roman"/>
          <w:lang w:val="en-US"/>
        </w:rPr>
        <w:t>)</w:t>
      </w:r>
      <w:r w:rsidR="00EE70EB" w:rsidRPr="00714D3D">
        <w:rPr>
          <w:rFonts w:ascii="Times New Roman" w:eastAsia="SimSun" w:hAnsi="Times New Roman" w:cs="Times New Roman"/>
          <w:lang w:val="en-US"/>
        </w:rPr>
        <w:t>.</w:t>
      </w:r>
    </w:p>
    <w:p w14:paraId="2AE3196D" w14:textId="216D9A12" w:rsidR="00227697" w:rsidRPr="00714D3D" w:rsidRDefault="00227697" w:rsidP="00737A1F">
      <w:pPr>
        <w:spacing w:before="240" w:after="240" w:line="276" w:lineRule="auto"/>
        <w:contextualSpacing/>
        <w:jc w:val="both"/>
        <w:rPr>
          <w:rFonts w:ascii="Times New Roman" w:eastAsia="SimSun" w:hAnsi="Times New Roman" w:cs="Times New Roman"/>
          <w:lang w:val="en-US"/>
        </w:rPr>
      </w:pPr>
      <w:r w:rsidRPr="00714D3D">
        <w:rPr>
          <w:rFonts w:ascii="Times New Roman" w:eastAsia="SimSun" w:hAnsi="Times New Roman" w:cs="Times New Roman"/>
          <w:vertAlign w:val="superscript"/>
          <w:lang w:val="en-US"/>
        </w:rPr>
        <w:t xml:space="preserve">5 </w:t>
      </w:r>
      <w:r w:rsidRPr="00714D3D">
        <w:rPr>
          <w:rFonts w:ascii="Times New Roman" w:eastAsia="SimSun" w:hAnsi="Times New Roman" w:cs="Times New Roman"/>
          <w:lang w:val="en-US"/>
        </w:rPr>
        <w:t>Amplicon size in base pairs (bp).</w:t>
      </w:r>
    </w:p>
    <w:p w14:paraId="644DD8DF" w14:textId="511EDA9F" w:rsidR="00EE70EB" w:rsidRPr="00714D3D" w:rsidRDefault="00A42FB5" w:rsidP="00737A1F">
      <w:pPr>
        <w:spacing w:before="240" w:after="240" w:line="276" w:lineRule="auto"/>
        <w:contextualSpacing/>
        <w:jc w:val="both"/>
        <w:rPr>
          <w:rFonts w:ascii="Times New Roman" w:eastAsia="SimSun" w:hAnsi="Times New Roman" w:cs="Times New Roman"/>
          <w:lang w:val="en-US"/>
        </w:rPr>
      </w:pPr>
      <w:r w:rsidRPr="00714D3D">
        <w:rPr>
          <w:rFonts w:ascii="Times New Roman" w:eastAsia="SimSun" w:hAnsi="Times New Roman" w:cs="Times New Roman"/>
          <w:vertAlign w:val="superscript"/>
          <w:lang w:val="en-US"/>
        </w:rPr>
        <w:t>6</w:t>
      </w:r>
      <w:r w:rsidR="00EE70EB" w:rsidRPr="00714D3D">
        <w:rPr>
          <w:rFonts w:ascii="Times New Roman" w:eastAsia="SimSun" w:hAnsi="Times New Roman" w:cs="Times New Roman"/>
          <w:vertAlign w:val="superscript"/>
          <w:lang w:val="en-US"/>
        </w:rPr>
        <w:t xml:space="preserve"> </w:t>
      </w:r>
      <w:r w:rsidR="00EE70EB" w:rsidRPr="00714D3D">
        <w:rPr>
          <w:rFonts w:ascii="Times New Roman" w:eastAsia="SimSun" w:hAnsi="Times New Roman" w:cs="Times New Roman"/>
          <w:lang w:val="en-US"/>
        </w:rPr>
        <w:t xml:space="preserve">Nucleotide sequence </w:t>
      </w:r>
      <w:r w:rsidR="00C06EAF" w:rsidRPr="00714D3D">
        <w:rPr>
          <w:rFonts w:ascii="Times New Roman" w:eastAsia="SimSun" w:hAnsi="Times New Roman" w:cs="Times New Roman"/>
          <w:lang w:val="en-US"/>
        </w:rPr>
        <w:t xml:space="preserve">obtained </w:t>
      </w:r>
      <w:r w:rsidR="00EE70EB" w:rsidRPr="00714D3D">
        <w:rPr>
          <w:rFonts w:ascii="Times New Roman" w:eastAsia="SimSun" w:hAnsi="Times New Roman" w:cs="Times New Roman"/>
          <w:lang w:val="en-US"/>
        </w:rPr>
        <w:t>from GenBank used for primer design (</w:t>
      </w:r>
      <w:r w:rsidR="00737A1F" w:rsidRPr="00714D3D">
        <w:rPr>
          <w:rFonts w:ascii="Times New Roman" w:eastAsia="SimSun" w:hAnsi="Times New Roman" w:cs="Times New Roman"/>
          <w:lang w:val="en-US"/>
        </w:rPr>
        <w:t xml:space="preserve">see Additional file </w:t>
      </w:r>
      <w:r w:rsidR="00BD3114">
        <w:rPr>
          <w:rFonts w:ascii="Times New Roman" w:eastAsia="SimSun" w:hAnsi="Times New Roman" w:cs="Times New Roman"/>
          <w:lang w:val="en-US"/>
        </w:rPr>
        <w:t>3</w:t>
      </w:r>
      <w:r w:rsidR="00C06EAF" w:rsidRPr="00714D3D">
        <w:rPr>
          <w:rFonts w:ascii="Times New Roman" w:eastAsia="SimSun" w:hAnsi="Times New Roman" w:cs="Times New Roman"/>
          <w:lang w:val="en-US"/>
        </w:rPr>
        <w:t xml:space="preserve"> for BLASTn </w:t>
      </w:r>
      <w:r w:rsidR="00714D3D">
        <w:rPr>
          <w:rFonts w:ascii="Times New Roman" w:eastAsia="SimSun" w:hAnsi="Times New Roman" w:cs="Times New Roman"/>
          <w:lang w:val="en-US"/>
        </w:rPr>
        <w:t>hits</w:t>
      </w:r>
      <w:r w:rsidR="00EE70EB" w:rsidRPr="00714D3D">
        <w:rPr>
          <w:rFonts w:ascii="Times New Roman" w:eastAsia="SimSun" w:hAnsi="Times New Roman" w:cs="Times New Roman"/>
          <w:lang w:val="en-US"/>
        </w:rPr>
        <w:t>).</w:t>
      </w:r>
    </w:p>
    <w:p w14:paraId="5640D699" w14:textId="0A0E4420" w:rsidR="00EE70EB" w:rsidRDefault="00A42FB5" w:rsidP="00737A1F">
      <w:pPr>
        <w:spacing w:before="240" w:after="240" w:line="276" w:lineRule="auto"/>
        <w:contextualSpacing/>
        <w:jc w:val="both"/>
        <w:rPr>
          <w:rFonts w:ascii="Times New Roman" w:eastAsia="SimSun" w:hAnsi="Times New Roman" w:cs="Times New Roman"/>
          <w:lang w:val="en-US"/>
        </w:rPr>
      </w:pPr>
      <w:r w:rsidRPr="00714D3D">
        <w:rPr>
          <w:rFonts w:ascii="Times New Roman" w:eastAsia="SimSun" w:hAnsi="Times New Roman" w:cs="Times New Roman"/>
          <w:vertAlign w:val="superscript"/>
          <w:lang w:val="en-US"/>
        </w:rPr>
        <w:t>7</w:t>
      </w:r>
      <w:r w:rsidR="00EE70EB" w:rsidRPr="00714D3D">
        <w:rPr>
          <w:rFonts w:ascii="Times New Roman" w:eastAsia="SimSun" w:hAnsi="Times New Roman" w:cs="Times New Roman"/>
          <w:vertAlign w:val="superscript"/>
          <w:lang w:val="en-US"/>
        </w:rPr>
        <w:t xml:space="preserve"> </w:t>
      </w:r>
      <w:r w:rsidR="00EE70EB" w:rsidRPr="00714D3D">
        <w:rPr>
          <w:rFonts w:ascii="Times New Roman" w:eastAsia="SimSun" w:hAnsi="Times New Roman" w:cs="Times New Roman"/>
          <w:lang w:val="en-US"/>
        </w:rPr>
        <w:t xml:space="preserve">Amplification efficiencies were calculated using a 5-point 1:3 dilution series starting with cDNA </w:t>
      </w:r>
      <w:r w:rsidR="00EE70EB" w:rsidRPr="00EE70EB">
        <w:rPr>
          <w:rFonts w:ascii="Times New Roman" w:eastAsia="SimSun" w:hAnsi="Times New Roman" w:cs="Times New Roman"/>
          <w:lang w:val="en-US"/>
        </w:rPr>
        <w:t>representing 10 ng of input total RNA. Presented</w:t>
      </w:r>
    </w:p>
    <w:p w14:paraId="3DAD2635" w14:textId="3AFB1AB2" w:rsidR="00EE70EB" w:rsidRPr="00EE70EB" w:rsidRDefault="00EE70EB" w:rsidP="00737A1F">
      <w:pPr>
        <w:spacing w:before="240" w:after="240" w:line="276" w:lineRule="auto"/>
        <w:contextualSpacing/>
        <w:jc w:val="both"/>
        <w:rPr>
          <w:rFonts w:ascii="Times New Roman" w:eastAsia="SimSun" w:hAnsi="Times New Roman" w:cs="Times New Roman"/>
          <w:lang w:val="en-US"/>
        </w:rPr>
      </w:pPr>
      <w:r>
        <w:rPr>
          <w:rFonts w:ascii="Times New Roman" w:eastAsia="SimSun" w:hAnsi="Times New Roman" w:cs="Times New Roman"/>
          <w:lang w:val="en-US"/>
        </w:rPr>
        <w:t xml:space="preserve">  </w:t>
      </w:r>
      <w:r w:rsidRPr="00EE70EB">
        <w:rPr>
          <w:rFonts w:ascii="Times New Roman" w:eastAsia="SimSun" w:hAnsi="Times New Roman" w:cs="Times New Roman"/>
          <w:lang w:val="en-US"/>
        </w:rPr>
        <w:t xml:space="preserve">are </w:t>
      </w:r>
      <w:r w:rsidR="007E6ED5">
        <w:rPr>
          <w:rFonts w:ascii="Times New Roman" w:eastAsia="SimSun" w:hAnsi="Times New Roman" w:cs="Times New Roman"/>
          <w:lang w:val="en-US"/>
        </w:rPr>
        <w:t xml:space="preserve">mean </w:t>
      </w:r>
      <w:r w:rsidRPr="00EE70EB">
        <w:rPr>
          <w:rFonts w:ascii="Times New Roman" w:eastAsia="SimSun" w:hAnsi="Times New Roman" w:cs="Times New Roman"/>
          <w:lang w:val="en-US"/>
        </w:rPr>
        <w:t>values determined from cDNA templates of the CT and WH treatment groups (n=6</w:t>
      </w:r>
      <w:r w:rsidR="007E6ED5">
        <w:rPr>
          <w:rFonts w:ascii="Times New Roman" w:eastAsia="SimSun" w:hAnsi="Times New Roman" w:cs="Times New Roman"/>
          <w:lang w:val="en-US"/>
        </w:rPr>
        <w:t>, N=12 total</w:t>
      </w:r>
      <w:r w:rsidRPr="00EE70EB">
        <w:rPr>
          <w:rFonts w:ascii="Times New Roman" w:eastAsia="SimSun" w:hAnsi="Times New Roman" w:cs="Times New Roman"/>
          <w:lang w:val="en-US"/>
        </w:rPr>
        <w:t>).</w:t>
      </w:r>
    </w:p>
    <w:p w14:paraId="08147763" w14:textId="2F0EDD77" w:rsidR="00EE70EB" w:rsidRDefault="00EE70EB"/>
    <w:p w14:paraId="6852E2A3" w14:textId="1D4A2B9E" w:rsidR="005F4DC7" w:rsidRPr="005F4DC7" w:rsidRDefault="005F4DC7">
      <w:pPr>
        <w:rPr>
          <w:b/>
          <w:bCs/>
        </w:rPr>
      </w:pPr>
    </w:p>
    <w:p w14:paraId="3DDFD01E" w14:textId="71E77331" w:rsidR="00E95295" w:rsidRPr="00CA2204" w:rsidRDefault="005F4DC7">
      <w:pPr>
        <w:rPr>
          <w:rFonts w:ascii="Times New Roman" w:hAnsi="Times New Roman" w:cs="Times New Roman"/>
          <w:b/>
          <w:bCs/>
          <w:sz w:val="24"/>
          <w:szCs w:val="24"/>
          <w:u w:val="single"/>
        </w:rPr>
      </w:pPr>
      <w:r w:rsidRPr="00CA2204">
        <w:rPr>
          <w:rFonts w:ascii="Times New Roman" w:hAnsi="Times New Roman" w:cs="Times New Roman"/>
          <w:b/>
          <w:bCs/>
          <w:sz w:val="24"/>
          <w:szCs w:val="24"/>
          <w:u w:val="single"/>
        </w:rPr>
        <w:t>References:</w:t>
      </w:r>
    </w:p>
    <w:p w14:paraId="6102EB0C" w14:textId="2244BE2D" w:rsidR="00CA2204" w:rsidRPr="00CA2204" w:rsidRDefault="00E95295" w:rsidP="00CA2204">
      <w:pPr>
        <w:widowControl w:val="0"/>
        <w:autoSpaceDE w:val="0"/>
        <w:autoSpaceDN w:val="0"/>
        <w:adjustRightInd w:val="0"/>
        <w:spacing w:line="240" w:lineRule="auto"/>
        <w:rPr>
          <w:rFonts w:ascii="Times New Roman" w:hAnsi="Times New Roman" w:cs="Times New Roman"/>
          <w:noProof/>
          <w:szCs w:val="24"/>
        </w:rPr>
      </w:pPr>
      <w:r w:rsidRPr="005F4DC7">
        <w:rPr>
          <w:rFonts w:ascii="Times New Roman" w:hAnsi="Times New Roman" w:cs="Times New Roman"/>
        </w:rPr>
        <w:fldChar w:fldCharType="begin" w:fldLock="1"/>
      </w:r>
      <w:r w:rsidRPr="005F4DC7">
        <w:rPr>
          <w:rFonts w:ascii="Times New Roman" w:hAnsi="Times New Roman" w:cs="Times New Roman"/>
        </w:rPr>
        <w:instrText xml:space="preserve">ADDIN Mendeley Bibliography CSL_BIBLIOGRAPHY </w:instrText>
      </w:r>
      <w:r w:rsidRPr="005F4DC7">
        <w:rPr>
          <w:rFonts w:ascii="Times New Roman" w:hAnsi="Times New Roman" w:cs="Times New Roman"/>
        </w:rPr>
        <w:fldChar w:fldCharType="separate"/>
      </w:r>
      <w:r w:rsidR="00CA2204" w:rsidRPr="00CA2204">
        <w:rPr>
          <w:rFonts w:ascii="Times New Roman" w:hAnsi="Times New Roman" w:cs="Times New Roman"/>
          <w:noProof/>
          <w:szCs w:val="24"/>
        </w:rPr>
        <w:t>1. Caballero-Solares A, Xue X, Parrish CC, Foroutani MB, Taylor RG, Rise ML. Changes in the liver transcriptome of farmed Atlantic salmon (</w:t>
      </w:r>
      <w:r w:rsidR="00CA2204" w:rsidRPr="00CA2204">
        <w:rPr>
          <w:rFonts w:ascii="Times New Roman" w:hAnsi="Times New Roman" w:cs="Times New Roman"/>
          <w:i/>
          <w:iCs/>
          <w:noProof/>
          <w:szCs w:val="24"/>
        </w:rPr>
        <w:t>Salmo salar</w:t>
      </w:r>
      <w:r w:rsidR="00CA2204" w:rsidRPr="00CA2204">
        <w:rPr>
          <w:rFonts w:ascii="Times New Roman" w:hAnsi="Times New Roman" w:cs="Times New Roman"/>
          <w:noProof/>
          <w:szCs w:val="24"/>
        </w:rPr>
        <w:t>) fed experimental diets based on terrestrial alternatives to fish meal and fish oil. BMC Genomics. 2018;19:796.</w:t>
      </w:r>
    </w:p>
    <w:p w14:paraId="48001FB9" w14:textId="77777777" w:rsidR="00CA2204" w:rsidRPr="00CA2204" w:rsidRDefault="00CA2204" w:rsidP="00CA2204">
      <w:pPr>
        <w:widowControl w:val="0"/>
        <w:autoSpaceDE w:val="0"/>
        <w:autoSpaceDN w:val="0"/>
        <w:adjustRightInd w:val="0"/>
        <w:spacing w:line="240" w:lineRule="auto"/>
        <w:rPr>
          <w:rFonts w:ascii="Times New Roman" w:hAnsi="Times New Roman" w:cs="Times New Roman"/>
          <w:noProof/>
          <w:szCs w:val="24"/>
        </w:rPr>
      </w:pPr>
      <w:r w:rsidRPr="00CA2204">
        <w:rPr>
          <w:rFonts w:ascii="Times New Roman" w:hAnsi="Times New Roman" w:cs="Times New Roman"/>
          <w:noProof/>
          <w:szCs w:val="24"/>
        </w:rPr>
        <w:t>2. Soto-Dávila M, Valderrama K, Inkpen SM, Hall JR, Rise ML, Santander J. Effects of Vitamin D2 (Ergocalciferol) and D3 (Cholecalciferol) on Atlantic Salmon (</w:t>
      </w:r>
      <w:r w:rsidRPr="00CA2204">
        <w:rPr>
          <w:rFonts w:ascii="Times New Roman" w:hAnsi="Times New Roman" w:cs="Times New Roman"/>
          <w:i/>
          <w:iCs/>
          <w:noProof/>
          <w:szCs w:val="24"/>
        </w:rPr>
        <w:t>Salmo salar</w:t>
      </w:r>
      <w:r w:rsidRPr="00CA2204">
        <w:rPr>
          <w:rFonts w:ascii="Times New Roman" w:hAnsi="Times New Roman" w:cs="Times New Roman"/>
          <w:noProof/>
          <w:szCs w:val="24"/>
        </w:rPr>
        <w:t xml:space="preserve">) Primary Macrophage Immune Response to </w:t>
      </w:r>
      <w:r w:rsidRPr="007145BD">
        <w:rPr>
          <w:rFonts w:ascii="Times New Roman" w:hAnsi="Times New Roman" w:cs="Times New Roman"/>
          <w:i/>
          <w:iCs/>
          <w:noProof/>
          <w:szCs w:val="24"/>
        </w:rPr>
        <w:t xml:space="preserve">Aeromonas salmonicida </w:t>
      </w:r>
      <w:r w:rsidRPr="00CA2204">
        <w:rPr>
          <w:rFonts w:ascii="Times New Roman" w:hAnsi="Times New Roman" w:cs="Times New Roman"/>
          <w:noProof/>
          <w:szCs w:val="24"/>
        </w:rPr>
        <w:t xml:space="preserve">subsp. </w:t>
      </w:r>
      <w:r w:rsidRPr="007145BD">
        <w:rPr>
          <w:rFonts w:ascii="Times New Roman" w:hAnsi="Times New Roman" w:cs="Times New Roman"/>
          <w:i/>
          <w:iCs/>
          <w:noProof/>
          <w:szCs w:val="24"/>
        </w:rPr>
        <w:t xml:space="preserve">salmonicida </w:t>
      </w:r>
      <w:r w:rsidRPr="00CA2204">
        <w:rPr>
          <w:rFonts w:ascii="Times New Roman" w:hAnsi="Times New Roman" w:cs="Times New Roman"/>
          <w:noProof/>
          <w:szCs w:val="24"/>
        </w:rPr>
        <w:t>Infection. Front Immunol. 2020;10:3011.</w:t>
      </w:r>
    </w:p>
    <w:p w14:paraId="47CDD96B" w14:textId="77777777" w:rsidR="00CA2204" w:rsidRPr="00CA2204" w:rsidRDefault="00CA2204" w:rsidP="00CA2204">
      <w:pPr>
        <w:widowControl w:val="0"/>
        <w:autoSpaceDE w:val="0"/>
        <w:autoSpaceDN w:val="0"/>
        <w:adjustRightInd w:val="0"/>
        <w:spacing w:line="240" w:lineRule="auto"/>
        <w:rPr>
          <w:rFonts w:ascii="Times New Roman" w:hAnsi="Times New Roman" w:cs="Times New Roman"/>
          <w:noProof/>
          <w:szCs w:val="24"/>
        </w:rPr>
      </w:pPr>
      <w:r w:rsidRPr="00CA2204">
        <w:rPr>
          <w:rFonts w:ascii="Times New Roman" w:hAnsi="Times New Roman" w:cs="Times New Roman"/>
          <w:noProof/>
          <w:szCs w:val="24"/>
        </w:rPr>
        <w:t>3. Xue X, Hixson SM, Hori TS, Booman M, Parrish CC, Anderson DM, et al. Atlantic salmon (</w:t>
      </w:r>
      <w:r w:rsidRPr="00CA2204">
        <w:rPr>
          <w:rFonts w:ascii="Times New Roman" w:hAnsi="Times New Roman" w:cs="Times New Roman"/>
          <w:i/>
          <w:iCs/>
          <w:noProof/>
          <w:szCs w:val="24"/>
        </w:rPr>
        <w:t>Salmo salar</w:t>
      </w:r>
      <w:r w:rsidRPr="00CA2204">
        <w:rPr>
          <w:rFonts w:ascii="Times New Roman" w:hAnsi="Times New Roman" w:cs="Times New Roman"/>
          <w:noProof/>
          <w:szCs w:val="24"/>
        </w:rPr>
        <w:t>) liver transcriptome response to diets containing Camelina sativa products. Comp Biochem Physiol Part D Genomics Proteomics. 2015;14:1–15.</w:t>
      </w:r>
    </w:p>
    <w:p w14:paraId="3F1AB636" w14:textId="77777777" w:rsidR="00CA2204" w:rsidRPr="00CA2204" w:rsidRDefault="00CA2204" w:rsidP="00CA2204">
      <w:pPr>
        <w:widowControl w:val="0"/>
        <w:autoSpaceDE w:val="0"/>
        <w:autoSpaceDN w:val="0"/>
        <w:adjustRightInd w:val="0"/>
        <w:spacing w:line="240" w:lineRule="auto"/>
        <w:rPr>
          <w:rFonts w:ascii="Times New Roman" w:hAnsi="Times New Roman" w:cs="Times New Roman"/>
          <w:noProof/>
          <w:szCs w:val="24"/>
        </w:rPr>
      </w:pPr>
      <w:r w:rsidRPr="00CA2204">
        <w:rPr>
          <w:rFonts w:ascii="Times New Roman" w:hAnsi="Times New Roman" w:cs="Times New Roman"/>
          <w:noProof/>
          <w:szCs w:val="24"/>
        </w:rPr>
        <w:t>4. Caballero-Solares A, Hall JR, Xue X, Eslamloo K, Taylor RG, Parrish CC, et al. The dietary replacement of marine ingredients by terrestrial animal and plant alternatives modulates the antiviral immune response of Atlantic salmon (</w:t>
      </w:r>
      <w:r w:rsidRPr="00CA2204">
        <w:rPr>
          <w:rFonts w:ascii="Times New Roman" w:hAnsi="Times New Roman" w:cs="Times New Roman"/>
          <w:i/>
          <w:iCs/>
          <w:noProof/>
          <w:szCs w:val="24"/>
        </w:rPr>
        <w:t>Salmo salar</w:t>
      </w:r>
      <w:r w:rsidRPr="00CA2204">
        <w:rPr>
          <w:rFonts w:ascii="Times New Roman" w:hAnsi="Times New Roman" w:cs="Times New Roman"/>
          <w:noProof/>
          <w:szCs w:val="24"/>
        </w:rPr>
        <w:t>). Fish Shellfish Immunol. 2017;64:24–38.</w:t>
      </w:r>
    </w:p>
    <w:p w14:paraId="7ECD155F" w14:textId="77777777" w:rsidR="00CA2204" w:rsidRPr="00CA2204" w:rsidRDefault="00CA2204" w:rsidP="00CA2204">
      <w:pPr>
        <w:widowControl w:val="0"/>
        <w:autoSpaceDE w:val="0"/>
        <w:autoSpaceDN w:val="0"/>
        <w:adjustRightInd w:val="0"/>
        <w:spacing w:line="240" w:lineRule="auto"/>
        <w:rPr>
          <w:rFonts w:ascii="Times New Roman" w:hAnsi="Times New Roman" w:cs="Times New Roman"/>
          <w:noProof/>
        </w:rPr>
      </w:pPr>
      <w:r w:rsidRPr="00CA2204">
        <w:rPr>
          <w:rFonts w:ascii="Times New Roman" w:hAnsi="Times New Roman" w:cs="Times New Roman"/>
          <w:noProof/>
          <w:szCs w:val="24"/>
        </w:rPr>
        <w:t>5. Eslamloo K, Xue X, Hall JR, Smith NC, Caballero-Solares A, Parrish CC, et al. Transcriptome profiling of antiviral immune and dietary fatty acid dependent responses of Atlantic salmon macrophage-like cells. BMC Genomics. 2017;18:706.</w:t>
      </w:r>
    </w:p>
    <w:p w14:paraId="7988D5ED" w14:textId="1CBCDA71" w:rsidR="005F4DC7" w:rsidRDefault="00E95295">
      <w:r w:rsidRPr="005F4DC7">
        <w:rPr>
          <w:rFonts w:ascii="Times New Roman" w:hAnsi="Times New Roman" w:cs="Times New Roman"/>
        </w:rPr>
        <w:fldChar w:fldCharType="end"/>
      </w:r>
    </w:p>
    <w:sectPr w:rsidR="005F4DC7" w:rsidSect="004F20E1">
      <w:pgSz w:w="15840" w:h="12240" w:orient="landscape"/>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UwMzY1MzczMjc1MDdW0lEKTi0uzszPAykwNKwFAHtWfpMtAAAA"/>
  </w:docVars>
  <w:rsids>
    <w:rsidRoot w:val="00EE70EB"/>
    <w:rsid w:val="000B4371"/>
    <w:rsid w:val="00227697"/>
    <w:rsid w:val="002F4251"/>
    <w:rsid w:val="00300B19"/>
    <w:rsid w:val="003321D9"/>
    <w:rsid w:val="0038269B"/>
    <w:rsid w:val="004036BF"/>
    <w:rsid w:val="004178DC"/>
    <w:rsid w:val="004213D8"/>
    <w:rsid w:val="004F20E1"/>
    <w:rsid w:val="005F4DC7"/>
    <w:rsid w:val="007145BD"/>
    <w:rsid w:val="00714D3D"/>
    <w:rsid w:val="00737A1F"/>
    <w:rsid w:val="007A411C"/>
    <w:rsid w:val="007E6ED5"/>
    <w:rsid w:val="00A42FB5"/>
    <w:rsid w:val="00AF3F64"/>
    <w:rsid w:val="00BD3114"/>
    <w:rsid w:val="00C06EAF"/>
    <w:rsid w:val="00CA2204"/>
    <w:rsid w:val="00CD6A32"/>
    <w:rsid w:val="00DD1D06"/>
    <w:rsid w:val="00E95295"/>
    <w:rsid w:val="00EE70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6AA10"/>
  <w15:chartTrackingRefBased/>
  <w15:docId w15:val="{1A7E77C5-EB09-422C-AEEF-224EA7A26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70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70EB"/>
    <w:rPr>
      <w:rFonts w:ascii="Segoe UI" w:hAnsi="Segoe UI" w:cs="Segoe UI"/>
      <w:sz w:val="18"/>
      <w:szCs w:val="18"/>
    </w:rPr>
  </w:style>
  <w:style w:type="paragraph" w:styleId="CommentText">
    <w:name w:val="annotation text"/>
    <w:basedOn w:val="Normal"/>
    <w:link w:val="CommentTextChar"/>
    <w:uiPriority w:val="99"/>
    <w:semiHidden/>
    <w:unhideWhenUsed/>
    <w:rsid w:val="00EE70EB"/>
    <w:pPr>
      <w:spacing w:line="240" w:lineRule="auto"/>
    </w:pPr>
    <w:rPr>
      <w:sz w:val="20"/>
      <w:szCs w:val="20"/>
    </w:rPr>
  </w:style>
  <w:style w:type="character" w:customStyle="1" w:styleId="CommentTextChar">
    <w:name w:val="Comment Text Char"/>
    <w:basedOn w:val="DefaultParagraphFont"/>
    <w:link w:val="CommentText"/>
    <w:uiPriority w:val="99"/>
    <w:semiHidden/>
    <w:rsid w:val="00EE70EB"/>
    <w:rPr>
      <w:sz w:val="20"/>
      <w:szCs w:val="20"/>
    </w:rPr>
  </w:style>
  <w:style w:type="character" w:styleId="CommentReference">
    <w:name w:val="annotation reference"/>
    <w:basedOn w:val="DefaultParagraphFont"/>
    <w:uiPriority w:val="99"/>
    <w:unhideWhenUsed/>
    <w:rsid w:val="00EE70EB"/>
    <w:rPr>
      <w:sz w:val="16"/>
      <w:szCs w:val="16"/>
    </w:rPr>
  </w:style>
  <w:style w:type="table" w:customStyle="1" w:styleId="PlainTable55">
    <w:name w:val="Plain Table 55"/>
    <w:basedOn w:val="TableNormal"/>
    <w:next w:val="TableNormal"/>
    <w:uiPriority w:val="45"/>
    <w:rsid w:val="00EE70EB"/>
    <w:pPr>
      <w:spacing w:after="0" w:line="240" w:lineRule="auto"/>
    </w:pPr>
    <w:tblPr>
      <w:tblStyleRowBandSize w:val="1"/>
      <w:tblStyleColBandSize w:val="1"/>
    </w:tblPr>
    <w:tblStylePr w:type="firstRow">
      <w:rPr>
        <w:rFonts w:ascii="Calibri Light" w:eastAsia="SimSun" w:hAnsi="Calibri Light" w:cs="Times New Roman"/>
        <w:i/>
        <w:iCs/>
        <w:sz w:val="26"/>
      </w:rPr>
      <w:tblPr/>
      <w:tcPr>
        <w:tcBorders>
          <w:bottom w:val="single" w:sz="4" w:space="0" w:color="7F7F7F"/>
        </w:tcBorders>
        <w:shd w:val="clear" w:color="auto" w:fill="FFFFFF"/>
      </w:tcPr>
    </w:tblStylePr>
    <w:tblStylePr w:type="lastRow">
      <w:rPr>
        <w:rFonts w:ascii="Calibri Light" w:eastAsia="SimSu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SimSun" w:hAnsi="Calibri Light" w:cs="Times New Roman"/>
        <w:i/>
        <w:iCs/>
        <w:sz w:val="26"/>
      </w:rPr>
      <w:tblPr/>
      <w:tcPr>
        <w:tcBorders>
          <w:right w:val="single" w:sz="4" w:space="0" w:color="7F7F7F"/>
        </w:tcBorders>
        <w:shd w:val="clear" w:color="auto" w:fill="FFFFFF"/>
      </w:tcPr>
    </w:tblStylePr>
    <w:tblStylePr w:type="lastCol">
      <w:rPr>
        <w:rFonts w:ascii="Calibri Light" w:eastAsia="SimSu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mmentSubject">
    <w:name w:val="annotation subject"/>
    <w:basedOn w:val="CommentText"/>
    <w:next w:val="CommentText"/>
    <w:link w:val="CommentSubjectChar"/>
    <w:uiPriority w:val="99"/>
    <w:semiHidden/>
    <w:unhideWhenUsed/>
    <w:rsid w:val="00C06EAF"/>
    <w:rPr>
      <w:b/>
      <w:bCs/>
    </w:rPr>
  </w:style>
  <w:style w:type="character" w:customStyle="1" w:styleId="CommentSubjectChar">
    <w:name w:val="Comment Subject Char"/>
    <w:basedOn w:val="CommentTextChar"/>
    <w:link w:val="CommentSubject"/>
    <w:uiPriority w:val="99"/>
    <w:semiHidden/>
    <w:rsid w:val="00C06EAF"/>
    <w:rPr>
      <w:b/>
      <w:bCs/>
      <w:sz w:val="20"/>
      <w:szCs w:val="20"/>
    </w:rPr>
  </w:style>
  <w:style w:type="character" w:styleId="LineNumber">
    <w:name w:val="line number"/>
    <w:basedOn w:val="DefaultParagraphFont"/>
    <w:uiPriority w:val="99"/>
    <w:semiHidden/>
    <w:unhideWhenUsed/>
    <w:rsid w:val="004F2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4EEC9A-88CD-4772-BC98-CA2577B26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3660</Words>
  <Characters>20863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Beemelmanns</dc:creator>
  <cp:keywords/>
  <dc:description/>
  <cp:lastModifiedBy>ANne Beemelmanns</cp:lastModifiedBy>
  <cp:revision>9</cp:revision>
  <dcterms:created xsi:type="dcterms:W3CDTF">2020-06-09T18:26:00Z</dcterms:created>
  <dcterms:modified xsi:type="dcterms:W3CDTF">2020-07-09T18:59:00Z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7f88a9cc-f5e4-3f13-9599-d83cb67f3a53</vt:lpwstr>
  </property>
  <property fmtid="{D5CDD505-2E9C-101B-9397-08002B2CF9AE}" pid="4" name="Mendeley Citation Style_1">
    <vt:lpwstr>http://www.zotero.org/styles/bmc-genomics</vt:lpwstr>
  </property>
  <property fmtid="{D5CDD505-2E9C-101B-9397-08002B2CF9AE}" pid="5" name="Mendeley Recent Style Id 0_1">
    <vt:lpwstr>http://www.zotero.org/styles/american-sociological-association</vt:lpwstr>
  </property>
  <property fmtid="{D5CDD505-2E9C-101B-9397-08002B2CF9AE}" pid="6" name="Mendeley Recent Style Name 0_1">
    <vt:lpwstr>American Sociological Association</vt:lpwstr>
  </property>
  <property fmtid="{D5CDD505-2E9C-101B-9397-08002B2CF9AE}" pid="7" name="Mendeley Recent Style Id 1_1">
    <vt:lpwstr>http://www.zotero.org/styles/bmc-genomics</vt:lpwstr>
  </property>
  <property fmtid="{D5CDD505-2E9C-101B-9397-08002B2CF9AE}" pid="8" name="Mendeley Recent Style Name 1_1">
    <vt:lpwstr>BMC Genomics</vt:lpwstr>
  </property>
  <property fmtid="{D5CDD505-2E9C-101B-9397-08002B2CF9AE}" pid="9" name="Mendeley Recent Style Id 2_1">
    <vt:lpwstr>http://www.zotero.org/styles/biology-letters</vt:lpwstr>
  </property>
  <property fmtid="{D5CDD505-2E9C-101B-9397-08002B2CF9AE}" pid="10" name="Mendeley Recent Style Name 2_1">
    <vt:lpwstr>Biology Letters</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http://www.zotero.org/styles/the-american-naturalist</vt:lpwstr>
  </property>
  <property fmtid="{D5CDD505-2E9C-101B-9397-08002B2CF9AE}" pid="20" name="Mendeley Recent Style Name 7_1">
    <vt:lpwstr>The American Naturalist</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http://www.zotero.org/styles/elife</vt:lpwstr>
  </property>
  <property fmtid="{D5CDD505-2E9C-101B-9397-08002B2CF9AE}" pid="24" name="Mendeley Recent Style Name 9_1">
    <vt:lpwstr>eLife</vt:lpwstr>
  </property>
</Properties>
</file>