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360" w:hanging="360"/>
      </w:pPr>
    </w:p>
    <w:p>
      <w:pPr>
        <w:pStyle w:val="3"/>
        <w:ind w:left="360" w:firstLine="0" w:firstLineChars="0"/>
        <w:rPr>
          <w:rFonts w:ascii="Times New Roman" w:hAnsi="Times New Roman" w:cs="Times New Roman"/>
          <w:b/>
          <w:bCs/>
          <w:color w:val="FF0000"/>
        </w:rPr>
      </w:pPr>
      <w:r>
        <w:rPr>
          <w:rFonts w:hint="eastAsia" w:ascii="Times New Roman" w:hAnsi="Times New Roman" w:cs="Times New Roman"/>
          <w:b/>
          <w:bCs/>
          <w:color w:val="FF0000"/>
        </w:rPr>
        <w:t>Dear</w:t>
      </w:r>
      <w:r>
        <w:rPr>
          <w:rFonts w:ascii="Times New Roman" w:hAnsi="Times New Roman" w:cs="Times New Roman"/>
          <w:b/>
          <w:bCs/>
          <w:color w:val="FF0000"/>
        </w:rPr>
        <w:t xml:space="preserve"> Editors:</w:t>
      </w:r>
    </w:p>
    <w:p>
      <w:pPr>
        <w:pStyle w:val="3"/>
        <w:ind w:left="360" w:firstLine="0" w:firstLineChars="0"/>
        <w:rPr>
          <w:rFonts w:ascii="Times New Roman" w:hAnsi="Times New Roman" w:cs="Times New Roman"/>
          <w:b/>
          <w:bCs/>
          <w:color w:val="FF0000"/>
        </w:rPr>
      </w:pPr>
      <w:r>
        <w:rPr>
          <w:rFonts w:ascii="Times New Roman" w:hAnsi="Times New Roman" w:cs="Times New Roman"/>
          <w:b/>
          <w:bCs/>
          <w:color w:val="FF0000"/>
        </w:rPr>
        <w:t>I have carried out the rectification according to your requirements</w:t>
      </w:r>
      <w:r>
        <w:rPr>
          <w:rFonts w:hint="eastAsia" w:ascii="Times New Roman" w:hAnsi="Times New Roman" w:cs="Times New Roman"/>
          <w:b/>
          <w:bCs/>
          <w:color w:val="FF0000"/>
        </w:rPr>
        <w:t>：</w:t>
      </w:r>
    </w:p>
    <w:p>
      <w:pPr>
        <w:ind w:firstLine="315" w:firstLineChars="150"/>
        <w:rPr>
          <w:rFonts w:ascii="Times New Roman" w:hAnsi="Times New Roman" w:cs="Times New Roman"/>
          <w:b/>
          <w:bCs/>
          <w:color w:val="FF0000"/>
          <w:szCs w:val="21"/>
          <w:shd w:val="clear" w:color="auto" w:fill="FFFFFF"/>
        </w:rPr>
      </w:pPr>
      <w:r>
        <w:rPr>
          <w:rFonts w:ascii="Times New Roman" w:hAnsi="Times New Roman" w:cs="Times New Roman"/>
          <w:b/>
          <w:bCs/>
          <w:color w:val="FF0000"/>
        </w:rPr>
        <w:t xml:space="preserve"> </w:t>
      </w:r>
      <w:r>
        <w:rPr>
          <w:rFonts w:ascii="Times New Roman" w:hAnsi="Times New Roman" w:cs="Times New Roman"/>
          <w:b/>
          <w:bCs/>
          <w:color w:val="FF0000"/>
          <w:szCs w:val="21"/>
          <w:shd w:val="clear" w:color="auto" w:fill="FFFFFF"/>
        </w:rPr>
        <w:t xml:space="preserve">The manuscript file already include statements which identifying the institutional and/or licensing committee approving the experiments, including any relevant details, in the “Methods” section. Additionally, I </w:t>
      </w:r>
      <w:r>
        <w:rPr>
          <w:rFonts w:hint="eastAsia" w:ascii="Times New Roman" w:hAnsi="Times New Roman" w:cs="Times New Roman"/>
          <w:b/>
          <w:bCs/>
          <w:color w:val="FF0000"/>
          <w:szCs w:val="21"/>
          <w:shd w:val="clear" w:color="auto" w:fill="FFFFFF"/>
        </w:rPr>
        <w:t>a</w:t>
      </w:r>
      <w:r>
        <w:rPr>
          <w:rFonts w:ascii="Times New Roman" w:hAnsi="Times New Roman" w:cs="Times New Roman"/>
          <w:b/>
          <w:bCs/>
          <w:color w:val="FF0000"/>
          <w:szCs w:val="21"/>
          <w:shd w:val="clear" w:color="auto" w:fill="FFFFFF"/>
        </w:rPr>
        <w:t xml:space="preserve">lready check that the information provided in the methods section is </w:t>
      </w:r>
      <w:r>
        <w:rPr>
          <w:rFonts w:hint="eastAsia" w:ascii="Times New Roman" w:hAnsi="Times New Roman" w:cs="Times New Roman"/>
          <w:b/>
          <w:bCs/>
          <w:color w:val="FF0000"/>
          <w:szCs w:val="21"/>
          <w:shd w:val="clear" w:color="auto" w:fill="FFFFFF"/>
        </w:rPr>
        <w:t>correct</w:t>
      </w:r>
      <w:r>
        <w:rPr>
          <w:rFonts w:ascii="Times New Roman" w:hAnsi="Times New Roman" w:cs="Times New Roman"/>
          <w:b/>
          <w:bCs/>
          <w:color w:val="FF0000"/>
          <w:szCs w:val="21"/>
          <w:shd w:val="clear" w:color="auto" w:fill="FFFFFF"/>
        </w:rPr>
        <w:t>.</w:t>
      </w:r>
    </w:p>
    <w:p>
      <w:pPr>
        <w:ind w:firstLine="315" w:firstLineChars="150"/>
        <w:rPr>
          <w:rFonts w:ascii="Times New Roman" w:hAnsi="Times New Roman" w:cs="Times New Roman"/>
          <w:b/>
          <w:bCs/>
          <w:color w:val="FF0000"/>
          <w:szCs w:val="21"/>
          <w:shd w:val="clear" w:color="auto" w:fill="FFFFFF"/>
        </w:rPr>
      </w:pPr>
    </w:p>
    <w:p>
      <w:pPr>
        <w:rPr>
          <w:rFonts w:ascii="Times New Roman" w:hAnsi="Times New Roman" w:cs="Times New Roman"/>
          <w:color w:val="FF0000"/>
        </w:rPr>
      </w:pPr>
      <w:r>
        <w:rPr>
          <w:rFonts w:ascii="Times New Roman" w:hAnsi="Times New Roman" w:cs="Times New Roman"/>
          <w:b/>
          <w:bCs/>
          <w:color w:val="FF0000"/>
        </w:rPr>
        <w:t xml:space="preserve">Statement 1: </w:t>
      </w:r>
      <w:r>
        <w:rPr>
          <w:rFonts w:ascii="Times New Roman" w:hAnsi="Times New Roman" w:cs="Times New Roman"/>
          <w:color w:val="FF0000"/>
        </w:rPr>
        <w:t>Confirming that all methods were carried out in accordance with relevant guidelines and regulations.</w:t>
      </w:r>
    </w:p>
    <w:p>
      <w:pPr>
        <w:rPr>
          <w:rFonts w:ascii="Times New Roman" w:hAnsi="Times New Roman" w:cs="Times New Roman"/>
          <w:color w:val="FF0000"/>
        </w:rPr>
      </w:pPr>
    </w:p>
    <w:p>
      <w:pPr>
        <w:rPr>
          <w:rFonts w:ascii="Times New Roman" w:hAnsi="Times New Roman" w:cs="Times New Roman"/>
          <w:color w:val="FF0000"/>
        </w:rPr>
      </w:pPr>
      <w:r>
        <w:rPr>
          <w:rFonts w:ascii="Times New Roman" w:hAnsi="Times New Roman" w:cs="Times New Roman"/>
          <w:b/>
          <w:bCs/>
          <w:color w:val="FF0000"/>
        </w:rPr>
        <w:t>Statement 2:</w:t>
      </w:r>
      <w:r>
        <w:rPr>
          <w:rFonts w:ascii="Times New Roman" w:hAnsi="Times New Roman" w:cs="Times New Roman"/>
          <w:color w:val="FF0000"/>
        </w:rPr>
        <w:t xml:space="preserve"> Confirming that all experimental protocols were approved by Guangzhou College of Technology and Business.</w:t>
      </w:r>
    </w:p>
    <w:p>
      <w:pPr>
        <w:rPr>
          <w:rFonts w:ascii="Times New Roman" w:hAnsi="Times New Roman" w:cs="Times New Roman"/>
          <w:color w:val="FF0000"/>
        </w:rPr>
      </w:pPr>
    </w:p>
    <w:p>
      <w:pPr>
        <w:rPr>
          <w:rFonts w:ascii="Times New Roman" w:hAnsi="Times New Roman" w:cs="Times New Roman"/>
          <w:color w:val="FF0000"/>
        </w:rPr>
      </w:pPr>
      <w:r>
        <w:rPr>
          <w:rFonts w:ascii="Times New Roman" w:hAnsi="Times New Roman" w:cs="Times New Roman"/>
          <w:b/>
          <w:bCs/>
          <w:color w:val="FF0000"/>
        </w:rPr>
        <w:t xml:space="preserve">Statement 3: </w:t>
      </w:r>
      <w:r>
        <w:rPr>
          <w:rFonts w:ascii="Times New Roman" w:hAnsi="Times New Roman" w:cs="Times New Roman"/>
          <w:color w:val="FF0000"/>
        </w:rPr>
        <w:t>Confirming that informed consent was obtained from all subjects.</w:t>
      </w:r>
    </w:p>
    <w:p>
      <w:pPr>
        <w:rPr>
          <w:rFonts w:ascii="Times New Roman" w:hAnsi="Times New Roman" w:cs="Times New Roman"/>
          <w:color w:val="FF0000"/>
        </w:rPr>
      </w:pPr>
    </w:p>
    <w:p>
      <w:pPr>
        <w:rPr>
          <w:rFonts w:ascii="Times New Roman" w:hAnsi="Times New Roman" w:cs="Times New Roman"/>
          <w:color w:val="FF0000"/>
        </w:rPr>
      </w:pPr>
      <w:r>
        <w:rPr>
          <w:rFonts w:ascii="Times New Roman" w:hAnsi="Times New Roman" w:cs="Times New Roman"/>
          <w:b/>
          <w:bCs/>
          <w:color w:val="FF0000"/>
        </w:rPr>
        <w:t xml:space="preserve">Statement 4: </w:t>
      </w:r>
      <w:r>
        <w:rPr>
          <w:rFonts w:ascii="Times New Roman" w:hAnsi="Times New Roman" w:cs="Times New Roman"/>
          <w:color w:val="FF0000"/>
        </w:rPr>
        <w:t>Authors reporting experiments on humans and/or the use of human tissue samples already confirm that all experiments were performed in accordance with relevant guidelines and regulations.</w:t>
      </w:r>
    </w:p>
    <w:p>
      <w:pPr>
        <w:spacing w:before="240" w:after="360" w:line="360" w:lineRule="auto"/>
        <w:ind w:firstLine="640"/>
        <w:jc w:val="center"/>
        <w:rPr>
          <w:rFonts w:ascii="Times New Roman" w:hAnsi="Times New Roman" w:cs="Times New Roman"/>
          <w:b/>
          <w:bCs/>
          <w:sz w:val="32"/>
          <w:szCs w:val="40"/>
        </w:rPr>
      </w:pPr>
      <w:r>
        <w:rPr>
          <w:rFonts w:hint="eastAsia" w:ascii="Times New Roman" w:hAnsi="Times New Roman" w:cs="Times New Roman"/>
          <w:b/>
          <w:bCs/>
          <w:sz w:val="32"/>
          <w:szCs w:val="40"/>
        </w:rPr>
        <w:t>T</w:t>
      </w:r>
      <w:r>
        <w:rPr>
          <w:rFonts w:ascii="Times New Roman" w:hAnsi="Times New Roman" w:cs="Times New Roman"/>
          <w:b/>
          <w:bCs/>
          <w:sz w:val="32"/>
          <w:szCs w:val="40"/>
        </w:rPr>
        <w:t>he influence mechanism of Real-Time Online Education Platform on Learner User Behavior</w:t>
      </w:r>
    </w:p>
    <w:p>
      <w:pPr>
        <w:spacing w:before="240" w:after="360" w:line="360" w:lineRule="auto"/>
        <w:ind w:firstLine="480"/>
        <w:jc w:val="center"/>
        <w:rPr>
          <w:rFonts w:hint="eastAsia" w:ascii="Times New Roman" w:hAnsi="Times New Roman" w:cs="Times New Roman" w:eastAsiaTheme="minorEastAsia"/>
          <w:b/>
          <w:bCs/>
          <w:sz w:val="24"/>
          <w:szCs w:val="32"/>
          <w:lang w:val="en-US" w:eastAsia="zh-CN"/>
        </w:rPr>
      </w:pPr>
      <w:r>
        <w:rPr>
          <w:rFonts w:ascii="Times New Roman" w:hAnsi="Times New Roman" w:cs="Times New Roman"/>
          <w:b/>
          <w:bCs/>
          <w:sz w:val="24"/>
        </w:rPr>
        <w:t>Siyang</w:t>
      </w:r>
      <w:r>
        <w:rPr>
          <w:rFonts w:hint="eastAsia" w:ascii="Times New Roman" w:hAnsi="Times New Roman" w:cs="Times New Roman"/>
          <w:b/>
          <w:bCs/>
          <w:sz w:val="24"/>
        </w:rPr>
        <w:t xml:space="preserve"> </w:t>
      </w:r>
      <w:r>
        <w:rPr>
          <w:rFonts w:ascii="Times New Roman" w:hAnsi="Times New Roman" w:cs="Times New Roman"/>
          <w:b/>
          <w:bCs/>
          <w:sz w:val="24"/>
        </w:rPr>
        <w:t>Mei</w:t>
      </w:r>
      <w:r>
        <w:rPr>
          <w:rFonts w:ascii="NimbusRomNo9L" w:hAnsi="NimbusRomNo9L"/>
          <w:position w:val="8"/>
          <w:sz w:val="16"/>
          <w:szCs w:val="16"/>
        </w:rPr>
        <w:t>1</w:t>
      </w:r>
      <w:r>
        <w:rPr>
          <w:rFonts w:ascii="NimbusSanL" w:hAnsi="NimbusSanL"/>
          <w:b/>
          <w:bCs/>
          <w:sz w:val="22"/>
          <w:szCs w:val="22"/>
        </w:rPr>
        <w:t xml:space="preserve">, </w:t>
      </w:r>
      <w:r>
        <w:rPr>
          <w:rFonts w:ascii="Times New Roman" w:hAnsi="Times New Roman" w:cs="Times New Roman"/>
          <w:b/>
          <w:bCs/>
          <w:sz w:val="24"/>
        </w:rPr>
        <w:t>Shengxiang</w:t>
      </w:r>
      <w:r>
        <w:rPr>
          <w:rFonts w:hint="eastAsia" w:ascii="Times New Roman" w:hAnsi="Times New Roman" w:cs="Times New Roman"/>
          <w:b/>
          <w:bCs/>
          <w:sz w:val="24"/>
        </w:rPr>
        <w:t xml:space="preserve"> </w:t>
      </w:r>
      <w:r>
        <w:rPr>
          <w:rFonts w:ascii="Times New Roman" w:hAnsi="Times New Roman" w:cs="Times New Roman"/>
          <w:b/>
          <w:bCs/>
          <w:sz w:val="24"/>
        </w:rPr>
        <w:t xml:space="preserve">She </w:t>
      </w:r>
      <w:r>
        <w:rPr>
          <w:rFonts w:ascii="NimbusRomNo9L" w:hAnsi="NimbusRomNo9L"/>
          <w:position w:val="8"/>
          <w:sz w:val="16"/>
          <w:szCs w:val="16"/>
        </w:rPr>
        <w:t>1,*</w:t>
      </w:r>
      <w:r>
        <w:rPr>
          <w:rFonts w:ascii="NimbusSanL" w:hAnsi="NimbusSanL"/>
          <w:b/>
          <w:bCs/>
          <w:sz w:val="22"/>
          <w:szCs w:val="22"/>
        </w:rPr>
        <w:t xml:space="preserve">, </w:t>
      </w:r>
      <w:r>
        <w:rPr>
          <w:rFonts w:ascii="Times New Roman" w:hAnsi="Times New Roman" w:cs="Times New Roman"/>
          <w:b/>
          <w:bCs/>
          <w:sz w:val="24"/>
        </w:rPr>
        <w:t>Xin</w:t>
      </w:r>
      <w:r>
        <w:rPr>
          <w:rFonts w:hint="eastAsia" w:ascii="Times New Roman" w:hAnsi="Times New Roman" w:cs="Times New Roman"/>
          <w:b/>
          <w:bCs/>
          <w:sz w:val="24"/>
        </w:rPr>
        <w:t xml:space="preserve"> </w:t>
      </w:r>
      <w:r>
        <w:rPr>
          <w:rFonts w:ascii="Times New Roman" w:hAnsi="Times New Roman" w:cs="Times New Roman"/>
          <w:b/>
          <w:bCs/>
          <w:sz w:val="24"/>
        </w:rPr>
        <w:t>L</w:t>
      </w:r>
      <w:r>
        <w:rPr>
          <w:rFonts w:hint="eastAsia" w:ascii="Times New Roman" w:hAnsi="Times New Roman" w:cs="Times New Roman"/>
          <w:b/>
          <w:bCs/>
          <w:sz w:val="24"/>
        </w:rPr>
        <w:t>iu</w:t>
      </w:r>
      <w:r>
        <w:rPr>
          <w:rFonts w:ascii="Times New Roman" w:hAnsi="Times New Roman" w:cs="Times New Roman"/>
          <w:b/>
          <w:bCs/>
          <w:sz w:val="24"/>
        </w:rPr>
        <w:t xml:space="preserve"> </w:t>
      </w:r>
      <w:r>
        <w:rPr>
          <w:rFonts w:ascii="NimbusRomNo9L" w:hAnsi="NimbusRomNo9L"/>
          <w:position w:val="8"/>
          <w:sz w:val="16"/>
          <w:szCs w:val="16"/>
        </w:rPr>
        <w:t>1</w:t>
      </w:r>
      <w:r>
        <w:rPr>
          <w:rFonts w:hint="eastAsia" w:ascii="Times New Roman" w:hAnsi="Times New Roman" w:cs="Times New Roman"/>
          <w:b/>
          <w:bCs/>
          <w:sz w:val="24"/>
          <w:vertAlign w:val="superscript"/>
        </w:rPr>
        <w:t xml:space="preserve"> </w:t>
      </w:r>
      <w:r>
        <w:rPr>
          <w:rFonts w:ascii="Times New Roman" w:hAnsi="Times New Roman" w:cs="Times New Roman"/>
          <w:b/>
          <w:bCs/>
          <w:sz w:val="24"/>
          <w:szCs w:val="32"/>
        </w:rPr>
        <w:t xml:space="preserve">and </w:t>
      </w:r>
      <w:r>
        <w:rPr>
          <w:rFonts w:hint="eastAsia" w:ascii="Times New Roman" w:hAnsi="Times New Roman" w:cs="Times New Roman"/>
          <w:b/>
          <w:bCs/>
          <w:sz w:val="24"/>
          <w:szCs w:val="32"/>
        </w:rPr>
        <w:t>Feng Li</w:t>
      </w:r>
      <w:r>
        <w:rPr>
          <w:rFonts w:ascii="NimbusRomNo9L" w:hAnsi="NimbusRomNo9L"/>
          <w:position w:val="8"/>
          <w:sz w:val="16"/>
          <w:szCs w:val="16"/>
        </w:rPr>
        <w:t xml:space="preserve"> </w:t>
      </w:r>
      <w:r>
        <w:rPr>
          <w:rFonts w:hint="eastAsia" w:ascii="NimbusRomNo9L" w:hAnsi="NimbusRomNo9L"/>
          <w:position w:val="8"/>
          <w:sz w:val="16"/>
          <w:szCs w:val="16"/>
          <w:lang w:val="en-US" w:eastAsia="zh-CN"/>
        </w:rPr>
        <w:t>1</w:t>
      </w:r>
    </w:p>
    <w:p>
      <w:pPr>
        <w:spacing w:before="240"/>
        <w:ind w:left="105" w:hanging="105" w:hangingChars="50"/>
        <w:jc w:val="left"/>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 Mei Siyang, Guangzhou College of Technology and Business, Business School, Guangzhou, 510850, China. 328117522@qq.com</w:t>
      </w:r>
    </w:p>
    <w:p>
      <w:pPr>
        <w:spacing w:before="120"/>
        <w:ind w:left="105" w:hanging="105" w:hangingChars="50"/>
        <w:jc w:val="left"/>
        <w:rPr>
          <w:rFonts w:ascii="Times New Roman" w:hAnsi="Times New Roman" w:cs="Times New Roman"/>
        </w:rPr>
      </w:pPr>
      <w:r>
        <w:rPr>
          <w:rFonts w:ascii="Times New Roman" w:hAnsi="Times New Roman" w:cs="Times New Roman"/>
          <w:vertAlign w:val="superscript"/>
        </w:rPr>
        <w:t xml:space="preserve">2 </w:t>
      </w:r>
      <w:r>
        <w:rPr>
          <w:rFonts w:ascii="Times New Roman" w:hAnsi="Times New Roman" w:cs="Times New Roman"/>
        </w:rPr>
        <w:t>She Shengxiang, Guangzhou College of Technology and Business, Business School, Guangzhou, 510850, China. sheshengxiang1981@126.com</w:t>
      </w:r>
    </w:p>
    <w:p>
      <w:pPr>
        <w:spacing w:before="120"/>
        <w:ind w:left="105" w:hanging="105" w:hangingChars="50"/>
        <w:jc w:val="left"/>
        <w:rPr>
          <w:rFonts w:ascii="Times New Roman" w:hAnsi="Times New Roman" w:cs="Times New Roman"/>
          <w:sz w:val="18"/>
          <w:szCs w:val="21"/>
        </w:rPr>
      </w:pPr>
      <w:r>
        <w:rPr>
          <w:rFonts w:ascii="Times New Roman" w:hAnsi="Times New Roman" w:cs="Times New Roman"/>
          <w:vertAlign w:val="superscript"/>
        </w:rPr>
        <w:t>3</w:t>
      </w:r>
      <w:r>
        <w:rPr>
          <w:rFonts w:ascii="Times New Roman" w:hAnsi="Times New Roman" w:cs="Times New Roman"/>
        </w:rPr>
        <w:t xml:space="preserve"> Liu Xin, Guangzhou College of Technology and Business, Business School, Guangzhou, 510850, China. </w:t>
      </w:r>
      <w:r>
        <w:fldChar w:fldCharType="begin"/>
      </w:r>
      <w:r>
        <w:instrText xml:space="preserve"> HYPERLINK "mailto:1328443976@qq.com" </w:instrText>
      </w:r>
      <w:r>
        <w:fldChar w:fldCharType="separate"/>
      </w:r>
      <w:r>
        <w:rPr>
          <w:rFonts w:ascii="Times New Roman" w:hAnsi="Times New Roman" w:cs="Times New Roman"/>
          <w:sz w:val="18"/>
          <w:szCs w:val="21"/>
        </w:rPr>
        <w:t>1328443976@qq.com</w:t>
      </w:r>
      <w:r>
        <w:rPr>
          <w:rFonts w:ascii="Times New Roman" w:hAnsi="Times New Roman" w:cs="Times New Roman"/>
          <w:sz w:val="18"/>
          <w:szCs w:val="21"/>
        </w:rPr>
        <w:fldChar w:fldCharType="end"/>
      </w:r>
    </w:p>
    <w:p>
      <w:pPr>
        <w:spacing w:before="120"/>
        <w:ind w:left="105" w:hanging="105" w:hangingChars="50"/>
        <w:jc w:val="left"/>
        <w:rPr>
          <w:rFonts w:ascii="Times New Roman" w:hAnsi="Times New Roman" w:cs="Times New Roman"/>
        </w:rPr>
      </w:pPr>
      <w:r>
        <w:rPr>
          <w:rFonts w:ascii="Times New Roman" w:hAnsi="Times New Roman" w:cs="Times New Roman"/>
          <w:vertAlign w:val="superscript"/>
        </w:rPr>
        <w:t>4</w:t>
      </w:r>
      <w:r>
        <w:rPr>
          <w:rFonts w:ascii="Times New Roman" w:hAnsi="Times New Roman" w:cs="Times New Roman"/>
        </w:rPr>
        <w:t xml:space="preserve"> Feng Li, Guangzhou College of Technology and Business, Business School, Guangzhou, 510850, China.</w:t>
      </w:r>
      <w:r>
        <w:rPr>
          <w:rFonts w:ascii="Times New Roman" w:hAnsi="Times New Roman" w:cs="Times New Roman"/>
          <w:sz w:val="18"/>
          <w:szCs w:val="21"/>
        </w:rPr>
        <w:t xml:space="preserve"> </w:t>
      </w:r>
    </w:p>
    <w:p>
      <w:pPr>
        <w:spacing w:before="120"/>
        <w:ind w:left="105" w:leftChars="50"/>
        <w:jc w:val="left"/>
        <w:rPr>
          <w:rFonts w:ascii="Times New Roman" w:hAnsi="Times New Roman" w:cs="Times New Roman"/>
          <w:sz w:val="18"/>
          <w:szCs w:val="21"/>
        </w:rPr>
      </w:pPr>
      <w:r>
        <w:fldChar w:fldCharType="begin"/>
      </w:r>
      <w:r>
        <w:instrText xml:space="preserve"> HYPERLINK "mailto:lifeng61@gzgs.edu.cn" </w:instrText>
      </w:r>
      <w:r>
        <w:fldChar w:fldCharType="separate"/>
      </w:r>
      <w:r>
        <w:rPr>
          <w:rStyle w:val="12"/>
          <w:rFonts w:ascii="Times New Roman" w:hAnsi="Times New Roman" w:cs="Times New Roman"/>
          <w:sz w:val="18"/>
          <w:szCs w:val="21"/>
        </w:rPr>
        <w:t>lifeng61@gzgs.edu.cn</w:t>
      </w:r>
      <w:r>
        <w:rPr>
          <w:rStyle w:val="12"/>
          <w:rFonts w:ascii="Times New Roman" w:hAnsi="Times New Roman" w:cs="Times New Roman"/>
          <w:sz w:val="18"/>
          <w:szCs w:val="21"/>
        </w:rPr>
        <w:fldChar w:fldCharType="end"/>
      </w:r>
    </w:p>
    <w:p>
      <w:pPr>
        <w:spacing w:before="120"/>
        <w:ind w:left="105" w:leftChars="50"/>
        <w:jc w:val="left"/>
        <w:rPr>
          <w:rFonts w:ascii="Times New Roman" w:hAnsi="Times New Roman" w:cs="Times New Roman"/>
          <w:sz w:val="18"/>
          <w:szCs w:val="21"/>
        </w:rPr>
      </w:pPr>
    </w:p>
    <w:p>
      <w:pPr>
        <w:ind w:firstLine="420"/>
        <w:jc w:val="center"/>
        <w:rPr>
          <w:rFonts w:ascii="宋体" w:hAnsi="宋体" w:eastAsia="宋体"/>
        </w:rPr>
      </w:pPr>
    </w:p>
    <w:p>
      <w:pPr>
        <w:pStyle w:val="8"/>
        <w:ind w:firstLine="449"/>
        <w:rPr>
          <w:rFonts w:ascii="Times New Roman" w:hAnsi="Times New Roman" w:cs="Times New Roman"/>
        </w:rPr>
      </w:pPr>
      <w:r>
        <w:rPr>
          <w:rFonts w:ascii="Times New Roman" w:hAnsi="Times New Roman" w:cs="Times New Roman"/>
          <w:b/>
          <w:bCs/>
          <w:sz w:val="22"/>
          <w:szCs w:val="22"/>
        </w:rPr>
        <w:t xml:space="preserve">ABSTRACT </w:t>
      </w:r>
    </w:p>
    <w:p>
      <w:pPr>
        <w:ind w:firstLine="420" w:firstLineChars="200"/>
        <w:rPr>
          <w:rFonts w:ascii="Times New Roman" w:hAnsi="Times New Roman" w:eastAsia="宋体" w:cs="Times New Roman"/>
          <w:kern w:val="0"/>
          <w:szCs w:val="21"/>
        </w:rPr>
      </w:pPr>
      <w:r>
        <w:rPr>
          <w:rFonts w:ascii="Times New Roman" w:hAnsi="Times New Roman" w:eastAsia="宋体" w:cs="Times New Roman"/>
          <w:kern w:val="0"/>
          <w:szCs w:val="21"/>
        </w:rPr>
        <w:t>The global outbreak of COVID-19 has triggered revolutionary changes in the field of education, especially the rise of real-time online education platform. The purpose of this paper is to explore the reasons of learner users' satisfaction and how to influence the willingness to continue using. Firstly, this paper combines the success model of information systems to construct a model of influencing factors of learner users' satisfaction about real-time online education platforms. Secondly, a questionnaire survey was conducted on 670 learners of China's real-time online education platform, then the structural equation model was used to analyze the main influencing factors of learners' satisfaction and how to influence the willingness to continue using real-time online education platform. The paper found that the professionalism and honesty of teacher quality, the usefulness, abundance, and appropriateness of content quality, as well as the technical and convenient feature of platform quality that predicted learner satisfaction, which has a positive impact on the willingness to continue using. The research provided a series of design strategies and improvement suggestions to improve the learner experience of real-time online education platform.</w:t>
      </w:r>
    </w:p>
    <w:p>
      <w:pPr>
        <w:pStyle w:val="8"/>
        <w:ind w:firstLine="449"/>
        <w:rPr>
          <w:rFonts w:hint="eastAsia" w:ascii="NimbusSanL" w:hAnsi="NimbusSanL"/>
          <w:b/>
          <w:bCs/>
          <w:sz w:val="22"/>
          <w:szCs w:val="22"/>
        </w:rPr>
      </w:pPr>
      <w:r>
        <w:rPr>
          <w:rFonts w:ascii="NimbusSanL" w:hAnsi="NimbusSanL"/>
          <w:b/>
          <w:bCs/>
          <w:sz w:val="22"/>
          <w:szCs w:val="22"/>
        </w:rPr>
        <w:t xml:space="preserve">Introduction </w:t>
      </w:r>
    </w:p>
    <w:p>
      <w:pPr>
        <w:pStyle w:val="8"/>
        <w:ind w:firstLine="420" w:firstLineChars="200"/>
        <w:rPr>
          <w:rFonts w:ascii="Times New Roman" w:hAnsi="Times New Roman" w:cs="Times New Roman"/>
          <w:sz w:val="21"/>
          <w:szCs w:val="21"/>
        </w:rPr>
      </w:pPr>
      <w:r>
        <w:rPr>
          <w:rFonts w:ascii="Times New Roman" w:hAnsi="Times New Roman" w:cs="Times New Roman"/>
          <w:sz w:val="21"/>
          <w:szCs w:val="21"/>
        </w:rPr>
        <w:t>In the era of the global COVID-19 epidemic, the spread of infectious diseases not only threatened human health and public health, but also caused a serious of social problems. The field of education has been greatly impacted, making normal school management almost impossible, causing schools in many countries and regions unable to continue face-to-face learning. In order to facing this challenge, many countries and regions have adopted online education platforms such as FaceTime, Zoom, Skype and other tools to provide real-time online education for students to maintain the normal operation of the education system. In China, numerous online education platforms have gathered various educational resources and content to provide free online courses, such as MOOC (mass open online course), New Oriental Online Platform, Tencent Classroom, and Wisdom Tree, to meet students' learning needs.</w:t>
      </w:r>
    </w:p>
    <w:p>
      <w:pPr>
        <w:pStyle w:val="8"/>
        <w:ind w:firstLine="420" w:firstLineChars="200"/>
        <w:rPr>
          <w:rFonts w:ascii="Times New Roman" w:hAnsi="Times New Roman" w:cs="Times New Roman"/>
          <w:sz w:val="21"/>
          <w:szCs w:val="21"/>
        </w:rPr>
      </w:pPr>
      <w:r>
        <w:rPr>
          <w:rFonts w:ascii="Times New Roman" w:hAnsi="Times New Roman" w:cs="Times New Roman"/>
          <w:sz w:val="21"/>
          <w:szCs w:val="21"/>
        </w:rPr>
        <w:t>In recent years, with the rapid development of internet technology and the convenience of information communication, the scale of global internet users has rapidly expanded. The online communication method breaks the time and space constraints and accelerates the speed of information spreading. With the evolution of China's socio-economic structure, the importance of education and training has become prominent gradually. Meanwhile, the rapid development of the information technology industry provides strong technical support for online education, promoting its popularization and promotion. The trend of globalization and highly developed information and communication systems have created conditions for online education to become an important form of education in the future.</w:t>
      </w:r>
    </w:p>
    <w:p>
      <w:pPr>
        <w:pStyle w:val="8"/>
        <w:ind w:firstLine="420" w:firstLineChars="200"/>
        <w:rPr>
          <w:rFonts w:ascii="Times New Roman" w:hAnsi="Times New Roman" w:cs="Times New Roman"/>
          <w:sz w:val="21"/>
          <w:szCs w:val="21"/>
        </w:rPr>
      </w:pPr>
      <w:r>
        <w:rPr>
          <w:rFonts w:ascii="Times New Roman" w:hAnsi="Times New Roman" w:cs="Times New Roman"/>
          <w:sz w:val="21"/>
          <w:szCs w:val="21"/>
        </w:rPr>
        <w:t>For example, online education that based on network and real-time online education platforms not only has wide development space in developing countries, but also has begun to expand globally. The educational model of online education will be promoted and developed globally, becoming an important form of education (Zhou et al., 2020). Therefore, UNESCO has proposed the concept of "education for all" and regards online education as an important means to achieve this goal. Online education not only has broad market prospects and economic value, but also provides more convenient and flexible learning methods for the public, promoting the dissemination of knowledge and information.</w:t>
      </w:r>
    </w:p>
    <w:p>
      <w:pPr>
        <w:pStyle w:val="8"/>
        <w:ind w:firstLine="420" w:firstLineChars="200"/>
        <w:rPr>
          <w:rFonts w:ascii="Times New Roman" w:hAnsi="Times New Roman" w:cs="Times New Roman"/>
          <w:sz w:val="21"/>
          <w:szCs w:val="21"/>
        </w:rPr>
      </w:pPr>
      <w:r>
        <w:rPr>
          <w:rFonts w:ascii="Times New Roman" w:hAnsi="Times New Roman" w:cs="Times New Roman"/>
          <w:sz w:val="21"/>
          <w:szCs w:val="21"/>
        </w:rPr>
        <w:t>With this trend, more and more real-time online education platforms are being adopted to promote the development of online learning (Chaudhrys et al., 2021). Numerous studies have shown that online education can provide many positive learning experiences for learners and learners are generally more satisfied with online learning compared to traditional face-to-face learning (Simamora, 2020; Chunget al., 2020). However, online education is not always satisfactory, and educators' teaching efficiency is low in sometimes. The rationality of online course content setting and the various problems that learners face when using the platform need to be solved and adjusted (Mishra et al., 2020)</w:t>
      </w:r>
    </w:p>
    <w:p>
      <w:pPr>
        <w:pStyle w:val="8"/>
        <w:ind w:firstLine="420" w:firstLineChars="200"/>
        <w:rPr>
          <w:rFonts w:ascii="Times New Roman" w:hAnsi="Times New Roman" w:cs="Times New Roman"/>
          <w:sz w:val="21"/>
          <w:szCs w:val="21"/>
        </w:rPr>
      </w:pPr>
      <w:r>
        <w:rPr>
          <w:rFonts w:ascii="Times New Roman" w:hAnsi="Times New Roman" w:cs="Times New Roman"/>
          <w:sz w:val="21"/>
          <w:szCs w:val="21"/>
        </w:rPr>
        <w:t>The problem with existing research is that scholars often focus on users' continuous usage intentions and hope to validate the model to confirm the front-end influencing factors of satisfaction. However, the mining of front-end influencing factors of satisfaction is not sufficient, especially insufficient research on factors from multiple different quality aspects. At present, most research focuses on the content and information quality, service quality, and social influence aspects to explore the influencing factors of satisfaction（Pham et al.,2019;Al-Fraihat,2020）, However, the influencing factors of learner users' satisfaction on real-time online education platforms have not yet been fully explored. Therefore, this paper aims to discuss the factors that influencing learner satisfaction on real-time online education platforms and reveals three key influencing factors of teacher quality, course content quality, and platform quality on learner satisfaction. In addition, this paper can provide references for the related real-time online education enterprises and improve the service quality of real-time online education platforms.</w:t>
      </w:r>
    </w:p>
    <w:p>
      <w:pPr>
        <w:pStyle w:val="8"/>
        <w:ind w:firstLine="420" w:firstLineChars="200"/>
        <w:rPr>
          <w:rFonts w:ascii="Times New Roman" w:hAnsi="Times New Roman" w:cs="Times New Roman"/>
          <w:sz w:val="21"/>
          <w:szCs w:val="21"/>
        </w:rPr>
      </w:pPr>
      <w:r>
        <w:rPr>
          <w:rFonts w:ascii="Times New Roman" w:hAnsi="Times New Roman" w:cs="Times New Roman"/>
          <w:sz w:val="21"/>
          <w:szCs w:val="21"/>
        </w:rPr>
        <w:t>The rest of this paper is organized as follows. Chapter 2 introduces the theoretical basis and research hypotheses of this paper. Chapter 3 provides an overview of the research methods of this paper. Chapter 4 summarizes the research findings and discusses the contributions and theoretical and practical significance of this paper. Chapter 5 provides an overview of the limitations and future research directions of this paper.</w:t>
      </w:r>
    </w:p>
    <w:p>
      <w:pPr>
        <w:pStyle w:val="8"/>
        <w:ind w:firstLine="449"/>
        <w:rPr>
          <w:rFonts w:hint="eastAsia" w:ascii="NimbusSanL" w:hAnsi="NimbusSanL"/>
          <w:b/>
          <w:bCs/>
          <w:sz w:val="22"/>
          <w:szCs w:val="22"/>
        </w:rPr>
      </w:pPr>
    </w:p>
    <w:p>
      <w:pPr>
        <w:pStyle w:val="8"/>
        <w:ind w:firstLine="449"/>
        <w:rPr>
          <w:rFonts w:hint="eastAsia" w:ascii="NimbusSanL" w:hAnsi="NimbusSanL"/>
          <w:b/>
          <w:bCs/>
          <w:sz w:val="22"/>
          <w:szCs w:val="22"/>
        </w:rPr>
      </w:pPr>
      <w:r>
        <w:rPr>
          <w:rFonts w:ascii="NimbusSanL" w:hAnsi="NimbusSanL"/>
          <w:b/>
          <w:bCs/>
          <w:sz w:val="22"/>
          <w:szCs w:val="22"/>
        </w:rPr>
        <w:t xml:space="preserve">Results </w:t>
      </w:r>
    </w:p>
    <w:p>
      <w:pPr>
        <w:widowControl/>
        <w:kinsoku w:val="0"/>
        <w:autoSpaceDE w:val="0"/>
        <w:autoSpaceDN w:val="0"/>
        <w:adjustRightInd w:val="0"/>
        <w:snapToGrid w:val="0"/>
        <w:spacing w:before="120" w:after="240" w:line="360" w:lineRule="auto"/>
        <w:ind w:firstLine="420" w:firstLineChars="200"/>
        <w:textAlignment w:val="baseline"/>
        <w:rPr>
          <w:rFonts w:ascii="Times New Roman" w:hAnsi="Times New Roman" w:eastAsia="宋体" w:cs="Times New Roman"/>
          <w:kern w:val="0"/>
          <w:szCs w:val="21"/>
        </w:rPr>
      </w:pPr>
      <w:r>
        <w:rPr>
          <w:rFonts w:hint="eastAsia" w:ascii="Times New Roman" w:hAnsi="Times New Roman" w:eastAsia="宋体" w:cs="Times New Roman"/>
          <w:kern w:val="0"/>
          <w:szCs w:val="21"/>
        </w:rPr>
        <w:t>Firstly, professionalism and honesty in teacher quality have a significant impact on learner satisfaction. The professional teaching ability of teachers is the key factor in improving the overall teaching quality. Having strong professional quality, well-experienced and be good at teaching can improve the quality of curriculum, build a good learning ecosystem, and is the fundamental factor in improving learner satisfaction. A good teaching attitude can improve teaching interaction</w:t>
      </w:r>
      <w:r>
        <w:rPr>
          <w:rFonts w:ascii="Times New Roman" w:hAnsi="Times New Roman" w:eastAsia="宋体" w:cs="Times New Roman"/>
          <w:kern w:val="0"/>
          <w:szCs w:val="21"/>
        </w:rPr>
        <w:t xml:space="preserve"> degree</w:t>
      </w:r>
      <w:r>
        <w:rPr>
          <w:rFonts w:hint="eastAsia" w:ascii="Times New Roman" w:hAnsi="Times New Roman" w:eastAsia="宋体" w:cs="Times New Roman"/>
          <w:kern w:val="0"/>
          <w:szCs w:val="21"/>
        </w:rPr>
        <w:t>, promote students</w:t>
      </w:r>
      <w:r>
        <w:rPr>
          <w:rFonts w:ascii="Times New Roman" w:hAnsi="Times New Roman" w:eastAsia="宋体" w:cs="Times New Roman"/>
          <w:kern w:val="0"/>
          <w:szCs w:val="21"/>
        </w:rPr>
        <w:t xml:space="preserve"> learning effect</w:t>
      </w:r>
      <w:r>
        <w:rPr>
          <w:rFonts w:hint="eastAsia" w:ascii="Times New Roman" w:hAnsi="Times New Roman" w:eastAsia="宋体" w:cs="Times New Roman"/>
          <w:kern w:val="0"/>
          <w:szCs w:val="21"/>
        </w:rPr>
        <w:t xml:space="preserve"> and enhance their self-efficacy. At the same time, Rahimi (2023) </w:t>
      </w:r>
      <w:r>
        <w:rPr>
          <w:rFonts w:ascii="Times New Roman" w:hAnsi="Times New Roman" w:eastAsia="宋体" w:cs="Times New Roman"/>
          <w:kern w:val="0"/>
          <w:szCs w:val="21"/>
        </w:rPr>
        <w:t>who</w:t>
      </w:r>
      <w:r>
        <w:rPr>
          <w:rFonts w:hint="eastAsia" w:ascii="Times New Roman" w:hAnsi="Times New Roman" w:eastAsia="宋体" w:cs="Times New Roman"/>
          <w:kern w:val="0"/>
          <w:szCs w:val="21"/>
        </w:rPr>
        <w:t xml:space="preserve"> teach with sincerity and provide course content that meets educational goals, which is an important factor for learner satisfaction. Learners develop a sense of trust to teachers, which motivates students and has a positive impact on learning efficiency and satisfaction. On the other hand, the charm of teacher has no impact on learner satisfaction. This can be explained by the fact that when learners participate in online learning, they may pay more attention to the learning content and knowledge acquisition, rather than the external characteristics of the teacher. It is because the form of online education limits teachers' ability to transmit information through facial expressions, body language, and voice. Compared to face-to-face teaching, teachers are unable to fully demonstrate better teaching scenarios through body language and facial expressions. Therefore, learners pay more attention to the content and knowledge acquisition process of online learning, while external characteristics of teachers may be secondary relatively.</w:t>
      </w:r>
      <w:bookmarkStart w:id="0" w:name="OLE_LINK4"/>
    </w:p>
    <w:p>
      <w:pPr>
        <w:widowControl/>
        <w:kinsoku w:val="0"/>
        <w:autoSpaceDE w:val="0"/>
        <w:autoSpaceDN w:val="0"/>
        <w:adjustRightInd w:val="0"/>
        <w:snapToGrid w:val="0"/>
        <w:spacing w:before="120" w:after="240" w:line="360" w:lineRule="auto"/>
        <w:ind w:firstLine="420" w:firstLineChars="200"/>
        <w:textAlignment w:val="baseline"/>
        <w:rPr>
          <w:rFonts w:ascii="Times New Roman" w:hAnsi="Times New Roman" w:eastAsia="宋体" w:cs="Times New Roman"/>
          <w:kern w:val="0"/>
          <w:szCs w:val="21"/>
        </w:rPr>
      </w:pPr>
      <w:r>
        <w:rPr>
          <w:rFonts w:hint="eastAsia" w:ascii="Times New Roman" w:hAnsi="Times New Roman" w:eastAsia="宋体" w:cs="Times New Roman"/>
          <w:kern w:val="0"/>
          <w:szCs w:val="21"/>
        </w:rPr>
        <w:t xml:space="preserve">Secondly, </w:t>
      </w:r>
      <w:bookmarkEnd w:id="0"/>
      <w:r>
        <w:rPr>
          <w:rFonts w:hint="eastAsia" w:ascii="Times New Roman" w:hAnsi="Times New Roman" w:eastAsia="宋体" w:cs="Times New Roman"/>
          <w:kern w:val="0"/>
          <w:szCs w:val="21"/>
        </w:rPr>
        <w:t>the usefulness, abundance, and appropriateness of content quality have a positive impact on learner satisfaction. In Pham et al. (2019), content quality can bring a sense of achievement and satisfaction to learners. This indicates that these course contents are valuable and abundant, depending on the learning objectives and content selection. At the same time, it is very important to obtain more information and methods, in a class, and organizing diverse learning content can create an efficient learning process (Liu, 2021). Learners will feel satisfaction when the course content being studied aligns with their schedule and adapts to their learning level. For learners, the degree to which the platform's course content is suitable for their learning process is an important factor.</w:t>
      </w:r>
    </w:p>
    <w:p>
      <w:pPr>
        <w:widowControl/>
        <w:kinsoku w:val="0"/>
        <w:autoSpaceDE w:val="0"/>
        <w:autoSpaceDN w:val="0"/>
        <w:adjustRightInd w:val="0"/>
        <w:snapToGrid w:val="0"/>
        <w:spacing w:before="120" w:after="240" w:line="360" w:lineRule="auto"/>
        <w:ind w:firstLine="420" w:firstLineChars="200"/>
        <w:textAlignment w:val="baseline"/>
        <w:rPr>
          <w:rFonts w:ascii="Times New Roman" w:hAnsi="Times New Roman" w:eastAsia="宋体" w:cs="Times New Roman"/>
          <w:kern w:val="0"/>
          <w:szCs w:val="21"/>
        </w:rPr>
      </w:pPr>
      <w:r>
        <w:rPr>
          <w:rFonts w:hint="eastAsia" w:ascii="Times New Roman" w:hAnsi="Times New Roman" w:eastAsia="宋体" w:cs="Times New Roman"/>
          <w:kern w:val="0"/>
          <w:szCs w:val="21"/>
        </w:rPr>
        <w:t xml:space="preserve">Thirdly, the technicality and convenience of platform quality have a significant impact on learner satisfaction. From a technical perspective, if high-definition and high-quality courses are presented as much as possible, learners' satisfaction will increase. Stable and accurate technical support can enhance the learning experience and effectiveness, and improve learner satisfaction (Fatani, 2020) Meanwhile, the real-time online education platform is an information system, and the convenience of system use is very important. It can ensure that learners can complete learning tasks easily and efficiently. On the other hand, the interactivity of platform quality has no </w:t>
      </w:r>
      <w:r>
        <w:rPr>
          <w:rFonts w:ascii="Times New Roman" w:hAnsi="Times New Roman" w:eastAsia="宋体" w:cs="Times New Roman"/>
          <w:kern w:val="0"/>
          <w:szCs w:val="21"/>
        </w:rPr>
        <w:t xml:space="preserve">significantly </w:t>
      </w:r>
      <w:r>
        <w:rPr>
          <w:rFonts w:hint="eastAsia" w:ascii="Times New Roman" w:hAnsi="Times New Roman" w:eastAsia="宋体" w:cs="Times New Roman"/>
          <w:kern w:val="0"/>
          <w:szCs w:val="21"/>
        </w:rPr>
        <w:t>impact on learner satisfaction. This can be explained as follows, with the platform quality improv</w:t>
      </w:r>
      <w:r>
        <w:rPr>
          <w:rFonts w:ascii="Times New Roman" w:hAnsi="Times New Roman" w:eastAsia="宋体" w:cs="Times New Roman"/>
          <w:kern w:val="0"/>
          <w:szCs w:val="21"/>
        </w:rPr>
        <w:t>ing</w:t>
      </w:r>
      <w:r>
        <w:rPr>
          <w:rFonts w:hint="eastAsia" w:ascii="Times New Roman" w:hAnsi="Times New Roman" w:eastAsia="宋体" w:cs="Times New Roman"/>
          <w:kern w:val="0"/>
          <w:szCs w:val="21"/>
        </w:rPr>
        <w:t xml:space="preserve">, many usage </w:t>
      </w:r>
      <w:r>
        <w:rPr>
          <w:rFonts w:ascii="Times New Roman" w:hAnsi="Times New Roman" w:eastAsia="宋体" w:cs="Times New Roman"/>
          <w:kern w:val="0"/>
          <w:szCs w:val="21"/>
        </w:rPr>
        <w:t>problem</w:t>
      </w:r>
      <w:r>
        <w:rPr>
          <w:rFonts w:hint="eastAsia" w:ascii="Times New Roman" w:hAnsi="Times New Roman" w:eastAsia="宋体" w:cs="Times New Roman"/>
          <w:kern w:val="0"/>
          <w:szCs w:val="21"/>
        </w:rPr>
        <w:t xml:space="preserve">s that from the original platform are alleviated, and the demand for interaction and communication with the platform gradually decreases. It also indicates that learners can solve problems that they encountered when using the platform on their own. </w:t>
      </w:r>
    </w:p>
    <w:p>
      <w:pPr>
        <w:widowControl/>
        <w:kinsoku w:val="0"/>
        <w:autoSpaceDE w:val="0"/>
        <w:autoSpaceDN w:val="0"/>
        <w:adjustRightInd w:val="0"/>
        <w:snapToGrid w:val="0"/>
        <w:spacing w:before="120" w:after="240" w:line="360" w:lineRule="auto"/>
        <w:ind w:firstLine="420" w:firstLineChars="200"/>
        <w:textAlignment w:val="baseline"/>
        <w:rPr>
          <w:rFonts w:ascii="Times New Roman" w:hAnsi="Times New Roman" w:eastAsia="宋体" w:cs="Times New Roman"/>
          <w:kern w:val="0"/>
          <w:szCs w:val="21"/>
        </w:rPr>
      </w:pPr>
      <w:r>
        <w:rPr>
          <w:rFonts w:hint="eastAsia" w:ascii="Times New Roman" w:hAnsi="Times New Roman" w:eastAsia="宋体" w:cs="Times New Roman"/>
          <w:kern w:val="0"/>
          <w:szCs w:val="21"/>
        </w:rPr>
        <w:t>Fourthly, the paper validated the learner satisfaction has a significant impact on continuous usage intention (Rajehet al., 2021) and confirmed that this can be extended to the study of real-time online education platform.</w:t>
      </w:r>
    </w:p>
    <w:p>
      <w:pPr>
        <w:pStyle w:val="8"/>
        <w:snapToGrid w:val="0"/>
        <w:spacing w:line="0" w:lineRule="atLeast"/>
        <w:ind w:firstLine="449"/>
        <w:contextualSpacing/>
        <w:rPr>
          <w:rFonts w:ascii="Times New Roman" w:hAnsi="Times New Roman" w:cs="Times New Roman"/>
        </w:rPr>
      </w:pPr>
      <w:r>
        <w:rPr>
          <w:rFonts w:ascii="Times New Roman" w:hAnsi="Times New Roman" w:cs="Times New Roman"/>
          <w:b/>
          <w:bCs/>
          <w:sz w:val="22"/>
          <w:szCs w:val="22"/>
        </w:rPr>
        <w:t xml:space="preserve">Discussion </w:t>
      </w:r>
    </w:p>
    <w:p>
      <w:pPr>
        <w:snapToGrid w:val="0"/>
        <w:spacing w:line="360" w:lineRule="auto"/>
        <w:ind w:firstLine="420" w:firstLineChars="200"/>
        <w:contextualSpacing/>
        <w:rPr>
          <w:rFonts w:ascii="Times New Roman" w:hAnsi="Times New Roman" w:eastAsia="宋体" w:cs="Times New Roman"/>
        </w:rPr>
      </w:pPr>
      <w:r>
        <w:rPr>
          <w:rFonts w:ascii="Times New Roman" w:hAnsi="Times New Roman" w:eastAsia="宋体" w:cs="Times New Roman"/>
        </w:rPr>
        <w:t>This paper from the perspective of learners, based on the success model of information system and the quality of teachers, content and platform of the real-time online education platform, designed a questionnaire about the satisfaction of learners of the real-time online education platform, and constructed and verified the satisfaction model of learners of the real-time online education platform according to the sample data. This paper also analyzed the influencing factors of learner satisfaction.</w:t>
      </w:r>
    </w:p>
    <w:p>
      <w:pPr>
        <w:pStyle w:val="8"/>
        <w:ind w:firstLine="449"/>
        <w:rPr>
          <w:rFonts w:ascii="Times New Roman" w:hAnsi="Times New Roman" w:cs="Times New Roman"/>
          <w:b/>
          <w:bCs/>
          <w:sz w:val="22"/>
          <w:szCs w:val="22"/>
        </w:rPr>
      </w:pPr>
      <w:r>
        <w:rPr>
          <w:rFonts w:ascii="Times New Roman" w:hAnsi="Times New Roman" w:cs="Times New Roman"/>
          <w:b/>
          <w:bCs/>
          <w:sz w:val="22"/>
          <w:szCs w:val="22"/>
        </w:rPr>
        <w:t xml:space="preserve">Methods </w:t>
      </w:r>
    </w:p>
    <w:p>
      <w:pPr>
        <w:pStyle w:val="8"/>
        <w:ind w:firstLine="422" w:firstLineChars="200"/>
        <w:rPr>
          <w:rFonts w:ascii="Times New Roman" w:hAnsi="Times New Roman" w:cs="Times New Roman"/>
          <w:b/>
          <w:bCs/>
          <w:sz w:val="20"/>
          <w:szCs w:val="20"/>
        </w:rPr>
      </w:pPr>
      <w:r>
        <w:rPr>
          <w:rFonts w:ascii="Times New Roman" w:hAnsi="Times New Roman" w:cs="Times New Roman"/>
          <w:b/>
          <w:bCs/>
          <w:sz w:val="21"/>
          <w:szCs w:val="13"/>
        </w:rPr>
        <w:t>Research object</w:t>
      </w:r>
    </w:p>
    <w:p>
      <w:pPr>
        <w:widowControl/>
        <w:kinsoku w:val="0"/>
        <w:autoSpaceDE w:val="0"/>
        <w:autoSpaceDN w:val="0"/>
        <w:adjustRightInd w:val="0"/>
        <w:snapToGrid w:val="0"/>
        <w:spacing w:before="120" w:after="240" w:line="360" w:lineRule="auto"/>
        <w:ind w:firstLine="420" w:firstLineChars="200"/>
        <w:textAlignment w:val="baseline"/>
        <w:rPr>
          <w:rFonts w:ascii="Times New Roman" w:hAnsi="Times New Roman" w:eastAsia="宋体" w:cs="Times New Roman"/>
        </w:rPr>
      </w:pPr>
      <w:r>
        <w:rPr>
          <w:rFonts w:ascii="Times New Roman" w:hAnsi="Times New Roman" w:eastAsia="宋体" w:cs="Times New Roman"/>
        </w:rPr>
        <w:t xml:space="preserve">This </w:t>
      </w:r>
      <w:r>
        <w:rPr>
          <w:rFonts w:hint="eastAsia" w:ascii="Times New Roman" w:hAnsi="Times New Roman" w:eastAsia="宋体" w:cs="Times New Roman"/>
        </w:rPr>
        <w:t>paper</w:t>
      </w:r>
      <w:r>
        <w:rPr>
          <w:rFonts w:ascii="Times New Roman" w:hAnsi="Times New Roman" w:eastAsia="宋体" w:cs="Times New Roman"/>
        </w:rPr>
        <w:t xml:space="preserve"> invites approximately 1000 learners of China's real-time online education platform to conduct an online survey from July 10, 2023 to August 15, 2023. Finally, 702 questionnaires were collected and 32 invalid questionnaires were deleted, A total of 670 questionnaires were used for the analysis of this paper. The demographic information of the survey participants is shown in Table 1.</w:t>
      </w:r>
    </w:p>
    <w:p>
      <w:pPr>
        <w:widowControl/>
        <w:kinsoku w:val="0"/>
        <w:autoSpaceDE w:val="0"/>
        <w:autoSpaceDN w:val="0"/>
        <w:adjustRightInd w:val="0"/>
        <w:snapToGrid w:val="0"/>
        <w:spacing w:before="120" w:after="240" w:line="360" w:lineRule="auto"/>
        <w:ind w:firstLine="420" w:firstLineChars="200"/>
        <w:textAlignment w:val="baseline"/>
        <w:rPr>
          <w:rFonts w:ascii="Times New Roman" w:hAnsi="Times New Roman" w:eastAsia="宋体" w:cs="Times New Roman"/>
        </w:rPr>
      </w:pPr>
      <w:r>
        <w:rPr>
          <w:rFonts w:ascii="Times New Roman" w:hAnsi="Times New Roman" w:eastAsia="宋体" w:cs="Times New Roman"/>
        </w:rPr>
        <w:t>The questionnaire consists of two parts. The first part is the demographic information of learners, such as 410 male participants (61.2%),260 female participants (38.8%),The maximum age group is under 20-30 years old, with 274 people（40.9%）. From Occupation perspective, the proportion of students is the largest, with 262 people (39.1%), Next are staff (210 people), civil servants (164 people), and individual business (34 people). From the perspective of education level, the most is university graduation, with 243 people（36.3%）.The proportion of people with a monthly income of over 3000 yuan but below 5000 yuan is the highest, with 188 people (28.1%). The second part measures the constructs involved in the theoretical model based on the Likert scale (1=completely disagree, 5=completely agree), includes teacher quality, content quality, platform quality, learner satisfaction, and continuous usage intention. All variables are taken from existing research. Research on teacher quality, content quality, and platform quality was conducted by using Gao (2020), Liu and Luo (2022), Liu et al. (2021), and others. Learner satisfaction and continuous usage intention were measured by using a scale developed by Rajeh et al. (2021), Alqahtani, and Mohammad (2015). Table2 shows the questionnaire structure and measurement items.</w:t>
      </w:r>
    </w:p>
    <w:p>
      <w:pPr>
        <w:pStyle w:val="8"/>
        <w:rPr>
          <w:rFonts w:ascii="Times New Roman" w:hAnsi="Times New Roman" w:cs="Times New Roman"/>
          <w:b/>
          <w:bCs/>
          <w:sz w:val="21"/>
          <w:szCs w:val="13"/>
        </w:rPr>
      </w:pPr>
      <w:r>
        <w:rPr>
          <w:rFonts w:ascii="Times New Roman" w:hAnsi="Times New Roman" w:cs="Times New Roman"/>
          <w:b/>
          <w:bCs/>
          <w:sz w:val="21"/>
          <w:szCs w:val="13"/>
        </w:rPr>
        <w:t>Correlation analysis</w:t>
      </w:r>
    </w:p>
    <w:p>
      <w:pPr>
        <w:widowControl/>
        <w:kinsoku w:val="0"/>
        <w:autoSpaceDE w:val="0"/>
        <w:autoSpaceDN w:val="0"/>
        <w:adjustRightInd w:val="0"/>
        <w:snapToGrid w:val="0"/>
        <w:spacing w:before="120" w:after="240" w:line="360" w:lineRule="auto"/>
        <w:ind w:firstLine="420" w:firstLineChars="200"/>
        <w:textAlignment w:val="baseline"/>
        <w:rPr>
          <w:rFonts w:ascii="Times New Roman" w:hAnsi="Times New Roman" w:eastAsia="宋体" w:cs="Times New Roman"/>
        </w:rPr>
      </w:pPr>
      <w:r>
        <w:rPr>
          <w:rFonts w:ascii="Times New Roman" w:hAnsi="Times New Roman" w:eastAsia="宋体" w:cs="Times New Roman"/>
        </w:rPr>
        <w:t>A correlation analysis was conducted to determine the correlation degree of each variable before hypothesis testing in this paper. The results are shown in Table 3.</w:t>
      </w:r>
    </w:p>
    <w:p>
      <w:pPr>
        <w:widowControl/>
        <w:kinsoku w:val="0"/>
        <w:autoSpaceDE w:val="0"/>
        <w:autoSpaceDN w:val="0"/>
        <w:adjustRightInd w:val="0"/>
        <w:snapToGrid w:val="0"/>
        <w:spacing w:before="120" w:after="240" w:line="360" w:lineRule="auto"/>
        <w:textAlignment w:val="baseline"/>
        <w:rPr>
          <w:rFonts w:ascii="Times New Roman" w:hAnsi="Times New Roman" w:eastAsia="宋体" w:cs="Times New Roman"/>
          <w:b/>
          <w:bCs/>
          <w:kern w:val="0"/>
          <w:szCs w:val="13"/>
        </w:rPr>
      </w:pPr>
      <w:r>
        <w:rPr>
          <w:rFonts w:ascii="Times New Roman" w:hAnsi="Times New Roman" w:eastAsia="宋体" w:cs="Times New Roman"/>
          <w:b/>
          <w:bCs/>
          <w:kern w:val="0"/>
          <w:szCs w:val="13"/>
        </w:rPr>
        <w:t>Measurement model</w:t>
      </w:r>
    </w:p>
    <w:p>
      <w:pPr>
        <w:widowControl/>
        <w:kinsoku w:val="0"/>
        <w:autoSpaceDE w:val="0"/>
        <w:autoSpaceDN w:val="0"/>
        <w:adjustRightInd w:val="0"/>
        <w:snapToGrid w:val="0"/>
        <w:spacing w:before="120" w:after="240" w:line="360" w:lineRule="auto"/>
        <w:ind w:firstLine="420" w:firstLineChars="200"/>
        <w:textAlignment w:val="baseline"/>
        <w:rPr>
          <w:rFonts w:ascii="Times New Roman" w:hAnsi="Times New Roman" w:eastAsia="宋体" w:cs="Times New Roman"/>
        </w:rPr>
      </w:pPr>
      <w:r>
        <w:rPr>
          <w:rFonts w:ascii="Times New Roman" w:hAnsi="Times New Roman" w:eastAsia="宋体" w:cs="Times New Roman"/>
        </w:rPr>
        <w:t>The main evaluation indicators for measuring the reliability and validity of the model include internal consistency and convergence validity. Internal consistency usually uses Cronbach's alpha coefficients and composite reliability to measure. As shown in Table 4, the composite reliability of all potential variables are range from 0.836 to 0.953, with Cronbach’s alpha coefficients are all above the threshold of 0.7, indicating good internal consistency and satisfactory reliability level.</w:t>
      </w:r>
    </w:p>
    <w:p>
      <w:pPr>
        <w:widowControl/>
        <w:kinsoku w:val="0"/>
        <w:autoSpaceDE w:val="0"/>
        <w:autoSpaceDN w:val="0"/>
        <w:adjustRightInd w:val="0"/>
        <w:snapToGrid w:val="0"/>
        <w:spacing w:before="120" w:after="240" w:line="360" w:lineRule="auto"/>
        <w:textAlignment w:val="baseline"/>
        <w:rPr>
          <w:rFonts w:ascii="Times New Roman" w:hAnsi="Times New Roman" w:eastAsia="宋体" w:cs="Times New Roman"/>
          <w:b/>
          <w:bCs/>
          <w:kern w:val="0"/>
          <w:szCs w:val="13"/>
        </w:rPr>
      </w:pPr>
      <w:r>
        <w:rPr>
          <w:rFonts w:ascii="Times New Roman" w:hAnsi="Times New Roman" w:eastAsia="宋体" w:cs="Times New Roman"/>
          <w:b/>
          <w:bCs/>
          <w:kern w:val="0"/>
          <w:szCs w:val="13"/>
        </w:rPr>
        <w:t>Testing of research hypotheses</w:t>
      </w:r>
    </w:p>
    <w:p>
      <w:pPr>
        <w:widowControl/>
        <w:kinsoku w:val="0"/>
        <w:autoSpaceDE w:val="0"/>
        <w:autoSpaceDN w:val="0"/>
        <w:adjustRightInd w:val="0"/>
        <w:snapToGrid w:val="0"/>
        <w:spacing w:before="120" w:after="240" w:line="360" w:lineRule="auto"/>
        <w:ind w:firstLine="420" w:firstLineChars="200"/>
        <w:textAlignment w:val="baseline"/>
        <w:rPr>
          <w:rFonts w:ascii="Times New Roman" w:hAnsi="Times New Roman" w:eastAsia="宋体" w:cs="Times New Roman"/>
        </w:rPr>
      </w:pPr>
      <w:r>
        <w:rPr>
          <w:rFonts w:ascii="Times New Roman" w:hAnsi="Times New Roman" w:eastAsia="宋体" w:cs="Times New Roman"/>
        </w:rPr>
        <w:t>Import the data that collected from the questionnaire into AMOS 24.0 software and use the maximum likelihood method to test the fit of the structural equation model. The actual and standard values of each fitting indicator are shown in the table below. Obviously, the actual values of all fitness indicators of the structural model are better than the recommended values.</w:t>
      </w:r>
    </w:p>
    <w:p>
      <w:pPr>
        <w:pStyle w:val="8"/>
        <w:rPr>
          <w:rFonts w:ascii="Times New Roman" w:hAnsi="Times New Roman" w:cs="Times New Roman"/>
          <w:b/>
          <w:bCs/>
          <w:sz w:val="21"/>
          <w:szCs w:val="13"/>
        </w:rPr>
      </w:pPr>
      <w:r>
        <w:rPr>
          <w:rFonts w:ascii="Times New Roman" w:hAnsi="Times New Roman" w:cs="Times New Roman"/>
          <w:b/>
          <w:bCs/>
          <w:sz w:val="21"/>
          <w:szCs w:val="13"/>
        </w:rPr>
        <w:t>Measurements</w:t>
      </w:r>
    </w:p>
    <w:p>
      <w:pPr>
        <w:ind w:firstLine="315" w:firstLineChars="150"/>
        <w:rPr>
          <w:rFonts w:ascii="Times New Roman" w:hAnsi="Times New Roman" w:eastAsia="宋体" w:cs="Times New Roman"/>
        </w:rPr>
      </w:pPr>
      <w:r>
        <w:rPr>
          <w:rFonts w:ascii="Times New Roman" w:hAnsi="Times New Roman" w:eastAsia="宋体" w:cs="Times New Roman"/>
        </w:rPr>
        <w:t>The questionnaire consists of two parts. The first part is the demographic information of learners, such as 410 male participants (61.2%),260 female participants (38.8%),The maximum age group is under 20-30 years old, with 274 people（40.9%）. From Occupation perspective, the proportion of students is the largest, with 262 people (39.1%), Next are staff (210 people), civil servants (164 people), and individual business (34 people). From the perspective of education level, the most is university graduation, with 243 people（36.3%）.The proportion of people with a monthly income of over 3000 yuan but below 5000 yuan is the highest, with 188 people (28.1%). The second part measures the constructs involved in the theoretical model based on the Likert scale (1=completely disagree, 5=completely agree), includes teacher quality, content quality, platform quality, learner satisfaction, and continuous usage intention. All variables are taken from existing research. Research on teacher quality, content quality, and platform quality was conducted by using Gao (2020), Liu and Luo (2022), Liu et al. (2021), and others. Learner satisfaction and continuous usage intention were measured by using a scale developed by Rajeh et al. (2021), Alqahtani, and Mohammad (2015).</w:t>
      </w:r>
    </w:p>
    <w:p>
      <w:pPr>
        <w:rPr>
          <w:rFonts w:ascii="宋体" w:hAnsi="宋体" w:eastAsia="宋体"/>
          <w:b/>
          <w:bCs/>
        </w:rPr>
      </w:pPr>
    </w:p>
    <w:p>
      <w:pPr>
        <w:jc w:val="left"/>
        <w:rPr>
          <w:rFonts w:ascii="Times New Roman" w:hAnsi="Times New Roman" w:eastAsia="宋体" w:cs="Times New Roman"/>
          <w:b/>
          <w:bCs/>
        </w:rPr>
      </w:pPr>
      <w:r>
        <w:rPr>
          <w:rFonts w:ascii="Times New Roman" w:hAnsi="Times New Roman" w:eastAsia="宋体" w:cs="Times New Roman"/>
          <w:b/>
          <w:bCs/>
        </w:rPr>
        <w:t>Testing of research hypotheses</w:t>
      </w:r>
    </w:p>
    <w:p>
      <w:pPr>
        <w:ind w:firstLine="420" w:firstLineChars="200"/>
        <w:rPr>
          <w:rFonts w:ascii="Times New Roman" w:hAnsi="Times New Roman" w:eastAsia="宋体" w:cs="Times New Roman"/>
        </w:rPr>
      </w:pPr>
      <w:r>
        <w:rPr>
          <w:rFonts w:ascii="Times New Roman" w:hAnsi="Times New Roman" w:eastAsia="宋体" w:cs="Times New Roman"/>
        </w:rPr>
        <w:t>Import the data that collected from the questionnaire into AMOS 24.0 software and use the maximum likelihood method to test the fit of the structural equation model. The actual and standard values of each fitting indicator are shown in the table below. Obviously, the actual values of all fitness indicators of the structural model are better than the recommended values.</w:t>
      </w:r>
    </w:p>
    <w:p>
      <w:pPr>
        <w:widowControl/>
        <w:kinsoku w:val="0"/>
        <w:autoSpaceDE w:val="0"/>
        <w:autoSpaceDN w:val="0"/>
        <w:adjustRightInd w:val="0"/>
        <w:snapToGrid w:val="0"/>
        <w:spacing w:before="120" w:after="240" w:line="360" w:lineRule="auto"/>
        <w:ind w:firstLine="420" w:firstLineChars="200"/>
        <w:textAlignment w:val="baseline"/>
        <w:rPr>
          <w:rFonts w:ascii="Times New Roman" w:hAnsi="Times New Roman" w:eastAsia="宋体" w:cs="Times New Roman"/>
        </w:rPr>
      </w:pPr>
      <w:r>
        <w:rPr>
          <w:rFonts w:ascii="Times New Roman" w:hAnsi="Times New Roman" w:eastAsia="宋体" w:cs="Times New Roman"/>
        </w:rPr>
        <w:t xml:space="preserve">The validation results of the hypotheses in this </w:t>
      </w:r>
      <w:r>
        <w:rPr>
          <w:rFonts w:hint="eastAsia" w:ascii="Times New Roman" w:hAnsi="Times New Roman" w:eastAsia="宋体" w:cs="Times New Roman"/>
        </w:rPr>
        <w:t>paper</w:t>
      </w:r>
      <w:r>
        <w:rPr>
          <w:rFonts w:ascii="Times New Roman" w:hAnsi="Times New Roman" w:eastAsia="宋体" w:cs="Times New Roman"/>
        </w:rPr>
        <w:t xml:space="preserve"> are shown in Table 6. The professionalism and honesty of teacher quality in real-time online education platforms; The usefulness, abundance, appropriateness of content quality, as well as the technical and convenient degree of platform quality, all have a significant positive impact on learner satisfaction. But the charm of teacher quality and the interactivity of platform quality have no significant impact on learner satisfaction.</w:t>
      </w:r>
    </w:p>
    <w:p>
      <w:pPr>
        <w:rPr>
          <w:rFonts w:ascii="Times New Roman" w:hAnsi="Times New Roman" w:cs="Times New Roman"/>
          <w:color w:val="FF0000"/>
        </w:rPr>
      </w:pPr>
      <w:r>
        <w:rPr>
          <w:rFonts w:ascii="Times New Roman" w:hAnsi="Times New Roman" w:cs="Times New Roman"/>
          <w:b/>
          <w:bCs/>
          <w:color w:val="FF0000"/>
        </w:rPr>
        <w:t xml:space="preserve">Statement 1: </w:t>
      </w:r>
      <w:r>
        <w:rPr>
          <w:rFonts w:ascii="Times New Roman" w:hAnsi="Times New Roman" w:cs="Times New Roman"/>
          <w:color w:val="FF0000"/>
        </w:rPr>
        <w:t>Confirming that all methods were carried out in accordance with relevant guidelines and regulations.</w:t>
      </w:r>
    </w:p>
    <w:p>
      <w:pPr>
        <w:rPr>
          <w:rFonts w:ascii="Times New Roman" w:hAnsi="Times New Roman" w:cs="Times New Roman"/>
          <w:color w:val="FF0000"/>
        </w:rPr>
      </w:pPr>
    </w:p>
    <w:p>
      <w:pPr>
        <w:rPr>
          <w:rFonts w:ascii="Times New Roman" w:hAnsi="Times New Roman" w:cs="Times New Roman"/>
          <w:color w:val="FF0000"/>
        </w:rPr>
      </w:pPr>
      <w:r>
        <w:rPr>
          <w:rFonts w:ascii="Times New Roman" w:hAnsi="Times New Roman" w:cs="Times New Roman"/>
          <w:b/>
          <w:bCs/>
          <w:color w:val="FF0000"/>
        </w:rPr>
        <w:t>Statement 2:</w:t>
      </w:r>
      <w:r>
        <w:rPr>
          <w:rFonts w:ascii="Times New Roman" w:hAnsi="Times New Roman" w:cs="Times New Roman"/>
          <w:color w:val="FF0000"/>
        </w:rPr>
        <w:t xml:space="preserve"> Confirming that all experimental protocols were approved by Guangzhou College of Technology and Business.</w:t>
      </w:r>
    </w:p>
    <w:p>
      <w:pPr>
        <w:rPr>
          <w:rFonts w:ascii="Times New Roman" w:hAnsi="Times New Roman" w:cs="Times New Roman"/>
          <w:color w:val="FF0000"/>
        </w:rPr>
      </w:pPr>
    </w:p>
    <w:p>
      <w:pPr>
        <w:rPr>
          <w:rFonts w:ascii="Times New Roman" w:hAnsi="Times New Roman" w:cs="Times New Roman"/>
          <w:color w:val="FF0000"/>
        </w:rPr>
      </w:pPr>
      <w:r>
        <w:rPr>
          <w:rFonts w:ascii="Times New Roman" w:hAnsi="Times New Roman" w:cs="Times New Roman"/>
          <w:b/>
          <w:bCs/>
          <w:color w:val="FF0000"/>
        </w:rPr>
        <w:t xml:space="preserve">Statement 3: </w:t>
      </w:r>
      <w:r>
        <w:rPr>
          <w:rFonts w:ascii="Times New Roman" w:hAnsi="Times New Roman" w:cs="Times New Roman"/>
          <w:color w:val="FF0000"/>
        </w:rPr>
        <w:t>Confirming that informed consent was obtained from all subjects.</w:t>
      </w:r>
    </w:p>
    <w:p>
      <w:pPr>
        <w:rPr>
          <w:rFonts w:ascii="Times New Roman" w:hAnsi="Times New Roman" w:cs="Times New Roman"/>
          <w:color w:val="FF0000"/>
        </w:rPr>
      </w:pPr>
    </w:p>
    <w:p>
      <w:pPr>
        <w:rPr>
          <w:rFonts w:ascii="Times New Roman" w:hAnsi="Times New Roman" w:cs="Times New Roman"/>
          <w:color w:val="FF0000"/>
        </w:rPr>
      </w:pPr>
      <w:r>
        <w:rPr>
          <w:rFonts w:ascii="Times New Roman" w:hAnsi="Times New Roman" w:cs="Times New Roman"/>
          <w:b/>
          <w:bCs/>
          <w:color w:val="FF0000"/>
        </w:rPr>
        <w:t xml:space="preserve">Statement 4: </w:t>
      </w:r>
      <w:r>
        <w:rPr>
          <w:rFonts w:ascii="Times New Roman" w:hAnsi="Times New Roman" w:cs="Times New Roman"/>
          <w:color w:val="FF0000"/>
        </w:rPr>
        <w:t>Authors reporting experiments on humans and/or the use of human tissue samples already confirm that all experiments were performed in accordance with relevant guidelines and regulations.</w:t>
      </w:r>
    </w:p>
    <w:p>
      <w:pPr>
        <w:widowControl/>
        <w:kinsoku w:val="0"/>
        <w:autoSpaceDE w:val="0"/>
        <w:autoSpaceDN w:val="0"/>
        <w:adjustRightInd w:val="0"/>
        <w:snapToGrid w:val="0"/>
        <w:spacing w:before="120" w:after="240" w:line="360" w:lineRule="auto"/>
        <w:ind w:firstLine="420" w:firstLineChars="200"/>
        <w:textAlignment w:val="baseline"/>
        <w:rPr>
          <w:rFonts w:ascii="Times New Roman" w:hAnsi="Times New Roman" w:eastAsia="宋体" w:cs="Times New Roman"/>
        </w:rPr>
      </w:pPr>
    </w:p>
    <w:p>
      <w:pPr>
        <w:ind w:firstLine="449"/>
        <w:rPr>
          <w:rFonts w:ascii="Times New Roman" w:hAnsi="Times New Roman" w:eastAsia="宋体" w:cs="Times New Roman"/>
          <w:b/>
          <w:bCs/>
          <w:kern w:val="0"/>
          <w:sz w:val="22"/>
          <w:szCs w:val="22"/>
        </w:rPr>
      </w:pPr>
      <w:r>
        <w:rPr>
          <w:rFonts w:ascii="Times New Roman" w:hAnsi="Times New Roman" w:eastAsia="宋体" w:cs="Times New Roman"/>
          <w:b/>
          <w:bCs/>
          <w:kern w:val="0"/>
          <w:sz w:val="22"/>
          <w:szCs w:val="22"/>
        </w:rPr>
        <w:t>References</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 xml:space="preserve">Zhou L, Wu S, Zhou M, et al. 'School’s out, but class’s on the largest online education in the world today: Taking China’s practical exploration during the COVID-19 epidemic prevention and control as an example. J. Best evid chin edu. 4, 501-519 </w:t>
      </w:r>
      <w:r>
        <w:rPr>
          <w:rFonts w:hint="eastAsia" w:ascii="Times New Roman" w:hAnsi="Times New Roman" w:eastAsia="宋体" w:cs="Times New Roman"/>
        </w:rPr>
        <w:t>(</w:t>
      </w:r>
      <w:r>
        <w:rPr>
          <w:rFonts w:ascii="Times New Roman" w:hAnsi="Times New Roman" w:eastAsia="宋体" w:cs="Times New Roman"/>
        </w:rPr>
        <w:t>2020</w:t>
      </w:r>
      <w:r>
        <w:rPr>
          <w:rFonts w:hint="eastAsia" w:ascii="Times New Roman" w:hAnsi="Times New Roman" w:eastAsia="宋体" w:cs="Times New Roman"/>
        </w:rPr>
        <w:t>)</w:t>
      </w:r>
      <w:r>
        <w:rPr>
          <w:rFonts w:ascii="Times New Roman" w:hAnsi="Times New Roman" w:eastAsia="宋体" w:cs="Times New Roman"/>
        </w:rPr>
        <w:t>.</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Chaudhry I S, Paquibut R, Islam A R, et al. Testing the success of real-time online delivery channel adopted by higher education institutions in the United Arab Emirates during the Covid-19 pandemic. J. International Journal of Educational Technology in Higher Education. 18, 1-21 (2021).</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Simamora R M. The Challenges of online learning during the COVID-19 pandemic: An essay analysis of performing arts education students. J. Studies in Learning and Teaching. 1, 86-103 (2020).</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Chung E, Subramaniam G, Dass L C. Online learning readiness among university students in Malaysia amidst COVID-19. J. Asian Journal of University Education. 16, 45-58 (2020).</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Mishra L, Gupta T, Shree A. Online teaching-learning in higher education during lockdown period of COVID-19 pandemic. J. International journal of educational research open. 1, 100012 (2020).</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Pham L, Limbu Y B, Bui T K, et al. Does e-learning service quality influence e-learning student satisfaction and loyalty? Evidence from Vietnam. J. International Journal of Educational Technology in Higher Education. 16, 1-26 (2019).</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Al-Fraihat D, Joy M, Sinclair J. Evaluating E-learning systems success: An empirical study. J. Computers in human behavior. 102, 67-86 (2020).</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Themelis C, Sime J A. From video-conferencing to haloboration and haptics: How emerging technologies can enhance presence in online education?. J. Emerging technologies and pedagogies in the curriculum. 261-276. (2020).</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Bariham I. Senior High School Teachers' and Students' Perception about the Integration of Online Learning and Its Impact on Their Application of Technology in Teaching and Learning of Social Studies in Northern Region, Ghana. J. Social Education Research. 161-174 (2022).</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 xml:space="preserve">Bonina C, Koskinen K, Eaton B, et al. Digital platforms for development: Foundations and research agenda. J. Information Systems Journal. 31, 869-902 (2021). </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Oh H, Ahn S, Choi J K, et al. WebRTC based remote collaborative online learning platform[C]. Proceedings of the 1st Workshop on All-Web Real-Time Systems. 1-5 (2015).</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DeLone W H, McLean E R. The DeLone and McLean model of information systems success: a ten-year update. J. Journal of management information systems. 19, 9-30 (2003).</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Kin T M, Omar A K, Musa K, et al. Leading teaching and learning in the era of education 4.0: The relationship between perceived teacher competencies and teacher attitudes toward change. J. Asian Journal of University Education. 18, 65-80 (2022).</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Liu H, Chu W, Fang F, et al. Examining the professional quality of experienced EFL teachers for their sustainable career trajectories in rural areas in China. J. Sustainability. 13,10054 (2021).</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Mynbayeva A, Yessenova K. Distinguishing features of teacher image and faculty member’s image: Comparative study. J. International Review of Management and Marketing. 6,110-117(2016).</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Miñon C G. Workplace spirituality, work ethics, and organizational justice as related to job performance among state university educators. J. Journal of Teaching and Education. 7,407-418 (2017).</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Rahimi A R. A bi-phenomenon analysis to escalate higher educators’ competence in developing university students’ information literacy (HECDUSIL): The role of language lectures’ conceptual and action-oriented digital competencies and skills. J. Education and Information Technologies.1-28 (2023).</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Gao F. Establishment of college English teachers’ teaching ability evaluation based on Clementine data mining. J. Journal of Intelligent &amp; Fuzzy Systems. 38, 6833-6841 (2020).</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Gao S, Long H, Li D, et al. The mediation effect of student self-efficacy between teaching approaches and science achievement: findings from 2011 TIMSS US data. J. Social Psychology of Education. 23, 385-410 (2020).</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 xml:space="preserve">Qin Y, Wang P. How EFL teachers engage students: a multimodal analysis of pedagogic discourse during classroom lead-ins. J. Frontiers in Psychology. 12, 793495 (2021). </w:t>
      </w:r>
    </w:p>
    <w:p>
      <w:pPr>
        <w:pStyle w:val="3"/>
        <w:numPr>
          <w:ilvl w:val="0"/>
          <w:numId w:val="2"/>
        </w:numPr>
        <w:ind w:firstLineChars="0"/>
        <w:rPr>
          <w:rFonts w:ascii="Times New Roman" w:hAnsi="Times New Roman" w:eastAsia="宋体" w:cs="Times New Roman"/>
        </w:rPr>
      </w:pPr>
      <w:r>
        <w:rPr>
          <w:rFonts w:ascii="Times New Roman" w:hAnsi="Times New Roman" w:eastAsia="宋体" w:cs="Times New Roman"/>
        </w:rPr>
        <w:t>Fraser S P. Pedagogical content knowledge (PCK): Exploring its usefulness for science lecturers in higher education. J. Research in Science Education. 46, 141-161 (2016).</w:t>
      </w:r>
    </w:p>
    <w:p>
      <w:pPr>
        <w:ind w:left="315" w:hanging="315" w:hangingChars="150"/>
        <w:rPr>
          <w:rFonts w:ascii="Times New Roman" w:hAnsi="Times New Roman" w:eastAsia="宋体" w:cs="Times New Roman"/>
        </w:rPr>
      </w:pPr>
      <w:r>
        <w:rPr>
          <w:rFonts w:ascii="Times New Roman" w:hAnsi="Times New Roman" w:eastAsia="宋体" w:cs="Times New Roman"/>
        </w:rPr>
        <w:t>22. Prieto L R. Incorporating diversity content into courses and concerns about teaching culturally diverse students. J. Teaching of Psychology. 45, 146-153 (2018).</w:t>
      </w:r>
    </w:p>
    <w:p>
      <w:pPr>
        <w:ind w:left="315" w:hanging="315" w:hangingChars="150"/>
        <w:rPr>
          <w:rFonts w:ascii="Times New Roman" w:hAnsi="Times New Roman" w:eastAsia="宋体" w:cs="Times New Roman"/>
        </w:rPr>
      </w:pPr>
      <w:r>
        <w:rPr>
          <w:rFonts w:ascii="Times New Roman" w:hAnsi="Times New Roman" w:eastAsia="宋体" w:cs="Times New Roman"/>
        </w:rPr>
        <w:t>23. Schiekirka S, Raupach T. A systematic review of factors influencing student ratings in undergraduate medical education course evaluations. J. BMC medical education. 15, 1-9 (2015).</w:t>
      </w:r>
    </w:p>
    <w:p>
      <w:pPr>
        <w:ind w:left="315" w:hanging="315" w:hangingChars="150"/>
        <w:rPr>
          <w:rFonts w:ascii="Times New Roman" w:hAnsi="Times New Roman" w:eastAsia="宋体" w:cs="Times New Roman"/>
        </w:rPr>
      </w:pPr>
      <w:r>
        <w:rPr>
          <w:rFonts w:ascii="Times New Roman" w:hAnsi="Times New Roman" w:eastAsia="宋体" w:cs="Times New Roman"/>
        </w:rPr>
        <w:t>24. Liu D, Luo J. College learning from classrooms to the internet: Adoption of the YouTube as supplementary tool in COVID-19 pandemic environment. J. Education and Urban Society. 54, 848-870 (2022).</w:t>
      </w:r>
    </w:p>
    <w:p>
      <w:pPr>
        <w:ind w:left="315" w:hanging="315" w:hangingChars="150"/>
        <w:rPr>
          <w:rFonts w:ascii="Times New Roman" w:hAnsi="Times New Roman" w:eastAsia="宋体" w:cs="Times New Roman"/>
        </w:rPr>
      </w:pPr>
      <w:r>
        <w:rPr>
          <w:rFonts w:ascii="Times New Roman" w:hAnsi="Times New Roman" w:eastAsia="宋体" w:cs="Times New Roman"/>
        </w:rPr>
        <w:t>25. Ferri F, Grifoni P, Guzzo T. Online learning and emergency remote teaching: Opportunities and challenges in emergency situations. J. Societies. 10, 86 (2020).</w:t>
      </w:r>
    </w:p>
    <w:p>
      <w:pPr>
        <w:ind w:left="315" w:hanging="315" w:hangingChars="150"/>
        <w:rPr>
          <w:rFonts w:ascii="Times New Roman" w:hAnsi="Times New Roman" w:eastAsia="宋体" w:cs="Times New Roman"/>
        </w:rPr>
      </w:pPr>
      <w:r>
        <w:rPr>
          <w:rFonts w:ascii="Times New Roman" w:hAnsi="Times New Roman" w:eastAsia="宋体" w:cs="Times New Roman"/>
        </w:rPr>
        <w:t>26. Dambanemuya H K, Diakopoulos N. Auditing the information quality of news-related queries on the Alexa voice assistant. J. Proceedings of the ACM on Human-Computer Interaction. 5,</w:t>
      </w:r>
    </w:p>
    <w:p>
      <w:pPr>
        <w:ind w:left="315" w:hanging="315" w:hangingChars="150"/>
        <w:rPr>
          <w:rFonts w:ascii="Times New Roman" w:hAnsi="Times New Roman" w:eastAsia="宋体" w:cs="Times New Roman"/>
        </w:rPr>
      </w:pPr>
      <w:r>
        <w:rPr>
          <w:rFonts w:ascii="Times New Roman" w:hAnsi="Times New Roman" w:eastAsia="宋体" w:cs="Times New Roman"/>
        </w:rPr>
        <w:t xml:space="preserve">   1-21 (2021).</w:t>
      </w:r>
    </w:p>
    <w:p>
      <w:pPr>
        <w:ind w:left="315" w:hanging="315" w:hangingChars="150"/>
        <w:rPr>
          <w:rFonts w:ascii="Times New Roman" w:hAnsi="Times New Roman" w:eastAsia="宋体" w:cs="Times New Roman"/>
        </w:rPr>
      </w:pPr>
      <w:r>
        <w:rPr>
          <w:rFonts w:ascii="Times New Roman" w:hAnsi="Times New Roman" w:eastAsia="宋体" w:cs="Times New Roman"/>
        </w:rPr>
        <w:t>27. Liu J, Wang C, Xiao X. Internet of things (IoT) technology for the development of intelligent decision support education platform. J. Scientific Programming. 1-12 (2021).</w:t>
      </w:r>
    </w:p>
    <w:p>
      <w:pPr>
        <w:ind w:left="315" w:hanging="315" w:hangingChars="150"/>
        <w:rPr>
          <w:rFonts w:ascii="Times New Roman" w:hAnsi="Times New Roman" w:eastAsia="宋体" w:cs="Times New Roman"/>
        </w:rPr>
      </w:pPr>
      <w:r>
        <w:rPr>
          <w:rFonts w:ascii="Times New Roman" w:hAnsi="Times New Roman" w:eastAsia="宋体" w:cs="Times New Roman"/>
        </w:rPr>
        <w:t>28. Rajeh M T, Abduljabbar F H, Alqahtani S M, et al. Students’ satisfaction and continued intention toward e-learning: A theory-based study. J. Medical education online. 26, 1961348 (2021).</w:t>
      </w:r>
    </w:p>
    <w:p>
      <w:pPr>
        <w:ind w:left="315" w:hanging="315" w:hangingChars="150"/>
        <w:rPr>
          <w:rFonts w:ascii="Times New Roman" w:hAnsi="Times New Roman" w:eastAsia="宋体" w:cs="Times New Roman"/>
        </w:rPr>
      </w:pPr>
      <w:r>
        <w:rPr>
          <w:rFonts w:ascii="Times New Roman" w:hAnsi="Times New Roman" w:eastAsia="宋体" w:cs="Times New Roman"/>
        </w:rPr>
        <w:t>29. Alqahtani M, Mohammad H. Mobile applications' impact on student performance and satisfaction. J. Turkish Online Journal of Educational Technology-TOJET. 14, 102-112 (2015).</w:t>
      </w:r>
    </w:p>
    <w:p>
      <w:pPr>
        <w:ind w:left="315" w:hanging="315" w:hangingChars="150"/>
        <w:rPr>
          <w:rFonts w:ascii="Times New Roman" w:hAnsi="Times New Roman" w:eastAsia="宋体" w:cs="Times New Roman"/>
        </w:rPr>
      </w:pPr>
      <w:r>
        <w:rPr>
          <w:rFonts w:ascii="Times New Roman" w:hAnsi="Times New Roman" w:eastAsia="宋体" w:cs="Times New Roman"/>
        </w:rPr>
        <w:t>30. Liu Y. Research on diversified model of pe teaching evaluation in universities based on modern information technology. 2021(2nd) International Conference on Computers, Information Processing and Advanced Education. 1481-1484 (2021).</w:t>
      </w:r>
    </w:p>
    <w:p>
      <w:pPr>
        <w:ind w:left="315" w:hanging="315" w:hangingChars="150"/>
        <w:rPr>
          <w:rFonts w:ascii="Times New Roman" w:hAnsi="Times New Roman" w:eastAsia="宋体" w:cs="Times New Roman"/>
        </w:rPr>
      </w:pPr>
      <w:r>
        <w:rPr>
          <w:rFonts w:ascii="Times New Roman" w:hAnsi="Times New Roman" w:eastAsia="宋体" w:cs="Times New Roman"/>
        </w:rPr>
        <w:t>31. Fatani T H. Student satisfaction with video conferencing teaching quality during the COVID-19 pandemic. J. BMC medical education. 20, 1-8 (2020).</w:t>
      </w:r>
    </w:p>
    <w:p>
      <w:pPr>
        <w:ind w:left="315" w:hanging="315" w:hangingChars="150"/>
        <w:rPr>
          <w:rFonts w:ascii="Times New Roman" w:hAnsi="Times New Roman" w:eastAsia="宋体" w:cs="Times New Roman"/>
        </w:rPr>
      </w:pPr>
      <w:r>
        <w:rPr>
          <w:rFonts w:ascii="Times New Roman" w:hAnsi="Times New Roman" w:eastAsia="宋体" w:cs="Times New Roman"/>
        </w:rPr>
        <w:t>32. Xu Xiaoqing, Zhao Wei, Liu Hongxia. Research on the influencing factors of online learning satisfaction among college students. J. China Distance Education. 43-50, 79-80 (2017).</w:t>
      </w:r>
    </w:p>
    <w:p>
      <w:pPr>
        <w:ind w:left="315" w:hanging="315" w:hangingChars="150"/>
        <w:rPr>
          <w:rFonts w:ascii="Times New Roman" w:hAnsi="Times New Roman" w:eastAsia="宋体" w:cs="Times New Roman"/>
        </w:rPr>
      </w:pPr>
      <w:r>
        <w:rPr>
          <w:rFonts w:ascii="Times New Roman" w:hAnsi="Times New Roman" w:eastAsia="宋体" w:cs="Times New Roman"/>
        </w:rPr>
        <w:t>33. Yang Genfu. A Study on the Factors Influencing the Continuous Use Behavior of MOOC Users. J. Open Education Research. 1, 100-111 (2016).</w:t>
      </w:r>
    </w:p>
    <w:p>
      <w:pPr>
        <w:ind w:left="315" w:hanging="315" w:hangingChars="150"/>
        <w:rPr>
          <w:rFonts w:ascii="Times New Roman" w:hAnsi="Times New Roman" w:eastAsia="宋体" w:cs="Times New Roman"/>
        </w:rPr>
      </w:pPr>
      <w:r>
        <w:rPr>
          <w:rFonts w:ascii="Times New Roman" w:hAnsi="Times New Roman" w:eastAsia="宋体" w:cs="Times New Roman"/>
        </w:rPr>
        <w:t>34. Zhang Z, Wang Y N, Chen X H, et al. An empirical research on the factors affecting learners' continuous learning intention in MOOC: a modified expectation-confirmation model. e-Edu. J. Res. 22, 100-111 (2016).</w:t>
      </w:r>
    </w:p>
    <w:p>
      <w:pPr>
        <w:rPr>
          <w:rFonts w:ascii="宋体" w:hAnsi="宋体" w:eastAsia="宋体"/>
          <w:b/>
          <w:bCs/>
        </w:rPr>
      </w:pPr>
    </w:p>
    <w:p>
      <w:pPr>
        <w:pStyle w:val="8"/>
        <w:ind w:firstLine="449"/>
        <w:rPr>
          <w:rFonts w:hint="eastAsia" w:ascii="NimbusSanL" w:hAnsi="NimbusSanL"/>
          <w:b/>
          <w:bCs/>
          <w:sz w:val="22"/>
          <w:szCs w:val="22"/>
        </w:rPr>
      </w:pPr>
      <w:r>
        <w:rPr>
          <w:rFonts w:ascii="NimbusSanL" w:hAnsi="NimbusSanL"/>
          <w:b/>
          <w:bCs/>
          <w:sz w:val="22"/>
          <w:szCs w:val="22"/>
        </w:rPr>
        <w:t xml:space="preserve">Author contributions statement </w:t>
      </w:r>
    </w:p>
    <w:p>
      <w:pPr>
        <w:ind w:firstLine="420"/>
        <w:rPr>
          <w:rFonts w:ascii="Times New Roman" w:hAnsi="Times New Roman" w:eastAsia="宋体" w:cs="Times New Roman"/>
        </w:rPr>
      </w:pPr>
      <w:r>
        <w:rPr>
          <w:rFonts w:ascii="Times New Roman" w:hAnsi="Times New Roman" w:eastAsia="宋体" w:cs="Times New Roman"/>
        </w:rPr>
        <w:t>Conceptualization, Siyang Mei and Shengxiang She.</w:t>
      </w:r>
    </w:p>
    <w:p>
      <w:pPr>
        <w:ind w:firstLine="420"/>
        <w:rPr>
          <w:rFonts w:ascii="Times New Roman" w:hAnsi="Times New Roman" w:eastAsia="宋体" w:cs="Times New Roman"/>
        </w:rPr>
      </w:pPr>
      <w:r>
        <w:rPr>
          <w:rFonts w:ascii="Times New Roman" w:hAnsi="Times New Roman" w:eastAsia="宋体" w:cs="Times New Roman"/>
        </w:rPr>
        <w:t>data curation, Siyang Mei and Feng Li.</w:t>
      </w:r>
    </w:p>
    <w:p>
      <w:pPr>
        <w:ind w:firstLine="420"/>
        <w:rPr>
          <w:rFonts w:ascii="Times New Roman" w:hAnsi="Times New Roman" w:eastAsia="宋体" w:cs="Times New Roman"/>
        </w:rPr>
      </w:pPr>
      <w:r>
        <w:rPr>
          <w:rFonts w:ascii="Times New Roman" w:hAnsi="Times New Roman" w:eastAsia="宋体" w:cs="Times New Roman"/>
        </w:rPr>
        <w:t>formal analysis, Xin Liu.</w:t>
      </w:r>
    </w:p>
    <w:p>
      <w:pPr>
        <w:ind w:firstLine="420"/>
        <w:rPr>
          <w:rFonts w:ascii="Times New Roman" w:hAnsi="Times New Roman" w:eastAsia="宋体" w:cs="Times New Roman"/>
        </w:rPr>
      </w:pPr>
      <w:r>
        <w:rPr>
          <w:rFonts w:ascii="Times New Roman" w:hAnsi="Times New Roman" w:eastAsia="宋体" w:cs="Times New Roman"/>
        </w:rPr>
        <w:t>investigation, Siyang Mei.</w:t>
      </w:r>
    </w:p>
    <w:p>
      <w:pPr>
        <w:ind w:firstLine="420"/>
        <w:rPr>
          <w:rFonts w:ascii="Times New Roman" w:hAnsi="Times New Roman" w:eastAsia="宋体" w:cs="Times New Roman"/>
        </w:rPr>
      </w:pPr>
      <w:r>
        <w:rPr>
          <w:rFonts w:ascii="Times New Roman" w:hAnsi="Times New Roman" w:eastAsia="宋体" w:cs="Times New Roman"/>
        </w:rPr>
        <w:t xml:space="preserve">resources, Siyang Mei and Shengxiang She. </w:t>
      </w:r>
    </w:p>
    <w:p>
      <w:pPr>
        <w:ind w:firstLine="420"/>
        <w:rPr>
          <w:rFonts w:ascii="Times New Roman" w:hAnsi="Times New Roman" w:eastAsia="宋体" w:cs="Times New Roman"/>
        </w:rPr>
      </w:pPr>
      <w:r>
        <w:rPr>
          <w:rFonts w:ascii="Times New Roman" w:hAnsi="Times New Roman" w:eastAsia="宋体" w:cs="Times New Roman"/>
        </w:rPr>
        <w:t>writing—original draft, Siyang Mei.</w:t>
      </w:r>
    </w:p>
    <w:p>
      <w:pPr>
        <w:ind w:firstLine="420"/>
        <w:rPr>
          <w:rFonts w:ascii="Times New Roman" w:hAnsi="Times New Roman" w:eastAsia="宋体" w:cs="Times New Roman"/>
        </w:rPr>
      </w:pPr>
      <w:r>
        <w:rPr>
          <w:rFonts w:ascii="Times New Roman" w:hAnsi="Times New Roman" w:eastAsia="宋体" w:cs="Times New Roman"/>
        </w:rPr>
        <w:t>writing—review and editing, Xin Liu and Feng Li.</w:t>
      </w:r>
    </w:p>
    <w:p>
      <w:pPr>
        <w:pStyle w:val="8"/>
        <w:rPr>
          <w:rFonts w:hint="eastAsia" w:ascii="NimbusSanL" w:hAnsi="NimbusSanL"/>
          <w:b/>
          <w:bCs/>
          <w:sz w:val="22"/>
          <w:szCs w:val="22"/>
        </w:rPr>
      </w:pPr>
    </w:p>
    <w:p>
      <w:pPr>
        <w:pStyle w:val="8"/>
        <w:ind w:firstLine="449"/>
      </w:pPr>
      <w:r>
        <w:rPr>
          <w:rFonts w:ascii="NimbusSanL" w:hAnsi="NimbusSanL"/>
          <w:b/>
          <w:bCs/>
          <w:sz w:val="22"/>
          <w:szCs w:val="22"/>
        </w:rPr>
        <w:t xml:space="preserve">Additional information </w:t>
      </w:r>
    </w:p>
    <w:p>
      <w:pPr>
        <w:jc w:val="center"/>
        <w:rPr>
          <w:rFonts w:ascii="Times New Roman" w:hAnsi="Times New Roman"/>
          <w:b/>
          <w:bCs/>
          <w:sz w:val="24"/>
        </w:rPr>
      </w:pPr>
      <w:r>
        <w:rPr>
          <w:rFonts w:ascii="Times New Roman" w:hAnsi="Times New Roman"/>
          <w:b/>
          <w:bCs/>
          <w:sz w:val="24"/>
        </w:rPr>
        <w:t>Competing interests</w:t>
      </w:r>
    </w:p>
    <w:p>
      <w:pPr>
        <w:ind w:firstLine="270" w:firstLineChars="150"/>
        <w:rPr>
          <w:rFonts w:ascii="Times New Roman" w:hAnsi="Times New Roman" w:cs="Times New Roman"/>
          <w:sz w:val="18"/>
          <w:szCs w:val="21"/>
        </w:rPr>
      </w:pPr>
      <w:r>
        <w:rPr>
          <w:rFonts w:ascii="Times New Roman" w:hAnsi="Times New Roman" w:cs="Times New Roman"/>
          <w:sz w:val="18"/>
          <w:szCs w:val="21"/>
        </w:rPr>
        <w:t>The authors declare no competing interests.</w:t>
      </w:r>
    </w:p>
    <w:p>
      <w:pPr>
        <w:rPr>
          <w:rFonts w:ascii="Times New Roman" w:hAnsi="Times New Roman" w:cs="Times New Roman"/>
          <w:sz w:val="18"/>
          <w:szCs w:val="21"/>
        </w:rPr>
      </w:pPr>
    </w:p>
    <w:p>
      <w:pPr>
        <w:jc w:val="center"/>
        <w:rPr>
          <w:rFonts w:ascii="Times New Roman" w:hAnsi="Times New Roman"/>
          <w:b/>
          <w:bCs/>
          <w:sz w:val="24"/>
        </w:rPr>
      </w:pPr>
      <w:r>
        <w:rPr>
          <w:rFonts w:ascii="Times New Roman" w:hAnsi="Times New Roman"/>
          <w:b/>
          <w:bCs/>
          <w:sz w:val="24"/>
        </w:rPr>
        <w:t>Data Availability Statement</w:t>
      </w:r>
    </w:p>
    <w:p>
      <w:pPr>
        <w:ind w:firstLine="270" w:firstLineChars="150"/>
        <w:rPr>
          <w:rFonts w:ascii="Times New Roman" w:hAnsi="Times New Roman" w:eastAsia="宋体"/>
          <w:sz w:val="18"/>
          <w:szCs w:val="21"/>
        </w:rPr>
      </w:pPr>
      <w:r>
        <w:rPr>
          <w:rFonts w:ascii="Times New Roman" w:hAnsi="Times New Roman" w:eastAsia="宋体"/>
          <w:sz w:val="18"/>
          <w:szCs w:val="21"/>
        </w:rPr>
        <w:t>The data presented in this study are available on request from the corresponding author.</w:t>
      </w:r>
    </w:p>
    <w:p>
      <w:pPr>
        <w:ind w:firstLine="270" w:firstLineChars="150"/>
        <w:rPr>
          <w:rFonts w:ascii="Times New Roman" w:hAnsi="Times New Roman" w:eastAsia="宋体"/>
          <w:sz w:val="18"/>
          <w:szCs w:val="21"/>
        </w:rPr>
      </w:pPr>
      <w:r>
        <w:rPr>
          <w:rFonts w:hint="eastAsia" w:ascii="Times New Roman" w:hAnsi="Times New Roman" w:eastAsia="宋体"/>
          <w:sz w:val="18"/>
          <w:szCs w:val="21"/>
        </w:rPr>
        <w:t>If anyone wants to obtain data from this study, the should contact Siyang Mei, 328117522@qq.com.</w:t>
      </w:r>
    </w:p>
    <w:p>
      <w:pPr>
        <w:rPr>
          <w:rFonts w:ascii="宋体" w:hAnsi="宋体" w:eastAsia="宋体"/>
          <w:b/>
          <w:bCs/>
          <w:sz w:val="16"/>
          <w:szCs w:val="16"/>
        </w:rPr>
      </w:pPr>
    </w:p>
    <w:p>
      <w:pPr>
        <w:widowControl/>
        <w:kinsoku w:val="0"/>
        <w:autoSpaceDE w:val="0"/>
        <w:autoSpaceDN w:val="0"/>
        <w:adjustRightInd w:val="0"/>
        <w:snapToGrid w:val="0"/>
        <w:spacing w:line="360" w:lineRule="auto"/>
        <w:ind w:firstLine="412"/>
        <w:jc w:val="center"/>
        <w:textAlignment w:val="baseline"/>
        <w:rPr>
          <w:rFonts w:ascii="Times New Roman" w:hAnsi="Times New Roman" w:eastAsia="宋体" w:cs="Times New Roman"/>
          <w:snapToGrid w:val="0"/>
          <w:color w:val="000000"/>
          <w:spacing w:val="13"/>
          <w:kern w:val="0"/>
          <w:sz w:val="16"/>
          <w:szCs w:val="16"/>
        </w:rPr>
      </w:pPr>
    </w:p>
    <w:p>
      <w:pPr>
        <w:widowControl/>
        <w:kinsoku w:val="0"/>
        <w:autoSpaceDE w:val="0"/>
        <w:autoSpaceDN w:val="0"/>
        <w:adjustRightInd w:val="0"/>
        <w:snapToGrid w:val="0"/>
        <w:spacing w:line="360" w:lineRule="auto"/>
        <w:ind w:firstLine="412"/>
        <w:jc w:val="center"/>
        <w:textAlignment w:val="baseline"/>
        <w:rPr>
          <w:rFonts w:ascii="Times New Roman" w:hAnsi="Times New Roman" w:eastAsia="宋体" w:cs="Times New Roman"/>
          <w:snapToGrid w:val="0"/>
          <w:color w:val="000000"/>
          <w:spacing w:val="13"/>
          <w:kern w:val="0"/>
          <w:sz w:val="16"/>
          <w:szCs w:val="16"/>
        </w:rPr>
      </w:pPr>
      <w:r>
        <w:rPr>
          <w:rFonts w:ascii="Times New Roman" w:hAnsi="Times New Roman" w:eastAsia="宋体" w:cs="Times New Roman"/>
          <w:snapToGrid w:val="0"/>
          <w:color w:val="000000"/>
          <w:spacing w:val="13"/>
          <w:kern w:val="0"/>
          <w:sz w:val="16"/>
          <w:szCs w:val="16"/>
        </w:rPr>
        <w:t>Table 1 Demographic characteristics of participants</w:t>
      </w:r>
    </w:p>
    <w:tbl>
      <w:tblPr>
        <w:tblStyle w:val="9"/>
        <w:tblW w:w="7977" w:type="dxa"/>
        <w:jc w:val="center"/>
        <w:tblLayout w:type="autofit"/>
        <w:tblCellMar>
          <w:top w:w="0" w:type="dxa"/>
          <w:left w:w="108" w:type="dxa"/>
          <w:bottom w:w="0" w:type="dxa"/>
          <w:right w:w="108" w:type="dxa"/>
        </w:tblCellMar>
      </w:tblPr>
      <w:tblGrid>
        <w:gridCol w:w="1683"/>
        <w:gridCol w:w="2717"/>
        <w:gridCol w:w="1978"/>
        <w:gridCol w:w="1599"/>
      </w:tblGrid>
      <w:tr>
        <w:tblPrEx>
          <w:tblCellMar>
            <w:top w:w="0" w:type="dxa"/>
            <w:left w:w="108" w:type="dxa"/>
            <w:bottom w:w="0" w:type="dxa"/>
            <w:right w:w="108" w:type="dxa"/>
          </w:tblCellMar>
        </w:tblPrEx>
        <w:trPr>
          <w:trHeight w:val="330" w:hRule="atLeast"/>
          <w:jc w:val="center"/>
        </w:trPr>
        <w:tc>
          <w:tcPr>
            <w:tcW w:w="1683"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pPr>
              <w:pStyle w:val="8"/>
              <w:spacing w:line="360" w:lineRule="auto"/>
              <w:ind w:firstLine="360"/>
              <w:jc w:val="center"/>
              <w:rPr>
                <w:rStyle w:val="18"/>
                <w:rFonts w:hint="default" w:ascii="Times New Roman" w:hAnsi="Times New Roman" w:cs="Times New Roman"/>
              </w:rPr>
            </w:pPr>
            <w:r>
              <w:rPr>
                <w:rFonts w:ascii="Times New Roman" w:hAnsi="Times New Roman" w:cs="Times New Roman"/>
                <w:sz w:val="16"/>
                <w:szCs w:val="16"/>
              </w:rPr>
              <w:t>Category</w:t>
            </w:r>
          </w:p>
        </w:tc>
        <w:tc>
          <w:tcPr>
            <w:tcW w:w="2717"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Distinguish</w:t>
            </w:r>
          </w:p>
        </w:tc>
        <w:tc>
          <w:tcPr>
            <w:tcW w:w="197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Frequency</w:t>
            </w:r>
          </w:p>
        </w:tc>
        <w:tc>
          <w:tcPr>
            <w:tcW w:w="1599"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Percentage (% )</w:t>
            </w:r>
          </w:p>
        </w:tc>
      </w:tr>
      <w:tr>
        <w:tblPrEx>
          <w:tblCellMar>
            <w:top w:w="0" w:type="dxa"/>
            <w:left w:w="108" w:type="dxa"/>
            <w:bottom w:w="0" w:type="dxa"/>
            <w:right w:w="108" w:type="dxa"/>
          </w:tblCellMar>
        </w:tblPrEx>
        <w:trPr>
          <w:trHeight w:val="330" w:hRule="atLeast"/>
          <w:jc w:val="center"/>
        </w:trPr>
        <w:tc>
          <w:tcPr>
            <w:tcW w:w="1683"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Sex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Male</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61.2</w:t>
            </w:r>
          </w:p>
        </w:tc>
      </w:tr>
      <w:tr>
        <w:tblPrEx>
          <w:tblCellMar>
            <w:top w:w="0" w:type="dxa"/>
            <w:left w:w="108" w:type="dxa"/>
            <w:bottom w:w="0" w:type="dxa"/>
            <w:right w:w="108" w:type="dxa"/>
          </w:tblCellMar>
        </w:tblPrEx>
        <w:trPr>
          <w:trHeight w:val="330" w:hRule="atLeast"/>
          <w:jc w:val="center"/>
        </w:trPr>
        <w:tc>
          <w:tcPr>
            <w:tcW w:w="1683"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Female</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38.8</w:t>
            </w:r>
          </w:p>
        </w:tc>
      </w:tr>
      <w:tr>
        <w:tblPrEx>
          <w:tblCellMar>
            <w:top w:w="0" w:type="dxa"/>
            <w:left w:w="108" w:type="dxa"/>
            <w:bottom w:w="0" w:type="dxa"/>
            <w:right w:w="108" w:type="dxa"/>
          </w:tblCellMar>
        </w:tblPrEx>
        <w:trPr>
          <w:trHeight w:val="330" w:hRule="atLeast"/>
          <w:jc w:val="center"/>
        </w:trPr>
        <w:tc>
          <w:tcPr>
            <w:tcW w:w="1683"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Age</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Under 20 years old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4.8</w:t>
            </w:r>
          </w:p>
        </w:tc>
      </w:tr>
      <w:tr>
        <w:tblPrEx>
          <w:tblCellMar>
            <w:top w:w="0" w:type="dxa"/>
            <w:left w:w="108" w:type="dxa"/>
            <w:bottom w:w="0" w:type="dxa"/>
            <w:right w:w="108" w:type="dxa"/>
          </w:tblCellMar>
        </w:tblPrEx>
        <w:trPr>
          <w:trHeight w:val="330" w:hRule="atLeast"/>
          <w:jc w:val="center"/>
        </w:trPr>
        <w:tc>
          <w:tcPr>
            <w:tcW w:w="1683" w:type="dxa"/>
            <w:vMerge w:val="continue"/>
            <w:tcBorders>
              <w:left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Under 20-30 years old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40.9</w:t>
            </w:r>
          </w:p>
        </w:tc>
      </w:tr>
      <w:tr>
        <w:tblPrEx>
          <w:tblCellMar>
            <w:top w:w="0" w:type="dxa"/>
            <w:left w:w="108" w:type="dxa"/>
            <w:bottom w:w="0" w:type="dxa"/>
            <w:right w:w="108" w:type="dxa"/>
          </w:tblCellMar>
        </w:tblPrEx>
        <w:trPr>
          <w:trHeight w:val="330" w:hRule="atLeast"/>
          <w:jc w:val="center"/>
        </w:trPr>
        <w:tc>
          <w:tcPr>
            <w:tcW w:w="1683" w:type="dxa"/>
            <w:vMerge w:val="continue"/>
            <w:tcBorders>
              <w:left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Under 30-40 years old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29</w:t>
            </w:r>
          </w:p>
        </w:tc>
      </w:tr>
      <w:tr>
        <w:tblPrEx>
          <w:tblCellMar>
            <w:top w:w="0" w:type="dxa"/>
            <w:left w:w="108" w:type="dxa"/>
            <w:bottom w:w="0" w:type="dxa"/>
            <w:right w:w="108" w:type="dxa"/>
          </w:tblCellMar>
        </w:tblPrEx>
        <w:trPr>
          <w:trHeight w:val="330" w:hRule="atLeast"/>
          <w:jc w:val="center"/>
        </w:trPr>
        <w:tc>
          <w:tcPr>
            <w:tcW w:w="1683"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Over 40 years old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25.4</w:t>
            </w:r>
          </w:p>
        </w:tc>
      </w:tr>
      <w:tr>
        <w:tblPrEx>
          <w:tblCellMar>
            <w:top w:w="0" w:type="dxa"/>
            <w:left w:w="108" w:type="dxa"/>
            <w:bottom w:w="0" w:type="dxa"/>
            <w:right w:w="108" w:type="dxa"/>
          </w:tblCellMar>
        </w:tblPrEx>
        <w:trPr>
          <w:trHeight w:val="330" w:hRule="atLeast"/>
          <w:jc w:val="center"/>
        </w:trPr>
        <w:tc>
          <w:tcPr>
            <w:tcW w:w="1683"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bookmarkStart w:id="1" w:name="OLE_LINK2"/>
            <w:bookmarkStart w:id="2" w:name="OLE_LINK1"/>
            <w:r>
              <w:rPr>
                <w:rStyle w:val="18"/>
                <w:rFonts w:hint="default" w:ascii="Times New Roman" w:hAnsi="Times New Roman" w:cs="Times New Roman"/>
                <w:lang w:bidi="ar"/>
              </w:rPr>
              <w:t>Occupation</w:t>
            </w:r>
            <w:bookmarkEnd w:id="1"/>
            <w:bookmarkEnd w:id="2"/>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Student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39.1</w:t>
            </w:r>
          </w:p>
        </w:tc>
      </w:tr>
      <w:tr>
        <w:tblPrEx>
          <w:tblCellMar>
            <w:top w:w="0" w:type="dxa"/>
            <w:left w:w="108" w:type="dxa"/>
            <w:bottom w:w="0" w:type="dxa"/>
            <w:right w:w="108" w:type="dxa"/>
          </w:tblCellMar>
        </w:tblPrEx>
        <w:trPr>
          <w:trHeight w:val="330" w:hRule="atLeast"/>
          <w:jc w:val="center"/>
        </w:trPr>
        <w:tc>
          <w:tcPr>
            <w:tcW w:w="1683" w:type="dxa"/>
            <w:vMerge w:val="continue"/>
            <w:tcBorders>
              <w:left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Staff</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31.3</w:t>
            </w:r>
          </w:p>
        </w:tc>
      </w:tr>
      <w:tr>
        <w:tblPrEx>
          <w:tblCellMar>
            <w:top w:w="0" w:type="dxa"/>
            <w:left w:w="108" w:type="dxa"/>
            <w:bottom w:w="0" w:type="dxa"/>
            <w:right w:w="108" w:type="dxa"/>
          </w:tblCellMar>
        </w:tblPrEx>
        <w:trPr>
          <w:trHeight w:val="330" w:hRule="atLeast"/>
          <w:jc w:val="center"/>
        </w:trPr>
        <w:tc>
          <w:tcPr>
            <w:tcW w:w="1683" w:type="dxa"/>
            <w:vMerge w:val="continue"/>
            <w:tcBorders>
              <w:left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Civil servant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24.5</w:t>
            </w:r>
          </w:p>
        </w:tc>
      </w:tr>
      <w:tr>
        <w:tblPrEx>
          <w:tblCellMar>
            <w:top w:w="0" w:type="dxa"/>
            <w:left w:w="108" w:type="dxa"/>
            <w:bottom w:w="0" w:type="dxa"/>
            <w:right w:w="108" w:type="dxa"/>
          </w:tblCellMar>
        </w:tblPrEx>
        <w:trPr>
          <w:trHeight w:val="330" w:hRule="atLeast"/>
          <w:jc w:val="center"/>
        </w:trPr>
        <w:tc>
          <w:tcPr>
            <w:tcW w:w="1683"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Individual business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5.1</w:t>
            </w:r>
          </w:p>
        </w:tc>
      </w:tr>
      <w:tr>
        <w:tblPrEx>
          <w:tblCellMar>
            <w:top w:w="0" w:type="dxa"/>
            <w:left w:w="108" w:type="dxa"/>
            <w:bottom w:w="0" w:type="dxa"/>
            <w:right w:w="108" w:type="dxa"/>
          </w:tblCellMar>
        </w:tblPrEx>
        <w:trPr>
          <w:trHeight w:val="330" w:hRule="atLeast"/>
          <w:jc w:val="center"/>
        </w:trPr>
        <w:tc>
          <w:tcPr>
            <w:tcW w:w="1683"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Education level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High school graduation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16.7</w:t>
            </w:r>
          </w:p>
        </w:tc>
      </w:tr>
      <w:tr>
        <w:tblPrEx>
          <w:tblCellMar>
            <w:top w:w="0" w:type="dxa"/>
            <w:left w:w="108" w:type="dxa"/>
            <w:bottom w:w="0" w:type="dxa"/>
            <w:right w:w="108" w:type="dxa"/>
          </w:tblCellMar>
        </w:tblPrEx>
        <w:trPr>
          <w:trHeight w:val="330" w:hRule="atLeast"/>
          <w:jc w:val="center"/>
        </w:trPr>
        <w:tc>
          <w:tcPr>
            <w:tcW w:w="1683" w:type="dxa"/>
            <w:vMerge w:val="continue"/>
            <w:tcBorders>
              <w:left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College graduation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29.9</w:t>
            </w:r>
          </w:p>
        </w:tc>
      </w:tr>
      <w:tr>
        <w:tblPrEx>
          <w:tblCellMar>
            <w:top w:w="0" w:type="dxa"/>
            <w:left w:w="108" w:type="dxa"/>
            <w:bottom w:w="0" w:type="dxa"/>
            <w:right w:w="108" w:type="dxa"/>
          </w:tblCellMar>
        </w:tblPrEx>
        <w:trPr>
          <w:trHeight w:val="330" w:hRule="atLeast"/>
          <w:jc w:val="center"/>
        </w:trPr>
        <w:tc>
          <w:tcPr>
            <w:tcW w:w="1683" w:type="dxa"/>
            <w:vMerge w:val="continue"/>
            <w:tcBorders>
              <w:left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University graduation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36.3</w:t>
            </w:r>
          </w:p>
        </w:tc>
      </w:tr>
      <w:tr>
        <w:tblPrEx>
          <w:tblCellMar>
            <w:top w:w="0" w:type="dxa"/>
            <w:left w:w="108" w:type="dxa"/>
            <w:bottom w:w="0" w:type="dxa"/>
            <w:right w:w="108" w:type="dxa"/>
          </w:tblCellMar>
        </w:tblPrEx>
        <w:trPr>
          <w:trHeight w:val="330" w:hRule="atLeast"/>
          <w:jc w:val="center"/>
        </w:trPr>
        <w:tc>
          <w:tcPr>
            <w:tcW w:w="1683"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Post-graduate</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17.2</w:t>
            </w:r>
          </w:p>
        </w:tc>
      </w:tr>
      <w:tr>
        <w:tblPrEx>
          <w:tblCellMar>
            <w:top w:w="0" w:type="dxa"/>
            <w:left w:w="108" w:type="dxa"/>
            <w:bottom w:w="0" w:type="dxa"/>
            <w:right w:w="108" w:type="dxa"/>
          </w:tblCellMar>
        </w:tblPrEx>
        <w:trPr>
          <w:trHeight w:val="330" w:hRule="atLeast"/>
          <w:jc w:val="center"/>
        </w:trPr>
        <w:tc>
          <w:tcPr>
            <w:tcW w:w="1683"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Monthly income</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Less than 3000 yuan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4.9</w:t>
            </w:r>
          </w:p>
        </w:tc>
      </w:tr>
      <w:tr>
        <w:tblPrEx>
          <w:tblCellMar>
            <w:top w:w="0" w:type="dxa"/>
            <w:left w:w="108" w:type="dxa"/>
            <w:bottom w:w="0" w:type="dxa"/>
            <w:right w:w="108" w:type="dxa"/>
          </w:tblCellMar>
        </w:tblPrEx>
        <w:trPr>
          <w:trHeight w:val="330" w:hRule="atLeast"/>
          <w:jc w:val="center"/>
        </w:trPr>
        <w:tc>
          <w:tcPr>
            <w:tcW w:w="1683" w:type="dxa"/>
            <w:vMerge w:val="continue"/>
            <w:tcBorders>
              <w:left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 xml:space="preserve"> 3000 to 5000 yuan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28.1</w:t>
            </w:r>
          </w:p>
        </w:tc>
      </w:tr>
      <w:tr>
        <w:tblPrEx>
          <w:tblCellMar>
            <w:top w:w="0" w:type="dxa"/>
            <w:left w:w="108" w:type="dxa"/>
            <w:bottom w:w="0" w:type="dxa"/>
            <w:right w:w="108" w:type="dxa"/>
          </w:tblCellMar>
        </w:tblPrEx>
        <w:trPr>
          <w:trHeight w:val="330" w:hRule="atLeast"/>
          <w:jc w:val="center"/>
        </w:trPr>
        <w:tc>
          <w:tcPr>
            <w:tcW w:w="1683" w:type="dxa"/>
            <w:vMerge w:val="continue"/>
            <w:tcBorders>
              <w:left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5000 to 10000 yuan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27.3</w:t>
            </w:r>
          </w:p>
        </w:tc>
      </w:tr>
      <w:tr>
        <w:tblPrEx>
          <w:tblCellMar>
            <w:top w:w="0" w:type="dxa"/>
            <w:left w:w="108" w:type="dxa"/>
            <w:bottom w:w="0" w:type="dxa"/>
            <w:right w:w="108" w:type="dxa"/>
          </w:tblCellMar>
        </w:tblPrEx>
        <w:trPr>
          <w:trHeight w:val="330" w:hRule="atLeast"/>
          <w:jc w:val="center"/>
        </w:trPr>
        <w:tc>
          <w:tcPr>
            <w:tcW w:w="1683" w:type="dxa"/>
            <w:vMerge w:val="continue"/>
            <w:tcBorders>
              <w:left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10000 to 15000 yuan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27</w:t>
            </w:r>
          </w:p>
        </w:tc>
      </w:tr>
      <w:tr>
        <w:tblPrEx>
          <w:tblCellMar>
            <w:top w:w="0" w:type="dxa"/>
            <w:left w:w="108" w:type="dxa"/>
            <w:bottom w:w="0" w:type="dxa"/>
            <w:right w:w="108" w:type="dxa"/>
          </w:tblCellMar>
        </w:tblPrEx>
        <w:trPr>
          <w:trHeight w:val="349" w:hRule="atLeast"/>
          <w:jc w:val="center"/>
        </w:trPr>
        <w:tc>
          <w:tcPr>
            <w:tcW w:w="1683"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Over 15000 yuan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Style w:val="18"/>
                <w:rFonts w:hint="default" w:ascii="Times New Roman" w:hAnsi="Times New Roman" w:cs="Times New Roman"/>
                <w:lang w:bidi="ar"/>
              </w:rPr>
            </w:pPr>
            <w:r>
              <w:rPr>
                <w:rStyle w:val="18"/>
                <w:rFonts w:hint="default" w:ascii="Times New Roman" w:hAnsi="Times New Roman" w:cs="Times New Roman"/>
                <w:lang w:bidi="ar"/>
              </w:rPr>
              <w:t>12.7</w:t>
            </w:r>
          </w:p>
        </w:tc>
      </w:tr>
    </w:tbl>
    <w:p>
      <w:pPr>
        <w:widowControl/>
        <w:kinsoku w:val="0"/>
        <w:autoSpaceDE w:val="0"/>
        <w:autoSpaceDN w:val="0"/>
        <w:adjustRightInd w:val="0"/>
        <w:snapToGrid w:val="0"/>
        <w:spacing w:line="360" w:lineRule="auto"/>
        <w:ind w:firstLine="472"/>
        <w:jc w:val="left"/>
        <w:textAlignment w:val="baseline"/>
        <w:rPr>
          <w:rFonts w:ascii="Times New Roman" w:hAnsi="Times New Roman" w:eastAsia="宋体" w:cs="Times New Roman"/>
          <w:snapToGrid w:val="0"/>
          <w:color w:val="000000"/>
          <w:spacing w:val="13"/>
          <w:sz w:val="16"/>
          <w:szCs w:val="16"/>
        </w:rPr>
      </w:pPr>
    </w:p>
    <w:p>
      <w:pPr>
        <w:widowControl/>
        <w:kinsoku w:val="0"/>
        <w:autoSpaceDE w:val="0"/>
        <w:autoSpaceDN w:val="0"/>
        <w:adjustRightInd w:val="0"/>
        <w:snapToGrid w:val="0"/>
        <w:spacing w:line="360" w:lineRule="auto"/>
        <w:ind w:firstLine="412"/>
        <w:jc w:val="center"/>
        <w:textAlignment w:val="baseline"/>
        <w:rPr>
          <w:rFonts w:ascii="Times New Roman" w:hAnsi="Times New Roman" w:eastAsia="宋体" w:cs="Times New Roman"/>
          <w:snapToGrid w:val="0"/>
          <w:color w:val="000000"/>
          <w:spacing w:val="13"/>
          <w:kern w:val="0"/>
          <w:sz w:val="16"/>
          <w:szCs w:val="16"/>
        </w:rPr>
      </w:pPr>
      <w:r>
        <w:rPr>
          <w:rFonts w:ascii="Times New Roman" w:hAnsi="Times New Roman" w:eastAsia="宋体" w:cs="Times New Roman"/>
          <w:snapToGrid w:val="0"/>
          <w:color w:val="000000"/>
          <w:spacing w:val="13"/>
          <w:kern w:val="0"/>
          <w:sz w:val="16"/>
          <w:szCs w:val="16"/>
        </w:rPr>
        <w:t>Table 2 Measurement Items Table</w:t>
      </w:r>
      <w:r>
        <w:rPr>
          <w:rFonts w:hint="eastAsia" w:ascii="Times New Roman" w:hAnsi="Times New Roman" w:eastAsia="宋体" w:cs="Times New Roman"/>
          <w:snapToGrid w:val="0"/>
          <w:color w:val="000000"/>
          <w:spacing w:val="13"/>
          <w:kern w:val="0"/>
          <w:sz w:val="16"/>
          <w:szCs w:val="16"/>
        </w:rPr>
        <w:t>.</w:t>
      </w:r>
    </w:p>
    <w:tbl>
      <w:tblPr>
        <w:tblStyle w:val="9"/>
        <w:tblpPr w:leftFromText="180" w:rightFromText="180" w:vertAnchor="text" w:horzAnchor="page" w:tblpXSpec="center" w:tblpY="272"/>
        <w:tblOverlap w:val="never"/>
        <w:tblW w:w="8217" w:type="dxa"/>
        <w:jc w:val="center"/>
        <w:tblLayout w:type="fixed"/>
        <w:tblCellMar>
          <w:top w:w="0" w:type="dxa"/>
          <w:left w:w="108" w:type="dxa"/>
          <w:bottom w:w="0" w:type="dxa"/>
          <w:right w:w="108" w:type="dxa"/>
        </w:tblCellMar>
      </w:tblPr>
      <w:tblGrid>
        <w:gridCol w:w="1271"/>
        <w:gridCol w:w="1701"/>
        <w:gridCol w:w="3260"/>
        <w:gridCol w:w="1985"/>
      </w:tblGrid>
      <w:tr>
        <w:tblPrEx>
          <w:tblCellMar>
            <w:top w:w="0" w:type="dxa"/>
            <w:left w:w="108" w:type="dxa"/>
            <w:bottom w:w="0" w:type="dxa"/>
            <w:right w:w="108" w:type="dxa"/>
          </w:tblCellMar>
        </w:tblPrEx>
        <w:trPr>
          <w:trHeight w:val="325" w:hRule="atLeast"/>
          <w:jc w:val="center"/>
        </w:trPr>
        <w:tc>
          <w:tcPr>
            <w:tcW w:w="1271"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pPr>
              <w:widowControl/>
              <w:spacing w:line="360" w:lineRule="auto"/>
              <w:ind w:firstLine="160" w:firstLineChars="100"/>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Variable</w:t>
            </w:r>
          </w:p>
        </w:tc>
        <w:tc>
          <w:tcPr>
            <w:tcW w:w="1701"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pPr>
              <w:widowControl/>
              <w:spacing w:line="360" w:lineRule="auto"/>
              <w:ind w:firstLine="360"/>
              <w:textAlignment w:val="center"/>
              <w:rPr>
                <w:rFonts w:ascii="Times New Roman" w:hAnsi="Times New Roman" w:eastAsia="宋体" w:cs="Times New Roman"/>
                <w:color w:val="000000"/>
                <w:kern w:val="0"/>
                <w:sz w:val="16"/>
                <w:szCs w:val="16"/>
                <w:lang w:bidi="ar"/>
              </w:rPr>
            </w:pPr>
            <w:r>
              <w:rPr>
                <w:rFonts w:hint="eastAsia" w:ascii="Times New Roman" w:hAnsi="Times New Roman" w:eastAsia="宋体" w:cs="Times New Roman"/>
                <w:color w:val="000000"/>
                <w:kern w:val="0"/>
                <w:sz w:val="16"/>
                <w:szCs w:val="16"/>
                <w:lang w:bidi="ar"/>
              </w:rPr>
              <w:t>Dimension</w:t>
            </w:r>
          </w:p>
        </w:tc>
        <w:tc>
          <w:tcPr>
            <w:tcW w:w="326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Measurement item</w:t>
            </w:r>
          </w:p>
        </w:tc>
        <w:tc>
          <w:tcPr>
            <w:tcW w:w="198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Re</w:t>
            </w:r>
            <w:r>
              <w:rPr>
                <w:rFonts w:hint="eastAsia" w:ascii="Times New Roman" w:hAnsi="Times New Roman" w:eastAsia="宋体" w:cs="Times New Roman"/>
                <w:color w:val="000000"/>
                <w:sz w:val="16"/>
                <w:szCs w:val="16"/>
              </w:rPr>
              <w:t>ferences</w:t>
            </w:r>
          </w:p>
        </w:tc>
      </w:tr>
      <w:tr>
        <w:tblPrEx>
          <w:tblCellMar>
            <w:top w:w="0" w:type="dxa"/>
            <w:left w:w="108" w:type="dxa"/>
            <w:bottom w:w="0" w:type="dxa"/>
            <w:right w:w="108" w:type="dxa"/>
          </w:tblCellMar>
        </w:tblPrEx>
        <w:trPr>
          <w:trHeight w:val="325" w:hRule="atLeast"/>
          <w:jc w:val="center"/>
        </w:trPr>
        <w:tc>
          <w:tcPr>
            <w:tcW w:w="127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Teacher quality</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240" w:firstLineChars="150"/>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Professionalism</w:t>
            </w: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800" w:firstLineChars="500"/>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With professional knowledge</w:t>
            </w:r>
          </w:p>
        </w:tc>
        <w:tc>
          <w:tcPr>
            <w:tcW w:w="19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Rahimi（2023）,</w:t>
            </w:r>
          </w:p>
          <w:p>
            <w:pPr>
              <w:spacing w:line="360" w:lineRule="auto"/>
              <w:ind w:firstLine="360"/>
              <w:jc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Gao（2020）</w:t>
            </w: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Abundant teaching experience</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1040" w:firstLineChars="650"/>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Nice reputation</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3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1040" w:firstLineChars="650"/>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Well-experienced</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480" w:firstLineChars="300"/>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Charm</w:t>
            </w: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1280" w:firstLineChars="800"/>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Amiable</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880" w:firstLineChars="550"/>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Skilled appearance</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Sweet voice</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Natural impressive</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Honesty</w:t>
            </w: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A sincere attitude</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Punctual</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Strive to achieve teaching objectives</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Excellent teaching quality</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Content quality</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Usefulness</w:t>
            </w: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Usefulness learning content</w:t>
            </w:r>
          </w:p>
        </w:tc>
        <w:tc>
          <w:tcPr>
            <w:tcW w:w="19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Schiekirka and Raupach（2015）,Liu and Luo（2022）</w:t>
            </w: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 xml:space="preserve">Helpful </w:t>
            </w:r>
            <w:r>
              <w:rPr>
                <w:rFonts w:ascii="Times New Roman" w:hAnsi="Times New Roman" w:eastAsia="宋体" w:cs="Times New Roman"/>
                <w:color w:val="000000"/>
                <w:sz w:val="16"/>
                <w:szCs w:val="16"/>
              </w:rPr>
              <w:t>learning content</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Common learning objectives</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Necessary learning content</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Abundance</w:t>
            </w: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Provide diverse learning materials</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Provide abundant cases</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Provide the latest news</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Provide high quality materials widely</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Appropriateness</w:t>
            </w: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Course level</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 xml:space="preserve">Course </w:t>
            </w:r>
            <w:r>
              <w:rPr>
                <w:rFonts w:ascii="Times New Roman" w:hAnsi="Times New Roman" w:eastAsia="宋体" w:cs="Times New Roman"/>
                <w:color w:val="000000"/>
                <w:kern w:val="0"/>
                <w:sz w:val="16"/>
                <w:szCs w:val="16"/>
                <w:lang w:bidi="ar"/>
              </w:rPr>
              <w:t>schedule</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Course progress</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Course loads</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Platform quality</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Technicality</w:t>
            </w: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Stable operation during use</w:t>
            </w:r>
          </w:p>
        </w:tc>
        <w:tc>
          <w:tcPr>
            <w:tcW w:w="19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Chen et al.（2020）,</w:t>
            </w:r>
          </w:p>
          <w:p>
            <w:pPr>
              <w:spacing w:line="360" w:lineRule="auto"/>
              <w:ind w:firstLine="360"/>
              <w:jc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Liu et al.（2021）</w:t>
            </w: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Nice audio and video status</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Support high-quality videos</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Support for high-quality audio and videos</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Convenience</w:t>
            </w: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Easy to master usage methods</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Easy to use</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Not limited by time</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581"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Easy to use on computers, mobile phones, tablets</w:t>
            </w:r>
            <w:r>
              <w:rPr>
                <w:rFonts w:hint="eastAsia" w:ascii="Times New Roman" w:hAnsi="Times New Roman" w:eastAsia="宋体" w:cs="Times New Roman"/>
                <w:color w:val="000000"/>
                <w:kern w:val="0"/>
                <w:sz w:val="16"/>
                <w:szCs w:val="16"/>
                <w:lang w:bidi="ar"/>
              </w:rPr>
              <w:t>,</w:t>
            </w:r>
            <w:r>
              <w:rPr>
                <w:rFonts w:ascii="Times New Roman" w:hAnsi="Times New Roman" w:eastAsia="宋体" w:cs="Times New Roman"/>
                <w:color w:val="000000"/>
                <w:kern w:val="0"/>
                <w:sz w:val="16"/>
                <w:szCs w:val="16"/>
                <w:lang w:bidi="ar"/>
              </w:rPr>
              <w:t>etc.</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Interactivity</w:t>
            </w: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Respond inquiries actively</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Handle problems quickly</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Respond to request items quickly</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Respect opinions and respond quickly</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29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Satisfaction</w:t>
            </w: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Satisfied with the learning content</w:t>
            </w:r>
          </w:p>
        </w:tc>
        <w:tc>
          <w:tcPr>
            <w:tcW w:w="19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Rajeh et al.（2021）,</w:t>
            </w:r>
          </w:p>
          <w:p>
            <w:pPr>
              <w:spacing w:line="360" w:lineRule="auto"/>
              <w:ind w:firstLine="360"/>
              <w:jc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Alqahtani and Mohammad（2015）</w:t>
            </w:r>
          </w:p>
        </w:tc>
      </w:tr>
      <w:tr>
        <w:tblPrEx>
          <w:tblCellMar>
            <w:top w:w="0" w:type="dxa"/>
            <w:left w:w="108" w:type="dxa"/>
            <w:bottom w:w="0" w:type="dxa"/>
            <w:right w:w="108" w:type="dxa"/>
          </w:tblCellMar>
        </w:tblPrEx>
        <w:trPr>
          <w:trHeight w:val="325" w:hRule="atLeast"/>
          <w:jc w:val="center"/>
        </w:trPr>
        <w:tc>
          <w:tcPr>
            <w:tcW w:w="2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Satisfied with</w:t>
            </w:r>
            <w:r>
              <w:rPr>
                <w:rFonts w:ascii="Times New Roman" w:hAnsi="Times New Roman" w:eastAsia="宋体" w:cs="Times New Roman"/>
                <w:color w:val="000000"/>
                <w:kern w:val="0"/>
                <w:sz w:val="16"/>
                <w:szCs w:val="16"/>
                <w:lang w:bidi="ar"/>
              </w:rPr>
              <w:t xml:space="preserve"> learning outcomes</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2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 xml:space="preserve">Satisfied with </w:t>
            </w:r>
            <w:r>
              <w:rPr>
                <w:rFonts w:ascii="Times New Roman" w:hAnsi="Times New Roman" w:eastAsia="宋体" w:cs="Times New Roman"/>
                <w:color w:val="000000"/>
                <w:kern w:val="0"/>
                <w:sz w:val="16"/>
                <w:szCs w:val="16"/>
                <w:lang w:bidi="ar"/>
              </w:rPr>
              <w:t>usage process</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rPr>
          <w:trHeight w:val="325" w:hRule="atLeast"/>
          <w:jc w:val="center"/>
        </w:trPr>
        <w:tc>
          <w:tcPr>
            <w:tcW w:w="2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Satisfied with the whole process</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29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Continuous usage intention</w:t>
            </w: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Continuous usage platform</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2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 xml:space="preserve">Increase platform using frequency </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25" w:hRule="atLeast"/>
          <w:jc w:val="center"/>
        </w:trPr>
        <w:tc>
          <w:tcPr>
            <w:tcW w:w="2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Transmission a positive attitude towards the platform</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40" w:hRule="atLeast"/>
          <w:jc w:val="center"/>
        </w:trPr>
        <w:tc>
          <w:tcPr>
            <w:tcW w:w="2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ind w:firstLine="360"/>
              <w:jc w:val="center"/>
              <w:rPr>
                <w:rFonts w:ascii="Times New Roman" w:hAnsi="Times New Roman" w:eastAsia="宋体" w:cs="Times New Roman"/>
                <w:color w:val="000000"/>
                <w:sz w:val="16"/>
                <w:szCs w:val="16"/>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Recommend the platform to others</w:t>
            </w: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bl>
    <w:p>
      <w:pPr>
        <w:spacing w:line="360" w:lineRule="auto"/>
        <w:ind w:firstLine="420"/>
        <w:rPr>
          <w:rFonts w:asciiTheme="minorEastAsia" w:hAnsiTheme="minorEastAsia" w:cstheme="minorEastAsia"/>
          <w:szCs w:val="21"/>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ind w:firstLine="420"/>
        <w:rPr>
          <w:rFonts w:ascii="宋体" w:hAnsi="宋体" w:eastAsia="宋体"/>
        </w:rPr>
      </w:pPr>
    </w:p>
    <w:p>
      <w:pPr>
        <w:rPr>
          <w:rFonts w:ascii="Times New Roman" w:hAnsi="Times New Roman" w:eastAsia="宋体" w:cs="Times New Roman"/>
          <w:sz w:val="16"/>
          <w:szCs w:val="16"/>
        </w:rPr>
      </w:pPr>
    </w:p>
    <w:p>
      <w:pPr>
        <w:widowControl/>
        <w:kinsoku w:val="0"/>
        <w:autoSpaceDE w:val="0"/>
        <w:autoSpaceDN w:val="0"/>
        <w:adjustRightInd w:val="0"/>
        <w:snapToGrid w:val="0"/>
        <w:spacing w:line="360" w:lineRule="auto"/>
        <w:jc w:val="center"/>
        <w:textAlignment w:val="baseline"/>
        <w:rPr>
          <w:rFonts w:ascii="Times New Roman" w:hAnsi="Times New Roman" w:eastAsia="宋体" w:cs="Times New Roman"/>
          <w:snapToGrid w:val="0"/>
          <w:color w:val="000000"/>
          <w:spacing w:val="13"/>
          <w:kern w:val="0"/>
          <w:sz w:val="16"/>
          <w:szCs w:val="16"/>
        </w:rPr>
      </w:pPr>
      <w:r>
        <w:rPr>
          <w:rFonts w:ascii="Times New Roman" w:hAnsi="Times New Roman" w:eastAsia="宋体" w:cs="Times New Roman"/>
          <w:snapToGrid w:val="0"/>
          <w:color w:val="000000"/>
          <w:spacing w:val="13"/>
          <w:kern w:val="0"/>
          <w:sz w:val="16"/>
          <w:szCs w:val="16"/>
        </w:rPr>
        <w:t>Table 3 Correlation Analysis Results</w:t>
      </w:r>
    </w:p>
    <w:tbl>
      <w:tblPr>
        <w:tblStyle w:val="9"/>
        <w:tblpPr w:leftFromText="180" w:rightFromText="180" w:vertAnchor="text" w:horzAnchor="margin" w:tblpXSpec="center" w:tblpY="-11"/>
        <w:tblW w:w="10627" w:type="dxa"/>
        <w:tblInd w:w="0" w:type="dxa"/>
        <w:tblLayout w:type="fixed"/>
        <w:tblCellMar>
          <w:top w:w="0" w:type="dxa"/>
          <w:left w:w="108" w:type="dxa"/>
          <w:bottom w:w="0" w:type="dxa"/>
          <w:right w:w="108" w:type="dxa"/>
        </w:tblCellMar>
      </w:tblPr>
      <w:tblGrid>
        <w:gridCol w:w="1269"/>
        <w:gridCol w:w="850"/>
        <w:gridCol w:w="851"/>
        <w:gridCol w:w="850"/>
        <w:gridCol w:w="851"/>
        <w:gridCol w:w="850"/>
        <w:gridCol w:w="851"/>
        <w:gridCol w:w="850"/>
        <w:gridCol w:w="851"/>
        <w:gridCol w:w="850"/>
        <w:gridCol w:w="851"/>
        <w:gridCol w:w="853"/>
      </w:tblGrid>
      <w:tr>
        <w:tblPrEx>
          <w:tblCellMar>
            <w:top w:w="0" w:type="dxa"/>
            <w:left w:w="108" w:type="dxa"/>
            <w:bottom w:w="0" w:type="dxa"/>
            <w:right w:w="108" w:type="dxa"/>
          </w:tblCellMar>
        </w:tblPrEx>
        <w:trPr>
          <w:trHeight w:val="206"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Measurement variable</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1</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2</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3</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5</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7</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8</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9</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10</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11</w:t>
            </w:r>
          </w:p>
        </w:tc>
      </w:tr>
      <w:tr>
        <w:tblPrEx>
          <w:tblCellMar>
            <w:top w:w="0" w:type="dxa"/>
            <w:left w:w="108" w:type="dxa"/>
            <w:bottom w:w="0" w:type="dxa"/>
            <w:right w:w="108" w:type="dxa"/>
          </w:tblCellMar>
        </w:tblPrEx>
        <w:trPr>
          <w:trHeight w:val="693"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professionalism</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1</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693"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Charm</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0.386**</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693"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Honesty</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0.407**</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0.461**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1</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693"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Usefulness</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0.257**</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0.354**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0.281**</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693"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Abundance</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0.401**</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0.414**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0.440**</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0.316**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1</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705"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appropriateness</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0.355**</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0.383**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0.404**</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0.371**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0.397**</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693"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Technicality</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0.433**</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0.306**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0.428*</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0.330**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0.333**</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0.355**</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1</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693"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Convenience</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0.410**</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0.489**</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0.455**</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0.379**</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0.509**</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0.468**</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0.357**</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693"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Interactivity</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-0.313**</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-0.185**</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-0.267**</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-0.273**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-0.293**</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-0.283**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-0.283**</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-0.213**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1</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693"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Satisfaction</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0.435**</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0.415**</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0.472**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0.376**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0.477**</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0.452**</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0.416**</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0.530**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-0.265**</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1</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655"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Continuous usage intention</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0.108**</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0.126**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0.115**</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0.079**</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0.147**</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0.091**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0.193**</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0.131**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-0.078*</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0.398**</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1</w:t>
            </w:r>
          </w:p>
        </w:tc>
      </w:tr>
    </w:tbl>
    <w:p>
      <w:pPr>
        <w:widowControl/>
        <w:kinsoku w:val="0"/>
        <w:autoSpaceDE w:val="0"/>
        <w:autoSpaceDN w:val="0"/>
        <w:adjustRightInd w:val="0"/>
        <w:snapToGrid w:val="0"/>
        <w:spacing w:line="360" w:lineRule="auto"/>
        <w:textAlignment w:val="baseline"/>
        <w:rPr>
          <w:rFonts w:ascii="Times New Roman" w:hAnsi="Times New Roman" w:eastAsia="宋体" w:cs="Times New Roman"/>
          <w:snapToGrid w:val="0"/>
          <w:color w:val="000000"/>
          <w:spacing w:val="13"/>
          <w:kern w:val="0"/>
          <w:sz w:val="16"/>
          <w:szCs w:val="16"/>
        </w:rPr>
      </w:pPr>
    </w:p>
    <w:tbl>
      <w:tblPr>
        <w:tblStyle w:val="9"/>
        <w:tblW w:w="8789" w:type="dxa"/>
        <w:jc w:val="center"/>
        <w:tblLayout w:type="fixed"/>
        <w:tblCellMar>
          <w:top w:w="0" w:type="dxa"/>
          <w:left w:w="108" w:type="dxa"/>
          <w:bottom w:w="0" w:type="dxa"/>
          <w:right w:w="108" w:type="dxa"/>
        </w:tblCellMar>
      </w:tblPr>
      <w:tblGrid>
        <w:gridCol w:w="1922"/>
        <w:gridCol w:w="3168"/>
        <w:gridCol w:w="1006"/>
        <w:gridCol w:w="851"/>
        <w:gridCol w:w="850"/>
        <w:gridCol w:w="992"/>
      </w:tblGrid>
      <w:tr>
        <w:tblPrEx>
          <w:tblCellMar>
            <w:top w:w="0" w:type="dxa"/>
            <w:left w:w="108" w:type="dxa"/>
            <w:bottom w:w="0" w:type="dxa"/>
            <w:right w:w="108" w:type="dxa"/>
          </w:tblCellMar>
        </w:tblPrEx>
        <w:trPr>
          <w:trHeight w:val="594" w:hRule="atLeast"/>
          <w:jc w:val="center"/>
        </w:trPr>
        <w:tc>
          <w:tcPr>
            <w:tcW w:w="8789" w:type="dxa"/>
            <w:gridSpan w:val="6"/>
            <w:tcBorders>
              <w:bottom w:val="single" w:color="000000" w:sz="4" w:space="0"/>
            </w:tcBorders>
            <w:shd w:val="clear" w:color="auto" w:fill="auto"/>
            <w:vAlign w:val="center"/>
          </w:tcPr>
          <w:p>
            <w:pPr>
              <w:widowControl/>
              <w:ind w:firstLine="412"/>
              <w:jc w:val="center"/>
              <w:textAlignment w:val="center"/>
              <w:rPr>
                <w:rFonts w:ascii="Times New Roman" w:hAnsi="Times New Roman" w:eastAsia="宋体" w:cs="Times New Roman"/>
                <w:snapToGrid w:val="0"/>
                <w:color w:val="000000"/>
                <w:spacing w:val="13"/>
                <w:kern w:val="0"/>
                <w:sz w:val="16"/>
                <w:szCs w:val="16"/>
              </w:rPr>
            </w:pPr>
          </w:p>
          <w:p>
            <w:pPr>
              <w:widowControl/>
              <w:ind w:firstLine="412"/>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snapToGrid w:val="0"/>
                <w:color w:val="000000"/>
                <w:spacing w:val="13"/>
                <w:kern w:val="0"/>
                <w:sz w:val="16"/>
                <w:szCs w:val="16"/>
              </w:rPr>
              <w:t>Table 4 Reliability and Validity Test Result</w:t>
            </w:r>
          </w:p>
        </w:tc>
      </w:tr>
      <w:tr>
        <w:tblPrEx>
          <w:tblCellMar>
            <w:top w:w="0" w:type="dxa"/>
            <w:left w:w="108" w:type="dxa"/>
            <w:bottom w:w="0" w:type="dxa"/>
            <w:right w:w="108" w:type="dxa"/>
          </w:tblCellMar>
        </w:tblPrEx>
        <w:trPr>
          <w:trHeight w:val="594" w:hRule="atLeast"/>
          <w:jc w:val="center"/>
        </w:trPr>
        <w:tc>
          <w:tcPr>
            <w:tcW w:w="19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Variable</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Measurement item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factor loading</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C.R.</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 V E</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Cronbach’s α</w:t>
            </w:r>
          </w:p>
        </w:tc>
      </w:tr>
      <w:tr>
        <w:tblPrEx>
          <w:tblCellMar>
            <w:top w:w="0" w:type="dxa"/>
            <w:left w:w="108" w:type="dxa"/>
            <w:bottom w:w="0" w:type="dxa"/>
            <w:right w:w="108" w:type="dxa"/>
          </w:tblCellMar>
        </w:tblPrEx>
        <w:trPr>
          <w:trHeight w:val="302" w:hRule="atLeast"/>
          <w:jc w:val="center"/>
        </w:trPr>
        <w:tc>
          <w:tcPr>
            <w:tcW w:w="19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Professionalism</w:t>
            </w: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With professional knowledge</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0.808</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0.907</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0.710</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0.907</w:t>
            </w: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Abundant teaching experience</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0.824</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Nice reputation</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0.809</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Well-experienced</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0.806</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Charm</w:t>
            </w: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Amiable</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0.795</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0.924</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0.753</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0.924</w:t>
            </w: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Skilled appearance</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0.855</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Sweet voice</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0.824</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Natural impressive</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0.827</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Honesty</w:t>
            </w: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A sincere attitude</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0.767</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0.906</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0.707</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0.906</w:t>
            </w: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Punctual</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0.805</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Strive to achieve teaching objectives</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0.798</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Excellent teaching quality</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0.807</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Usefulness</w:t>
            </w: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Usefulness learning content</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0.827</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0.904</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0.703</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0.910</w:t>
            </w: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 xml:space="preserve">Helpful </w:t>
            </w:r>
            <w:r>
              <w:rPr>
                <w:rFonts w:ascii="Times New Roman" w:hAnsi="Times New Roman" w:eastAsia="宋体" w:cs="Times New Roman"/>
                <w:color w:val="000000"/>
                <w:sz w:val="16"/>
                <w:szCs w:val="16"/>
              </w:rPr>
              <w:t>learning content</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0.842</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Common learning objectives</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0.842</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Necessary learning content</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0.842</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Abundance</w:t>
            </w: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Provide diverse learning materials</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0.809</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0.903</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0.699</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0.902</w:t>
            </w: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Provide abundant cases</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0.764</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Provide the latest news</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0.801</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Provide high-quality materials widely</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0.809</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rPr>
          <w:trHeight w:val="302" w:hRule="atLeast"/>
          <w:jc w:val="center"/>
        </w:trPr>
        <w:tc>
          <w:tcPr>
            <w:tcW w:w="19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Appropriateness</w:t>
            </w: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Course level</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0.753</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0.885</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0.659</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0.884</w:t>
            </w: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 xml:space="preserve">Course </w:t>
            </w:r>
            <w:r>
              <w:rPr>
                <w:rFonts w:ascii="Times New Roman" w:hAnsi="Times New Roman" w:eastAsia="宋体" w:cs="Times New Roman"/>
                <w:color w:val="000000"/>
                <w:kern w:val="0"/>
                <w:sz w:val="16"/>
                <w:szCs w:val="16"/>
                <w:lang w:bidi="ar"/>
              </w:rPr>
              <w:t>schedule</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0.813</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Course progress</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0.801</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Course loads</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0.785</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Technicality</w:t>
            </w: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Stable operation during use</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0.815</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0.924</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0.751</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0.923</w:t>
            </w: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Nice audio and video status</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0.837</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Video with high acoustic  fidelity</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0.843</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Video with high version quality</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0.837</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Convenience</w:t>
            </w: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Easy to master usage methods</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0.682</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0.836</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0.564</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0.836</w:t>
            </w: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Easy to use</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0.720</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Not limited by time</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0.725</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Easy to use on computers, mobile phones, tablets.</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0.733</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Interactivity</w:t>
            </w: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Respond inquiries actively</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0.882</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0.953</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0.836</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0.953</w:t>
            </w: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Handle problems quickly</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0.912</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Respond to request items quickly</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0.910</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Respect opinions and respond quickly</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0.909</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Satisfaction</w:t>
            </w: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Satisfied with the learning content</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0.711</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 xml:space="preserve">0.890 </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0.671</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0.890</w:t>
            </w: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Satisfied with</w:t>
            </w:r>
            <w:r>
              <w:rPr>
                <w:rFonts w:ascii="Times New Roman" w:hAnsi="Times New Roman" w:eastAsia="宋体" w:cs="Times New Roman"/>
                <w:color w:val="000000"/>
                <w:kern w:val="0"/>
                <w:sz w:val="16"/>
                <w:szCs w:val="16"/>
                <w:lang w:bidi="ar"/>
              </w:rPr>
              <w:t xml:space="preserve"> learning outcomes</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0.712</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 xml:space="preserve">Satisfied with </w:t>
            </w:r>
            <w:r>
              <w:rPr>
                <w:rFonts w:ascii="Times New Roman" w:hAnsi="Times New Roman" w:eastAsia="宋体" w:cs="Times New Roman"/>
                <w:color w:val="000000"/>
                <w:kern w:val="0"/>
                <w:sz w:val="16"/>
                <w:szCs w:val="16"/>
                <w:lang w:bidi="ar"/>
              </w:rPr>
              <w:t>usage process</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0.784</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Satisfied with the whole process</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0.691</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02" w:hRule="atLeast"/>
          <w:jc w:val="center"/>
        </w:trPr>
        <w:tc>
          <w:tcPr>
            <w:tcW w:w="19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Continuous usage intention</w:t>
            </w: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Continuous usage platform</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0.788</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0.894</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0.681</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0.894</w:t>
            </w:r>
          </w:p>
        </w:tc>
      </w:tr>
      <w:tr>
        <w:tblPrEx>
          <w:tblCellMar>
            <w:top w:w="0" w:type="dxa"/>
            <w:left w:w="108" w:type="dxa"/>
            <w:bottom w:w="0" w:type="dxa"/>
            <w:right w:w="108" w:type="dxa"/>
          </w:tblCellMar>
        </w:tblPrEx>
        <w:trPr>
          <w:trHeight w:val="302"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ind w:firstLine="360"/>
              <w:jc w:val="center"/>
              <w:rPr>
                <w:rFonts w:ascii="Times New Roman" w:hAnsi="Times New Roman" w:eastAsia="宋体" w:cs="Times New Roman"/>
                <w:color w:val="000000"/>
                <w:sz w:val="16"/>
                <w:szCs w:val="16"/>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Increase using frequency of platform</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0.879</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520"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ind w:firstLine="360"/>
              <w:jc w:val="center"/>
              <w:rPr>
                <w:rFonts w:ascii="Times New Roman" w:hAnsi="Times New Roman" w:eastAsia="宋体" w:cs="Times New Roman"/>
                <w:color w:val="000000"/>
                <w:sz w:val="16"/>
                <w:szCs w:val="16"/>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Transmission a positive attitude towards the platform</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0.874</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r>
        <w:tblPrEx>
          <w:tblCellMar>
            <w:top w:w="0" w:type="dxa"/>
            <w:left w:w="108" w:type="dxa"/>
            <w:bottom w:w="0" w:type="dxa"/>
            <w:right w:w="108" w:type="dxa"/>
          </w:tblCellMar>
        </w:tblPrEx>
        <w:trPr>
          <w:trHeight w:val="313" w:hRule="atLeast"/>
          <w:jc w:val="center"/>
        </w:trPr>
        <w:tc>
          <w:tcPr>
            <w:tcW w:w="19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ind w:firstLine="360"/>
              <w:jc w:val="center"/>
              <w:rPr>
                <w:rFonts w:ascii="Times New Roman" w:hAnsi="Times New Roman" w:eastAsia="宋体" w:cs="Times New Roman"/>
                <w:color w:val="000000"/>
                <w:sz w:val="16"/>
                <w:szCs w:val="16"/>
              </w:rPr>
            </w:pPr>
          </w:p>
        </w:tc>
        <w:tc>
          <w:tcPr>
            <w:tcW w:w="3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Recommend the platform to others</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0.870</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ind w:firstLine="360"/>
              <w:jc w:val="center"/>
              <w:rPr>
                <w:rFonts w:ascii="Times New Roman" w:hAnsi="Times New Roman" w:eastAsia="宋体" w:cs="Times New Roman"/>
                <w:color w:val="000000"/>
                <w:sz w:val="16"/>
                <w:szCs w:val="16"/>
              </w:rPr>
            </w:pPr>
          </w:p>
        </w:tc>
      </w:tr>
    </w:tbl>
    <w:p>
      <w:pPr>
        <w:widowControl/>
        <w:kinsoku w:val="0"/>
        <w:autoSpaceDE w:val="0"/>
        <w:autoSpaceDN w:val="0"/>
        <w:adjustRightInd w:val="0"/>
        <w:snapToGrid w:val="0"/>
        <w:spacing w:line="360" w:lineRule="auto"/>
        <w:textAlignment w:val="baseline"/>
        <w:rPr>
          <w:rFonts w:ascii="Times New Roman" w:hAnsi="Times New Roman" w:eastAsia="宋体" w:cs="Times New Roman"/>
          <w:snapToGrid w:val="0"/>
          <w:color w:val="000000"/>
          <w:spacing w:val="13"/>
          <w:kern w:val="0"/>
          <w:sz w:val="16"/>
          <w:szCs w:val="16"/>
        </w:rPr>
      </w:pPr>
      <w:r>
        <w:rPr>
          <w:rFonts w:ascii="Times New Roman" w:hAnsi="Times New Roman" w:eastAsia="宋体" w:cs="Times New Roman"/>
          <w:color w:val="000000"/>
          <w:spacing w:val="13"/>
          <w:kern w:val="0"/>
          <w:sz w:val="16"/>
          <w:szCs w:val="16"/>
        </w:rPr>
        <mc:AlternateContent>
          <mc:Choice Requires="wps">
            <w:drawing>
              <wp:anchor distT="0" distB="0" distL="114300" distR="114300" simplePos="0" relativeHeight="251659264" behindDoc="0" locked="0" layoutInCell="1" allowOverlap="1">
                <wp:simplePos x="0" y="0"/>
                <wp:positionH relativeFrom="column">
                  <wp:posOffset>2392045</wp:posOffset>
                </wp:positionH>
                <wp:positionV relativeFrom="paragraph">
                  <wp:posOffset>79375</wp:posOffset>
                </wp:positionV>
                <wp:extent cx="2277745" cy="212090"/>
                <wp:effectExtent l="0" t="0" r="0" b="3810"/>
                <wp:wrapNone/>
                <wp:docPr id="1381321751" name="文本框 2"/>
                <wp:cNvGraphicFramePr/>
                <a:graphic xmlns:a="http://schemas.openxmlformats.org/drawingml/2006/main">
                  <a:graphicData uri="http://schemas.microsoft.com/office/word/2010/wordprocessingShape">
                    <wps:wsp>
                      <wps:cNvSpPr txBox="1"/>
                      <wps:spPr>
                        <a:xfrm>
                          <a:off x="0" y="0"/>
                          <a:ext cx="2277835" cy="212271"/>
                        </a:xfrm>
                        <a:prstGeom prst="rect">
                          <a:avLst/>
                        </a:prstGeom>
                        <a:solidFill>
                          <a:schemeClr val="lt1"/>
                        </a:solidFill>
                        <a:ln w="6350">
                          <a:noFill/>
                        </a:ln>
                      </wps:spPr>
                      <wps:txbx>
                        <w:txbxContent>
                          <w:p>
                            <w:pPr>
                              <w:widowControl/>
                              <w:kinsoku w:val="0"/>
                              <w:autoSpaceDE w:val="0"/>
                              <w:autoSpaceDN w:val="0"/>
                              <w:adjustRightInd w:val="0"/>
                              <w:snapToGrid w:val="0"/>
                              <w:spacing w:line="360" w:lineRule="auto"/>
                              <w:jc w:val="center"/>
                              <w:textAlignment w:val="baseline"/>
                              <w:rPr>
                                <w:rFonts w:ascii="Times New Roman" w:hAnsi="Times New Roman" w:eastAsia="宋体" w:cs="Times New Roman"/>
                                <w:snapToGrid w:val="0"/>
                                <w:color w:val="auto"/>
                                <w:spacing w:val="13"/>
                                <w:kern w:val="0"/>
                                <w:sz w:val="18"/>
                                <w:szCs w:val="18"/>
                              </w:rPr>
                            </w:pPr>
                            <w:r>
                              <w:rPr>
                                <w:rFonts w:ascii="Times New Roman" w:hAnsi="Times New Roman" w:eastAsia="宋体" w:cs="Times New Roman"/>
                                <w:snapToGrid w:val="0"/>
                                <w:color w:val="auto"/>
                                <w:spacing w:val="13"/>
                                <w:kern w:val="0"/>
                                <w:sz w:val="18"/>
                                <w:szCs w:val="18"/>
                              </w:rPr>
                              <w:t>Table 5 M</w:t>
                            </w:r>
                            <w:r>
                              <w:rPr>
                                <w:rFonts w:hint="eastAsia" w:ascii="Times New Roman" w:hAnsi="Times New Roman" w:eastAsia="宋体" w:cs="Times New Roman"/>
                                <w:snapToGrid w:val="0"/>
                                <w:color w:val="auto"/>
                                <w:spacing w:val="13"/>
                                <w:kern w:val="0"/>
                                <w:sz w:val="18"/>
                                <w:szCs w:val="18"/>
                              </w:rPr>
                              <w:t>odel</w:t>
                            </w:r>
                            <w:r>
                              <w:rPr>
                                <w:rFonts w:ascii="Times New Roman" w:hAnsi="Times New Roman" w:eastAsia="宋体" w:cs="Times New Roman"/>
                                <w:snapToGrid w:val="0"/>
                                <w:color w:val="auto"/>
                                <w:spacing w:val="13"/>
                                <w:kern w:val="0"/>
                                <w:sz w:val="18"/>
                                <w:szCs w:val="18"/>
                              </w:rPr>
                              <w:t xml:space="preserve"> fit</w:t>
                            </w:r>
                          </w:p>
                          <w:p>
                            <w:pPr>
                              <w:rPr>
                                <w:color w:val="FF000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 o:spid="_x0000_s1026" o:spt="202" type="#_x0000_t202" style="position:absolute;left:0pt;margin-left:188.35pt;margin-top:6.25pt;height:16.7pt;width:179.35pt;z-index:251659264;mso-width-relative:page;mso-height-relative:page;" fillcolor="#FFFFFF [3201]" filled="t" stroked="f" coordsize="21600,21600" o:gfxdata="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jETwNUAAAAJ&#10;AQAADwAAAAAAAAABACAAAAAiAAAAZHJzL2Rvd25yZXYueG1sUEsBAhQAFAAAAAgAh07iQAy7UWhY&#10;AgAAmAQAAA4AAAAAAAAAAQAgAAAAJAEAAGRycy9lMm9Eb2MueG1sUEsFBgAAAAAGAAYAWQEAAO4F&#10;AAAAAA==&#10;">
                <v:fill on="t" focussize="0,0"/>
                <v:stroke on="f" weight="0.5pt"/>
                <v:imagedata o:title=""/>
                <o:lock v:ext="edit" aspectratio="f"/>
                <v:textbox>
                  <w:txbxContent>
                    <w:p>
                      <w:pPr>
                        <w:widowControl/>
                        <w:kinsoku w:val="0"/>
                        <w:autoSpaceDE w:val="0"/>
                        <w:autoSpaceDN w:val="0"/>
                        <w:adjustRightInd w:val="0"/>
                        <w:snapToGrid w:val="0"/>
                        <w:spacing w:line="360" w:lineRule="auto"/>
                        <w:jc w:val="center"/>
                        <w:textAlignment w:val="baseline"/>
                        <w:rPr>
                          <w:rFonts w:ascii="Times New Roman" w:hAnsi="Times New Roman" w:eastAsia="宋体" w:cs="Times New Roman"/>
                          <w:snapToGrid w:val="0"/>
                          <w:color w:val="auto"/>
                          <w:spacing w:val="13"/>
                          <w:kern w:val="0"/>
                          <w:sz w:val="18"/>
                          <w:szCs w:val="18"/>
                        </w:rPr>
                      </w:pPr>
                      <w:r>
                        <w:rPr>
                          <w:rFonts w:ascii="Times New Roman" w:hAnsi="Times New Roman" w:eastAsia="宋体" w:cs="Times New Roman"/>
                          <w:snapToGrid w:val="0"/>
                          <w:color w:val="auto"/>
                          <w:spacing w:val="13"/>
                          <w:kern w:val="0"/>
                          <w:sz w:val="18"/>
                          <w:szCs w:val="18"/>
                        </w:rPr>
                        <w:t>Table 5 M</w:t>
                      </w:r>
                      <w:r>
                        <w:rPr>
                          <w:rFonts w:hint="eastAsia" w:ascii="Times New Roman" w:hAnsi="Times New Roman" w:eastAsia="宋体" w:cs="Times New Roman"/>
                          <w:snapToGrid w:val="0"/>
                          <w:color w:val="auto"/>
                          <w:spacing w:val="13"/>
                          <w:kern w:val="0"/>
                          <w:sz w:val="18"/>
                          <w:szCs w:val="18"/>
                        </w:rPr>
                        <w:t>odel</w:t>
                      </w:r>
                      <w:r>
                        <w:rPr>
                          <w:rFonts w:ascii="Times New Roman" w:hAnsi="Times New Roman" w:eastAsia="宋体" w:cs="Times New Roman"/>
                          <w:snapToGrid w:val="0"/>
                          <w:color w:val="auto"/>
                          <w:spacing w:val="13"/>
                          <w:kern w:val="0"/>
                          <w:sz w:val="18"/>
                          <w:szCs w:val="18"/>
                        </w:rPr>
                        <w:t xml:space="preserve"> fit</w:t>
                      </w:r>
                    </w:p>
                    <w:p>
                      <w:pPr>
                        <w:rPr>
                          <w:color w:val="FF0000"/>
                        </w:rPr>
                      </w:pPr>
                    </w:p>
                  </w:txbxContent>
                </v:textbox>
              </v:shape>
            </w:pict>
          </mc:Fallback>
        </mc:AlternateContent>
      </w:r>
    </w:p>
    <w:tbl>
      <w:tblPr>
        <w:tblStyle w:val="9"/>
        <w:tblpPr w:leftFromText="180" w:rightFromText="180" w:vertAnchor="text" w:horzAnchor="page" w:tblpX="1968" w:tblpY="279"/>
        <w:tblOverlap w:val="never"/>
        <w:tblW w:w="7976" w:type="dxa"/>
        <w:tblInd w:w="0" w:type="dxa"/>
        <w:tblLayout w:type="autofit"/>
        <w:tblCellMar>
          <w:top w:w="0" w:type="dxa"/>
          <w:left w:w="108" w:type="dxa"/>
          <w:bottom w:w="0" w:type="dxa"/>
          <w:right w:w="108" w:type="dxa"/>
        </w:tblCellMar>
      </w:tblPr>
      <w:tblGrid>
        <w:gridCol w:w="1256"/>
        <w:gridCol w:w="1118"/>
        <w:gridCol w:w="1118"/>
        <w:gridCol w:w="1118"/>
        <w:gridCol w:w="1118"/>
        <w:gridCol w:w="1119"/>
        <w:gridCol w:w="1129"/>
      </w:tblGrid>
      <w:tr>
        <w:tblPrEx>
          <w:tblCellMar>
            <w:top w:w="0" w:type="dxa"/>
            <w:left w:w="108" w:type="dxa"/>
            <w:bottom w:w="0" w:type="dxa"/>
            <w:right w:w="108" w:type="dxa"/>
          </w:tblCellMar>
        </w:tblPrEx>
        <w:trPr>
          <w:trHeight w:val="540" w:hRule="atLeast"/>
        </w:trPr>
        <w:tc>
          <w:tcPr>
            <w:tcW w:w="1256" w:type="dxa"/>
            <w:tcBorders>
              <w:top w:val="single" w:color="000000" w:sz="8" w:space="0"/>
              <w:left w:val="nil"/>
              <w:bottom w:val="single" w:color="000000" w:sz="8" w:space="0"/>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Fit Index</w:t>
            </w:r>
          </w:p>
        </w:tc>
        <w:tc>
          <w:tcPr>
            <w:tcW w:w="1120" w:type="dxa"/>
            <w:tcBorders>
              <w:top w:val="single" w:color="000000" w:sz="8" w:space="0"/>
              <w:left w:val="nil"/>
              <w:bottom w:val="single" w:color="000000" w:sz="8" w:space="0"/>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X²/df</w:t>
            </w:r>
          </w:p>
        </w:tc>
        <w:tc>
          <w:tcPr>
            <w:tcW w:w="1120" w:type="dxa"/>
            <w:tcBorders>
              <w:top w:val="single" w:color="000000" w:sz="8" w:space="0"/>
              <w:left w:val="nil"/>
              <w:bottom w:val="single" w:color="000000" w:sz="8" w:space="0"/>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GFI</w:t>
            </w:r>
          </w:p>
        </w:tc>
        <w:tc>
          <w:tcPr>
            <w:tcW w:w="1120" w:type="dxa"/>
            <w:tcBorders>
              <w:top w:val="single" w:color="000000" w:sz="8" w:space="0"/>
              <w:left w:val="nil"/>
              <w:bottom w:val="single" w:color="000000" w:sz="8" w:space="0"/>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CFI</w:t>
            </w:r>
          </w:p>
        </w:tc>
        <w:tc>
          <w:tcPr>
            <w:tcW w:w="1120" w:type="dxa"/>
            <w:tcBorders>
              <w:top w:val="single" w:color="000000" w:sz="8" w:space="0"/>
              <w:left w:val="nil"/>
              <w:bottom w:val="single" w:color="000000" w:sz="8" w:space="0"/>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NFI</w:t>
            </w:r>
          </w:p>
        </w:tc>
        <w:tc>
          <w:tcPr>
            <w:tcW w:w="1120" w:type="dxa"/>
            <w:tcBorders>
              <w:top w:val="single" w:color="000000" w:sz="8" w:space="0"/>
              <w:left w:val="nil"/>
              <w:bottom w:val="single" w:color="000000" w:sz="8" w:space="0"/>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RMR</w:t>
            </w:r>
          </w:p>
        </w:tc>
        <w:tc>
          <w:tcPr>
            <w:tcW w:w="1120" w:type="dxa"/>
            <w:tcBorders>
              <w:top w:val="single" w:color="000000" w:sz="8" w:space="0"/>
              <w:left w:val="nil"/>
              <w:bottom w:val="single" w:color="000000" w:sz="8" w:space="0"/>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RMSEA</w:t>
            </w:r>
          </w:p>
        </w:tc>
      </w:tr>
      <w:tr>
        <w:tblPrEx>
          <w:tblCellMar>
            <w:top w:w="0" w:type="dxa"/>
            <w:left w:w="108" w:type="dxa"/>
            <w:bottom w:w="0" w:type="dxa"/>
            <w:right w:w="108" w:type="dxa"/>
          </w:tblCellMar>
        </w:tblPrEx>
        <w:trPr>
          <w:trHeight w:val="540" w:hRule="atLeast"/>
        </w:trPr>
        <w:tc>
          <w:tcPr>
            <w:tcW w:w="1256" w:type="dxa"/>
            <w:tcBorders>
              <w:top w:val="nil"/>
              <w:left w:val="nil"/>
              <w:bottom w:val="nil"/>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evaluation criterion</w:t>
            </w:r>
          </w:p>
        </w:tc>
        <w:tc>
          <w:tcPr>
            <w:tcW w:w="1120" w:type="dxa"/>
            <w:tcBorders>
              <w:top w:val="nil"/>
              <w:left w:val="nil"/>
              <w:bottom w:val="nil"/>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&lt;3</w:t>
            </w:r>
          </w:p>
        </w:tc>
        <w:tc>
          <w:tcPr>
            <w:tcW w:w="1120" w:type="dxa"/>
            <w:tcBorders>
              <w:top w:val="nil"/>
              <w:left w:val="nil"/>
              <w:bottom w:val="nil"/>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&gt;0.90</w:t>
            </w:r>
          </w:p>
        </w:tc>
        <w:tc>
          <w:tcPr>
            <w:tcW w:w="1120" w:type="dxa"/>
            <w:tcBorders>
              <w:top w:val="nil"/>
              <w:left w:val="nil"/>
              <w:bottom w:val="nil"/>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&gt;0.90</w:t>
            </w:r>
          </w:p>
        </w:tc>
        <w:tc>
          <w:tcPr>
            <w:tcW w:w="1120" w:type="dxa"/>
            <w:tcBorders>
              <w:top w:val="nil"/>
              <w:left w:val="nil"/>
              <w:bottom w:val="nil"/>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&gt;0.90</w:t>
            </w:r>
          </w:p>
        </w:tc>
        <w:tc>
          <w:tcPr>
            <w:tcW w:w="1120" w:type="dxa"/>
            <w:tcBorders>
              <w:top w:val="nil"/>
              <w:left w:val="nil"/>
              <w:bottom w:val="nil"/>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&lt;0.05</w:t>
            </w:r>
          </w:p>
        </w:tc>
        <w:tc>
          <w:tcPr>
            <w:tcW w:w="1120" w:type="dxa"/>
            <w:tcBorders>
              <w:top w:val="nil"/>
              <w:left w:val="nil"/>
              <w:bottom w:val="nil"/>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&lt;0.05</w:t>
            </w:r>
          </w:p>
        </w:tc>
      </w:tr>
      <w:tr>
        <w:tblPrEx>
          <w:tblCellMar>
            <w:top w:w="0" w:type="dxa"/>
            <w:left w:w="108" w:type="dxa"/>
            <w:bottom w:w="0" w:type="dxa"/>
            <w:right w:w="108" w:type="dxa"/>
          </w:tblCellMar>
        </w:tblPrEx>
        <w:trPr>
          <w:trHeight w:val="540" w:hRule="atLeast"/>
        </w:trPr>
        <w:tc>
          <w:tcPr>
            <w:tcW w:w="1256" w:type="dxa"/>
            <w:tcBorders>
              <w:top w:val="nil"/>
              <w:left w:val="nil"/>
              <w:bottom w:val="single" w:color="000000" w:sz="8" w:space="0"/>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result</w:t>
            </w:r>
          </w:p>
        </w:tc>
        <w:tc>
          <w:tcPr>
            <w:tcW w:w="1120" w:type="dxa"/>
            <w:tcBorders>
              <w:top w:val="nil"/>
              <w:left w:val="nil"/>
              <w:bottom w:val="single" w:color="000000" w:sz="8" w:space="0"/>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1.416</w:t>
            </w:r>
          </w:p>
        </w:tc>
        <w:tc>
          <w:tcPr>
            <w:tcW w:w="1120" w:type="dxa"/>
            <w:tcBorders>
              <w:top w:val="nil"/>
              <w:left w:val="nil"/>
              <w:bottom w:val="single" w:color="000000" w:sz="8" w:space="0"/>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0.926</w:t>
            </w:r>
          </w:p>
        </w:tc>
        <w:tc>
          <w:tcPr>
            <w:tcW w:w="1120" w:type="dxa"/>
            <w:tcBorders>
              <w:top w:val="nil"/>
              <w:left w:val="nil"/>
              <w:bottom w:val="single" w:color="000000" w:sz="8" w:space="0"/>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0.984</w:t>
            </w:r>
          </w:p>
        </w:tc>
        <w:tc>
          <w:tcPr>
            <w:tcW w:w="1120" w:type="dxa"/>
            <w:tcBorders>
              <w:top w:val="nil"/>
              <w:left w:val="nil"/>
              <w:bottom w:val="single" w:color="000000" w:sz="8" w:space="0"/>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0.946</w:t>
            </w:r>
          </w:p>
        </w:tc>
        <w:tc>
          <w:tcPr>
            <w:tcW w:w="1120" w:type="dxa"/>
            <w:tcBorders>
              <w:top w:val="nil"/>
              <w:left w:val="nil"/>
              <w:bottom w:val="single" w:color="000000" w:sz="8" w:space="0"/>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0.042</w:t>
            </w:r>
          </w:p>
        </w:tc>
        <w:tc>
          <w:tcPr>
            <w:tcW w:w="1120" w:type="dxa"/>
            <w:tcBorders>
              <w:top w:val="nil"/>
              <w:left w:val="nil"/>
              <w:bottom w:val="single" w:color="000000" w:sz="8" w:space="0"/>
              <w:right w:val="nil"/>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0.025</w:t>
            </w:r>
          </w:p>
        </w:tc>
      </w:tr>
    </w:tbl>
    <w:p>
      <w:pPr>
        <w:spacing w:line="360" w:lineRule="auto"/>
        <w:ind w:firstLine="412"/>
        <w:rPr>
          <w:rFonts w:ascii="Times New Roman" w:hAnsi="Times New Roman" w:eastAsia="宋体" w:cs="Times New Roman"/>
          <w:spacing w:val="13"/>
          <w:sz w:val="16"/>
          <w:szCs w:val="16"/>
        </w:rPr>
      </w:pPr>
    </w:p>
    <w:p>
      <w:pPr>
        <w:ind w:firstLine="360"/>
        <w:jc w:val="center"/>
        <w:rPr>
          <w:rFonts w:ascii="Times New Roman" w:hAnsi="Times New Roman" w:eastAsia="宋体" w:cs="Times New Roman"/>
          <w:sz w:val="16"/>
          <w:szCs w:val="16"/>
        </w:rPr>
      </w:pPr>
    </w:p>
    <w:p>
      <w:pPr>
        <w:ind w:firstLine="360"/>
        <w:jc w:val="center"/>
        <w:rPr>
          <w:rFonts w:ascii="Times New Roman" w:hAnsi="Times New Roman" w:eastAsia="宋体" w:cs="Times New Roman"/>
          <w:sz w:val="16"/>
          <w:szCs w:val="16"/>
        </w:rPr>
      </w:pPr>
    </w:p>
    <w:p>
      <w:pPr>
        <w:ind w:firstLine="360"/>
        <w:jc w:val="center"/>
        <w:rPr>
          <w:rFonts w:ascii="Times New Roman" w:hAnsi="Times New Roman" w:eastAsia="宋体" w:cs="Times New Roman"/>
          <w:sz w:val="16"/>
          <w:szCs w:val="16"/>
        </w:rPr>
      </w:pPr>
    </w:p>
    <w:p>
      <w:pPr>
        <w:widowControl/>
        <w:kinsoku w:val="0"/>
        <w:autoSpaceDE w:val="0"/>
        <w:autoSpaceDN w:val="0"/>
        <w:adjustRightInd w:val="0"/>
        <w:snapToGrid w:val="0"/>
        <w:spacing w:line="360" w:lineRule="auto"/>
        <w:textAlignment w:val="baseline"/>
        <w:rPr>
          <w:rFonts w:ascii="Times New Roman" w:hAnsi="Times New Roman" w:eastAsia="宋体" w:cs="Times New Roman"/>
          <w:snapToGrid w:val="0"/>
          <w:color w:val="000000"/>
          <w:spacing w:val="13"/>
          <w:kern w:val="0"/>
          <w:sz w:val="16"/>
          <w:szCs w:val="16"/>
        </w:rPr>
      </w:pPr>
      <w:r>
        <w:rPr>
          <w:rFonts w:ascii="Times New Roman" w:hAnsi="Times New Roman" w:eastAsia="宋体" w:cs="Times New Roman"/>
          <w:sz w:val="16"/>
          <w:szCs w:val="16"/>
        </w:rPr>
        <mc:AlternateContent>
          <mc:Choice Requires="wps">
            <w:drawing>
              <wp:anchor distT="0" distB="0" distL="114300" distR="114300" simplePos="0" relativeHeight="251660288" behindDoc="0" locked="0" layoutInCell="1" allowOverlap="1">
                <wp:simplePos x="0" y="0"/>
                <wp:positionH relativeFrom="column">
                  <wp:posOffset>1958975</wp:posOffset>
                </wp:positionH>
                <wp:positionV relativeFrom="paragraph">
                  <wp:posOffset>799465</wp:posOffset>
                </wp:positionV>
                <wp:extent cx="3004185" cy="277495"/>
                <wp:effectExtent l="0" t="0" r="5715" b="1905"/>
                <wp:wrapNone/>
                <wp:docPr id="1428663535" name="文本框 1"/>
                <wp:cNvGraphicFramePr/>
                <a:graphic xmlns:a="http://schemas.openxmlformats.org/drawingml/2006/main">
                  <a:graphicData uri="http://schemas.microsoft.com/office/word/2010/wordprocessingShape">
                    <wps:wsp>
                      <wps:cNvSpPr txBox="1"/>
                      <wps:spPr>
                        <a:xfrm>
                          <a:off x="0" y="0"/>
                          <a:ext cx="3004458" cy="277586"/>
                        </a:xfrm>
                        <a:prstGeom prst="rect">
                          <a:avLst/>
                        </a:prstGeom>
                        <a:solidFill>
                          <a:schemeClr val="lt1"/>
                        </a:solidFill>
                        <a:ln w="6350">
                          <a:noFill/>
                        </a:ln>
                      </wps:spPr>
                      <wps:txbx>
                        <w:txbxContent>
                          <w:p>
                            <w:pPr>
                              <w:widowControl/>
                              <w:kinsoku w:val="0"/>
                              <w:autoSpaceDE w:val="0"/>
                              <w:autoSpaceDN w:val="0"/>
                              <w:adjustRightInd w:val="0"/>
                              <w:snapToGrid w:val="0"/>
                              <w:spacing w:line="360" w:lineRule="auto"/>
                              <w:jc w:val="center"/>
                              <w:textAlignment w:val="baseline"/>
                              <w:rPr>
                                <w:rFonts w:ascii="Times New Roman" w:hAnsi="Times New Roman" w:eastAsia="宋体" w:cs="Times New Roman"/>
                                <w:snapToGrid w:val="0"/>
                                <w:color w:val="000000"/>
                                <w:spacing w:val="13"/>
                                <w:kern w:val="0"/>
                                <w:sz w:val="18"/>
                                <w:szCs w:val="18"/>
                              </w:rPr>
                            </w:pPr>
                            <w:r>
                              <w:rPr>
                                <w:rFonts w:ascii="Times New Roman" w:hAnsi="Times New Roman" w:eastAsia="宋体" w:cs="Times New Roman"/>
                                <w:snapToGrid w:val="0"/>
                                <w:color w:val="000000"/>
                                <w:spacing w:val="13"/>
                                <w:kern w:val="0"/>
                                <w:sz w:val="18"/>
                                <w:szCs w:val="18"/>
                              </w:rPr>
                              <w:t>Table 6 Structural Equation Model Hypothesis Verification Result</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54.25pt;margin-top:62.95pt;height:21.85pt;width:236.55pt;z-index:251660288;mso-width-relative:page;mso-height-relative:page;" fillcolor="#FFFFFF [3201]" filled="t" stroked="f" coordsize="21600,21600" o:gfxdata="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YqczY1gAAAAsB&#10;AAAPAAAAAAAAAAEAIAAAACIAAABkcnMvZG93bnJldi54bWxQSwECFAAUAAAACACHTuJAzlOwelYC&#10;AACYBAAADgAAAAAAAAABACAAAAAlAQAAZHJzL2Uyb0RvYy54bWxQSwUGAAAAAAYABgBZAQAA7QUA&#10;AAAA&#10;">
                <v:fill on="t" focussize="0,0"/>
                <v:stroke on="f" weight="0.5pt"/>
                <v:imagedata o:title=""/>
                <o:lock v:ext="edit" aspectratio="f"/>
                <v:textbox>
                  <w:txbxContent>
                    <w:p>
                      <w:pPr>
                        <w:widowControl/>
                        <w:kinsoku w:val="0"/>
                        <w:autoSpaceDE w:val="0"/>
                        <w:autoSpaceDN w:val="0"/>
                        <w:adjustRightInd w:val="0"/>
                        <w:snapToGrid w:val="0"/>
                        <w:spacing w:line="360" w:lineRule="auto"/>
                        <w:jc w:val="center"/>
                        <w:textAlignment w:val="baseline"/>
                        <w:rPr>
                          <w:rFonts w:ascii="Times New Roman" w:hAnsi="Times New Roman" w:eastAsia="宋体" w:cs="Times New Roman"/>
                          <w:snapToGrid w:val="0"/>
                          <w:color w:val="000000"/>
                          <w:spacing w:val="13"/>
                          <w:kern w:val="0"/>
                          <w:sz w:val="18"/>
                          <w:szCs w:val="18"/>
                        </w:rPr>
                      </w:pPr>
                      <w:r>
                        <w:rPr>
                          <w:rFonts w:ascii="Times New Roman" w:hAnsi="Times New Roman" w:eastAsia="宋体" w:cs="Times New Roman"/>
                          <w:snapToGrid w:val="0"/>
                          <w:color w:val="000000"/>
                          <w:spacing w:val="13"/>
                          <w:kern w:val="0"/>
                          <w:sz w:val="18"/>
                          <w:szCs w:val="18"/>
                        </w:rPr>
                        <w:t>Table 6 Structural Equation Model Hypothesis Verification Result</w:t>
                      </w:r>
                    </w:p>
                    <w:p/>
                  </w:txbxContent>
                </v:textbox>
              </v:shape>
            </w:pict>
          </mc:Fallback>
        </mc:AlternateContent>
      </w:r>
    </w:p>
    <w:tbl>
      <w:tblPr>
        <w:tblStyle w:val="9"/>
        <w:tblpPr w:leftFromText="180" w:rightFromText="180" w:vertAnchor="text" w:horzAnchor="margin" w:tblpXSpec="center" w:tblpY="1555"/>
        <w:tblOverlap w:val="never"/>
        <w:tblW w:w="7893" w:type="dxa"/>
        <w:tblInd w:w="0" w:type="dxa"/>
        <w:tblLayout w:type="autofit"/>
        <w:tblCellMar>
          <w:top w:w="0" w:type="dxa"/>
          <w:left w:w="108" w:type="dxa"/>
          <w:bottom w:w="0" w:type="dxa"/>
          <w:right w:w="108" w:type="dxa"/>
        </w:tblCellMar>
      </w:tblPr>
      <w:tblGrid>
        <w:gridCol w:w="1387"/>
        <w:gridCol w:w="1204"/>
        <w:gridCol w:w="1197"/>
        <w:gridCol w:w="1197"/>
        <w:gridCol w:w="1233"/>
        <w:gridCol w:w="1675"/>
      </w:tblGrid>
      <w:tr>
        <w:tblPrEx>
          <w:tblCellMar>
            <w:top w:w="0" w:type="dxa"/>
            <w:left w:w="108" w:type="dxa"/>
            <w:bottom w:w="0" w:type="dxa"/>
            <w:right w:w="108" w:type="dxa"/>
          </w:tblCellMar>
        </w:tblPrEx>
        <w:trPr>
          <w:trHeight w:val="586" w:hRule="atLeast"/>
        </w:trPr>
        <w:tc>
          <w:tcPr>
            <w:tcW w:w="1387"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Hypothesis</w:t>
            </w:r>
          </w:p>
        </w:tc>
        <w:tc>
          <w:tcPr>
            <w:tcW w:w="1204"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spacing w:line="360" w:lineRule="auto"/>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Count path</w:t>
            </w:r>
          </w:p>
        </w:tc>
        <w:tc>
          <w:tcPr>
            <w:tcW w:w="1197"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S. E</w:t>
            </w:r>
          </w:p>
        </w:tc>
        <w:tc>
          <w:tcPr>
            <w:tcW w:w="1197"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C.R.</w:t>
            </w:r>
          </w:p>
        </w:tc>
        <w:tc>
          <w:tcPr>
            <w:tcW w:w="1233"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P</w:t>
            </w:r>
          </w:p>
        </w:tc>
        <w:tc>
          <w:tcPr>
            <w:tcW w:w="167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Result</w:t>
            </w:r>
          </w:p>
        </w:tc>
      </w:tr>
      <w:tr>
        <w:tblPrEx>
          <w:tblCellMar>
            <w:top w:w="0" w:type="dxa"/>
            <w:left w:w="108" w:type="dxa"/>
            <w:bottom w:w="0" w:type="dxa"/>
            <w:right w:w="108" w:type="dxa"/>
          </w:tblCellMar>
        </w:tblPrEx>
        <w:trPr>
          <w:trHeight w:val="346" w:hRule="atLeast"/>
        </w:trPr>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H 1 - 1</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0.084</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0.031</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2.734</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0.006**</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established</w:t>
            </w:r>
          </w:p>
        </w:tc>
      </w:tr>
      <w:tr>
        <w:tblPrEx>
          <w:tblCellMar>
            <w:top w:w="0" w:type="dxa"/>
            <w:left w:w="108" w:type="dxa"/>
            <w:bottom w:w="0" w:type="dxa"/>
            <w:right w:w="108" w:type="dxa"/>
          </w:tblCellMar>
        </w:tblPrEx>
        <w:trPr>
          <w:trHeight w:val="346" w:hRule="atLeast"/>
        </w:trPr>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H 1 - 2</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0.021</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0.030</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0.691</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0.490</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unestablished</w:t>
            </w:r>
          </w:p>
        </w:tc>
      </w:tr>
      <w:tr>
        <w:tblPrEx>
          <w:tblCellMar>
            <w:top w:w="0" w:type="dxa"/>
            <w:left w:w="108" w:type="dxa"/>
            <w:bottom w:w="0" w:type="dxa"/>
            <w:right w:w="108" w:type="dxa"/>
          </w:tblCellMar>
        </w:tblPrEx>
        <w:trPr>
          <w:trHeight w:val="346" w:hRule="atLeast"/>
        </w:trPr>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H 1 - 3</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0.104</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0.036</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2.857</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0.004**</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established</w:t>
            </w:r>
          </w:p>
        </w:tc>
      </w:tr>
      <w:tr>
        <w:tblPrEx>
          <w:tblCellMar>
            <w:top w:w="0" w:type="dxa"/>
            <w:left w:w="108" w:type="dxa"/>
            <w:bottom w:w="0" w:type="dxa"/>
            <w:right w:w="108" w:type="dxa"/>
          </w:tblCellMar>
        </w:tblPrEx>
        <w:trPr>
          <w:trHeight w:val="346" w:hRule="atLeast"/>
        </w:trPr>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H 2 - 1</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0.073</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0.029</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2.488</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0.013**</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established</w:t>
            </w:r>
          </w:p>
        </w:tc>
      </w:tr>
      <w:tr>
        <w:tblPrEx>
          <w:tblCellMar>
            <w:top w:w="0" w:type="dxa"/>
            <w:left w:w="108" w:type="dxa"/>
            <w:bottom w:w="0" w:type="dxa"/>
            <w:right w:w="108" w:type="dxa"/>
          </w:tblCellMar>
        </w:tblPrEx>
        <w:trPr>
          <w:trHeight w:val="346" w:hRule="atLeast"/>
        </w:trPr>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H 2 - 2</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0.112</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0.034</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3.305</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 * *</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established</w:t>
            </w:r>
          </w:p>
        </w:tc>
      </w:tr>
      <w:tr>
        <w:tblPrEx>
          <w:tblCellMar>
            <w:top w:w="0" w:type="dxa"/>
            <w:left w:w="108" w:type="dxa"/>
            <w:bottom w:w="0" w:type="dxa"/>
            <w:right w:w="108" w:type="dxa"/>
          </w:tblCellMar>
        </w:tblPrEx>
        <w:trPr>
          <w:trHeight w:val="346" w:hRule="atLeast"/>
        </w:trPr>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H 2 - 3</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0.107</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0.042</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2.570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0.010**</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established</w:t>
            </w:r>
          </w:p>
        </w:tc>
      </w:tr>
      <w:tr>
        <w:tblPrEx>
          <w:tblCellMar>
            <w:top w:w="0" w:type="dxa"/>
            <w:left w:w="108" w:type="dxa"/>
            <w:bottom w:w="0" w:type="dxa"/>
            <w:right w:w="108" w:type="dxa"/>
          </w:tblCellMar>
        </w:tblPrEx>
        <w:trPr>
          <w:trHeight w:val="346" w:hRule="atLeast"/>
        </w:trPr>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H 3 - 1</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0.083</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0.029</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2.892</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0.004**</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established</w:t>
            </w:r>
          </w:p>
        </w:tc>
      </w:tr>
      <w:tr>
        <w:tblPrEx>
          <w:tblCellMar>
            <w:top w:w="0" w:type="dxa"/>
            <w:left w:w="108" w:type="dxa"/>
            <w:bottom w:w="0" w:type="dxa"/>
            <w:right w:w="108" w:type="dxa"/>
          </w:tblCellMar>
        </w:tblPrEx>
        <w:trPr>
          <w:trHeight w:val="346" w:hRule="atLeast"/>
        </w:trPr>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H 3 - 2</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0.240</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0.058</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4.117</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 * *</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established</w:t>
            </w:r>
          </w:p>
        </w:tc>
      </w:tr>
      <w:tr>
        <w:tblPrEx>
          <w:tblCellMar>
            <w:top w:w="0" w:type="dxa"/>
            <w:left w:w="108" w:type="dxa"/>
            <w:bottom w:w="0" w:type="dxa"/>
            <w:right w:w="108" w:type="dxa"/>
          </w:tblCellMar>
        </w:tblPrEx>
        <w:trPr>
          <w:trHeight w:val="346" w:hRule="atLeast"/>
        </w:trPr>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H 3 - 3</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-0.015</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0.019</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-0.782</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0.434</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unestablished</w:t>
            </w:r>
          </w:p>
        </w:tc>
      </w:tr>
      <w:tr>
        <w:tblPrEx>
          <w:tblCellMar>
            <w:top w:w="0" w:type="dxa"/>
            <w:left w:w="108" w:type="dxa"/>
            <w:bottom w:w="0" w:type="dxa"/>
            <w:right w:w="108" w:type="dxa"/>
          </w:tblCellMar>
        </w:tblPrEx>
        <w:trPr>
          <w:trHeight w:val="450" w:hRule="atLeast"/>
        </w:trPr>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H 4</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0.529</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0.054</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9.799</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 * *</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ind w:firstLine="360"/>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sz w:val="16"/>
                <w:szCs w:val="16"/>
              </w:rPr>
              <w:t>established</w:t>
            </w:r>
          </w:p>
        </w:tc>
      </w:tr>
    </w:tbl>
    <w:p>
      <w:pPr>
        <w:ind w:firstLine="360"/>
        <w:rPr>
          <w:rFonts w:ascii="宋体" w:hAnsi="宋体" w:eastAsia="宋体"/>
          <w:sz w:val="18"/>
          <w:szCs w:val="18"/>
        </w:rPr>
      </w:pPr>
    </w:p>
    <w:p>
      <w:pPr>
        <w:ind w:firstLine="360"/>
        <w:rPr>
          <w:rFonts w:ascii="宋体" w:hAnsi="宋体" w:eastAsia="宋体"/>
          <w:sz w:val="18"/>
          <w:szCs w:val="18"/>
        </w:rPr>
      </w:pPr>
    </w:p>
    <w:p>
      <w:pPr>
        <w:ind w:firstLine="360"/>
        <w:rPr>
          <w:rFonts w:ascii="宋体" w:hAnsi="宋体" w:eastAsia="宋体"/>
          <w:sz w:val="18"/>
          <w:szCs w:val="18"/>
        </w:rPr>
      </w:pPr>
    </w:p>
    <w:p>
      <w:pPr>
        <w:ind w:firstLine="360"/>
        <w:rPr>
          <w:rFonts w:ascii="宋体" w:hAnsi="宋体" w:eastAsia="宋体"/>
          <w:sz w:val="18"/>
          <w:szCs w:val="18"/>
        </w:rPr>
      </w:pPr>
    </w:p>
    <w:p>
      <w:pPr>
        <w:ind w:firstLine="360"/>
        <w:rPr>
          <w:rFonts w:ascii="宋体" w:hAnsi="宋体" w:eastAsia="宋体"/>
          <w:sz w:val="18"/>
          <w:szCs w:val="18"/>
        </w:rPr>
      </w:pPr>
    </w:p>
    <w:p>
      <w:pPr>
        <w:ind w:firstLine="360"/>
        <w:rPr>
          <w:rFonts w:ascii="宋体" w:hAnsi="宋体" w:eastAsia="宋体"/>
          <w:sz w:val="18"/>
          <w:szCs w:val="18"/>
        </w:rPr>
      </w:pPr>
    </w:p>
    <w:p>
      <w:pPr>
        <w:rPr>
          <w:rFonts w:ascii="宋体" w:hAnsi="宋体" w:eastAsia="宋体"/>
          <w:sz w:val="18"/>
          <w:szCs w:val="18"/>
        </w:rPr>
      </w:pPr>
    </w:p>
    <w:p>
      <w:pPr>
        <w:tabs>
          <w:tab w:val="left" w:pos="1041"/>
        </w:tabs>
        <w:ind w:firstLine="360"/>
        <w:jc w:val="left"/>
        <w:rPr>
          <w:rFonts w:ascii="宋体" w:hAnsi="宋体" w:eastAsia="宋体"/>
          <w:sz w:val="18"/>
          <w:szCs w:val="18"/>
        </w:rPr>
      </w:pPr>
      <w:r>
        <w:rPr>
          <w:rFonts w:ascii="宋体" w:hAnsi="宋体" w:eastAsia="宋体"/>
          <w:sz w:val="18"/>
          <w:szCs w:val="18"/>
        </w:rPr>
        <w:tab/>
      </w:r>
    </w:p>
    <w:p>
      <w:pPr>
        <w:tabs>
          <w:tab w:val="left" w:pos="1041"/>
        </w:tabs>
        <w:jc w:val="left"/>
        <w:rPr>
          <w:rFonts w:ascii="宋体" w:hAnsi="宋体" w:eastAsia="宋体"/>
          <w:sz w:val="18"/>
          <w:szCs w:val="18"/>
        </w:rPr>
      </w:pPr>
    </w:p>
    <w:p>
      <w:pPr>
        <w:tabs>
          <w:tab w:val="left" w:pos="1041"/>
        </w:tabs>
        <w:jc w:val="left"/>
        <w:rPr>
          <w:rFonts w:ascii="宋体" w:hAnsi="宋体" w:eastAsia="宋体"/>
          <w:sz w:val="18"/>
          <w:szCs w:val="18"/>
        </w:rPr>
      </w:pPr>
    </w:p>
    <w:p>
      <w:pPr>
        <w:tabs>
          <w:tab w:val="left" w:pos="1041"/>
        </w:tabs>
        <w:jc w:val="left"/>
        <w:rPr>
          <w:rFonts w:ascii="宋体" w:hAnsi="宋体" w:eastAsia="宋体"/>
          <w:sz w:val="18"/>
          <w:szCs w:val="18"/>
        </w:rPr>
      </w:pPr>
    </w:p>
    <w:p>
      <w:pPr>
        <w:tabs>
          <w:tab w:val="left" w:pos="1041"/>
        </w:tabs>
        <w:jc w:val="left"/>
        <w:rPr>
          <w:rFonts w:ascii="宋体" w:hAnsi="宋体" w:eastAsia="宋体"/>
          <w:sz w:val="18"/>
          <w:szCs w:val="18"/>
        </w:rPr>
      </w:pPr>
    </w:p>
    <w:p>
      <w:pPr>
        <w:tabs>
          <w:tab w:val="left" w:pos="1041"/>
        </w:tabs>
        <w:jc w:val="left"/>
        <w:rPr>
          <w:rFonts w:ascii="宋体" w:hAnsi="宋体" w:eastAsia="宋体"/>
          <w:sz w:val="18"/>
          <w:szCs w:val="18"/>
        </w:rPr>
      </w:pPr>
    </w:p>
    <w:p>
      <w:pPr>
        <w:tabs>
          <w:tab w:val="left" w:pos="1041"/>
        </w:tabs>
        <w:jc w:val="left"/>
        <w:rPr>
          <w:rFonts w:ascii="宋体" w:hAnsi="宋体" w:eastAsia="宋体"/>
          <w:sz w:val="18"/>
          <w:szCs w:val="18"/>
        </w:rPr>
      </w:pPr>
    </w:p>
    <w:p>
      <w:pPr>
        <w:tabs>
          <w:tab w:val="left" w:pos="1041"/>
        </w:tabs>
        <w:jc w:val="left"/>
        <w:rPr>
          <w:rFonts w:ascii="宋体" w:hAnsi="宋体" w:eastAsia="宋体"/>
          <w:sz w:val="18"/>
          <w:szCs w:val="18"/>
        </w:rPr>
      </w:pPr>
    </w:p>
    <w:p>
      <w:pPr>
        <w:tabs>
          <w:tab w:val="left" w:pos="1041"/>
        </w:tabs>
        <w:jc w:val="left"/>
        <w:rPr>
          <w:rFonts w:ascii="宋体" w:hAnsi="宋体" w:eastAsia="宋体"/>
          <w:sz w:val="18"/>
          <w:szCs w:val="18"/>
        </w:rPr>
      </w:pPr>
    </w:p>
    <w:p>
      <w:pPr>
        <w:tabs>
          <w:tab w:val="left" w:pos="1041"/>
        </w:tabs>
        <w:jc w:val="left"/>
        <w:rPr>
          <w:rFonts w:ascii="宋体" w:hAnsi="宋体" w:eastAsia="宋体"/>
          <w:sz w:val="18"/>
          <w:szCs w:val="18"/>
        </w:rPr>
      </w:pPr>
    </w:p>
    <w:p>
      <w:pPr>
        <w:tabs>
          <w:tab w:val="left" w:pos="1041"/>
        </w:tabs>
        <w:jc w:val="left"/>
        <w:rPr>
          <w:rFonts w:ascii="宋体" w:hAnsi="宋体" w:eastAsia="宋体"/>
          <w:sz w:val="18"/>
          <w:szCs w:val="18"/>
        </w:rPr>
      </w:pPr>
    </w:p>
    <w:p>
      <w:pPr>
        <w:tabs>
          <w:tab w:val="left" w:pos="1041"/>
        </w:tabs>
        <w:jc w:val="left"/>
        <w:rPr>
          <w:rFonts w:ascii="宋体" w:hAnsi="宋体" w:eastAsia="宋体"/>
          <w:sz w:val="18"/>
          <w:szCs w:val="18"/>
        </w:rPr>
      </w:pPr>
    </w:p>
    <w:p>
      <w:pPr>
        <w:tabs>
          <w:tab w:val="left" w:pos="1041"/>
        </w:tabs>
        <w:jc w:val="left"/>
        <w:rPr>
          <w:rFonts w:ascii="宋体" w:hAnsi="宋体" w:eastAsia="宋体"/>
          <w:sz w:val="18"/>
          <w:szCs w:val="18"/>
        </w:rPr>
      </w:pPr>
    </w:p>
    <w:p>
      <w:pPr>
        <w:tabs>
          <w:tab w:val="left" w:pos="1041"/>
        </w:tabs>
        <w:jc w:val="left"/>
        <w:rPr>
          <w:rFonts w:ascii="宋体" w:hAnsi="宋体" w:eastAsia="宋体"/>
          <w:sz w:val="18"/>
          <w:szCs w:val="18"/>
        </w:rPr>
      </w:pPr>
    </w:p>
    <w:p>
      <w:pPr>
        <w:tabs>
          <w:tab w:val="left" w:pos="1041"/>
        </w:tabs>
        <w:jc w:val="left"/>
        <w:rPr>
          <w:rFonts w:ascii="宋体" w:hAnsi="宋体" w:eastAsia="宋体"/>
          <w:sz w:val="18"/>
          <w:szCs w:val="18"/>
        </w:rPr>
      </w:pPr>
    </w:p>
    <w:p>
      <w:pPr>
        <w:tabs>
          <w:tab w:val="left" w:pos="1041"/>
        </w:tabs>
        <w:jc w:val="left"/>
        <w:rPr>
          <w:rFonts w:ascii="宋体" w:hAnsi="宋体" w:eastAsia="宋体"/>
          <w:sz w:val="18"/>
          <w:szCs w:val="18"/>
        </w:rPr>
      </w:pPr>
    </w:p>
    <w:p>
      <w:pPr>
        <w:tabs>
          <w:tab w:val="left" w:pos="1041"/>
        </w:tabs>
        <w:jc w:val="left"/>
        <w:rPr>
          <w:rFonts w:ascii="宋体" w:hAnsi="宋体" w:eastAsia="宋体"/>
          <w:sz w:val="18"/>
          <w:szCs w:val="18"/>
        </w:rPr>
      </w:pPr>
    </w:p>
    <w:p>
      <w:pPr>
        <w:tabs>
          <w:tab w:val="left" w:pos="1041"/>
        </w:tabs>
        <w:ind w:firstLine="360"/>
        <w:jc w:val="left"/>
        <w:rPr>
          <w:rFonts w:ascii="Times New Roman" w:hAnsi="Times New Roman"/>
          <w:b/>
          <w:bCs/>
          <w:sz w:val="24"/>
        </w:rPr>
      </w:pPr>
      <w:r>
        <w:rPr>
          <w:rFonts w:ascii="Times New Roman" w:hAnsi="Times New Roman"/>
          <w:b/>
          <w:bCs/>
          <w:sz w:val="24"/>
        </w:rPr>
        <w:t>Co</w:t>
      </w:r>
      <w:r>
        <w:rPr>
          <w:rFonts w:hint="eastAsia" w:ascii="Times New Roman" w:hAnsi="Times New Roman"/>
          <w:b/>
          <w:bCs/>
          <w:sz w:val="24"/>
        </w:rPr>
        <w:t>ver</w:t>
      </w:r>
      <w:r>
        <w:rPr>
          <w:rFonts w:ascii="Times New Roman" w:hAnsi="Times New Roman"/>
          <w:b/>
          <w:bCs/>
          <w:sz w:val="24"/>
        </w:rPr>
        <w:t xml:space="preserve"> Letter</w:t>
      </w:r>
    </w:p>
    <w:p>
      <w:pPr>
        <w:tabs>
          <w:tab w:val="left" w:pos="1041"/>
        </w:tabs>
        <w:ind w:firstLine="480"/>
        <w:jc w:val="left"/>
        <w:rPr>
          <w:rFonts w:ascii="Times New Roman" w:hAnsi="Times New Roman"/>
          <w:sz w:val="18"/>
          <w:szCs w:val="18"/>
        </w:rPr>
      </w:pPr>
      <w:r>
        <w:rPr>
          <w:rFonts w:ascii="Times New Roman" w:hAnsi="Times New Roman"/>
          <w:b/>
          <w:bCs/>
          <w:sz w:val="24"/>
        </w:rPr>
        <w:t xml:space="preserve">     </w:t>
      </w:r>
      <w:r>
        <w:rPr>
          <w:rFonts w:ascii="Times New Roman" w:hAnsi="Times New Roman"/>
          <w:sz w:val="18"/>
          <w:szCs w:val="18"/>
        </w:rPr>
        <w:t>Dear E</w:t>
      </w:r>
      <w:r>
        <w:rPr>
          <w:rFonts w:hint="eastAsia" w:ascii="Times New Roman" w:hAnsi="Times New Roman"/>
          <w:sz w:val="18"/>
          <w:szCs w:val="18"/>
        </w:rPr>
        <w:t>di</w:t>
      </w:r>
      <w:r>
        <w:rPr>
          <w:rFonts w:ascii="Times New Roman" w:hAnsi="Times New Roman"/>
          <w:sz w:val="18"/>
          <w:szCs w:val="18"/>
        </w:rPr>
        <w:t>tor</w:t>
      </w:r>
      <w:r>
        <w:rPr>
          <w:rFonts w:hint="eastAsia" w:ascii="Times New Roman" w:hAnsi="Times New Roman"/>
          <w:sz w:val="18"/>
          <w:szCs w:val="18"/>
        </w:rPr>
        <w:t>，</w:t>
      </w:r>
    </w:p>
    <w:p>
      <w:pPr>
        <w:tabs>
          <w:tab w:val="left" w:pos="1041"/>
        </w:tabs>
        <w:ind w:left="450" w:hanging="450" w:hangingChars="250"/>
        <w:jc w:val="left"/>
        <w:rPr>
          <w:rFonts w:ascii="Times New Roman" w:hAnsi="Times New Roman"/>
          <w:sz w:val="18"/>
          <w:szCs w:val="18"/>
        </w:rPr>
      </w:pPr>
      <w:r>
        <w:rPr>
          <w:rFonts w:hint="eastAsia" w:ascii="Times New Roman" w:hAnsi="Times New Roman"/>
          <w:sz w:val="18"/>
          <w:szCs w:val="18"/>
        </w:rPr>
        <w:t xml:space="preserve"> </w:t>
      </w:r>
      <w:r>
        <w:rPr>
          <w:rFonts w:ascii="Times New Roman" w:hAnsi="Times New Roman"/>
          <w:sz w:val="18"/>
          <w:szCs w:val="18"/>
        </w:rPr>
        <w:t xml:space="preserve">           M</w:t>
      </w:r>
      <w:r>
        <w:rPr>
          <w:rFonts w:hint="eastAsia" w:ascii="Times New Roman" w:hAnsi="Times New Roman"/>
          <w:sz w:val="18"/>
          <w:szCs w:val="18"/>
        </w:rPr>
        <w:t>y</w:t>
      </w:r>
      <w:r>
        <w:rPr>
          <w:rFonts w:ascii="Times New Roman" w:hAnsi="Times New Roman"/>
          <w:sz w:val="18"/>
          <w:szCs w:val="18"/>
        </w:rPr>
        <w:t xml:space="preserve"> co-authors and would like to submit the manuscript “The influence mechanism of Real-Time Online Education Platform on. Learner User Behavior” for consideration for publication as a education paper in scientific reports. The paper was co-author by Siyang Mei, Shengxiang </w:t>
      </w:r>
      <w:bookmarkStart w:id="3" w:name="_GoBack"/>
      <w:bookmarkEnd w:id="3"/>
      <w:r>
        <w:rPr>
          <w:rFonts w:ascii="Times New Roman" w:hAnsi="Times New Roman"/>
          <w:sz w:val="18"/>
          <w:szCs w:val="18"/>
        </w:rPr>
        <w:t xml:space="preserve">She, Xin Liu, and </w:t>
      </w:r>
      <w:r>
        <w:rPr>
          <w:rFonts w:hint="eastAsia" w:ascii="Times New Roman" w:hAnsi="Times New Roman"/>
          <w:sz w:val="18"/>
          <w:szCs w:val="18"/>
          <w:lang w:val="en-US" w:eastAsia="zh-CN"/>
        </w:rPr>
        <w:t>Feng Li</w:t>
      </w:r>
      <w:r>
        <w:rPr>
          <w:rFonts w:ascii="Times New Roman" w:hAnsi="Times New Roman"/>
          <w:sz w:val="18"/>
          <w:szCs w:val="18"/>
        </w:rPr>
        <w:t>.</w:t>
      </w:r>
    </w:p>
    <w:p>
      <w:pPr>
        <w:tabs>
          <w:tab w:val="left" w:pos="1041"/>
        </w:tabs>
        <w:ind w:left="450" w:hanging="450" w:hangingChars="250"/>
        <w:jc w:val="left"/>
        <w:rPr>
          <w:rFonts w:ascii="Times New Roman" w:hAnsi="Times New Roman"/>
          <w:sz w:val="18"/>
          <w:szCs w:val="18"/>
        </w:rPr>
      </w:pPr>
      <w:r>
        <w:rPr>
          <w:rFonts w:ascii="Times New Roman" w:hAnsi="Times New Roman"/>
          <w:sz w:val="18"/>
          <w:szCs w:val="18"/>
        </w:rPr>
        <w:t xml:space="preserve">            In this study, we employed questionnaire to investigate The influence mechanism of real-time online education platform on learner user behavior. There are three main highlights of the findings. The purpose of this paper is to explore the reasons of learner users' satisfaction and how to influence the willingness to continue using. Firstly, this paper combines the success model of information systems to construct a model of influencing factors of learner users' satisfaction about real-time online education platforms. Secondly, a questionnaire survey was conducted on 670 learners of China's real-time online education platform, then the structural equation model was used to analyze the main influencing factors of learners' satisfaction and how to influence the willingness to continue using real-time online education platform. The paper found that the professionalism and honesty of teacher quality, the usefulness, abundance, and appropriateness of content quality, as well as the technical and convenient feature of platform quality that predicted learner satisfaction, which has a positive impact on the willingness to continue using. The research provided a series of design strategies and improvement suggestions to improve the learner experience of real-time online education platform.</w:t>
      </w:r>
    </w:p>
    <w:p>
      <w:pPr>
        <w:tabs>
          <w:tab w:val="left" w:pos="1041"/>
        </w:tabs>
        <w:ind w:left="450" w:hanging="450" w:hangingChars="250"/>
        <w:jc w:val="left"/>
        <w:rPr>
          <w:rFonts w:ascii="Times New Roman" w:hAnsi="Times New Roman"/>
          <w:sz w:val="18"/>
          <w:szCs w:val="18"/>
        </w:rPr>
      </w:pPr>
      <w:r>
        <w:rPr>
          <w:rFonts w:hint="eastAsia" w:ascii="Times New Roman" w:hAnsi="Times New Roman"/>
          <w:sz w:val="18"/>
          <w:szCs w:val="18"/>
        </w:rPr>
        <w:t xml:space="preserve"> </w:t>
      </w:r>
      <w:r>
        <w:rPr>
          <w:rFonts w:ascii="Times New Roman" w:hAnsi="Times New Roman"/>
          <w:sz w:val="18"/>
          <w:szCs w:val="18"/>
        </w:rPr>
        <w:t xml:space="preserve">        We believe that this will be of interest to wide range of readers, as it is the first time to analyze how to improve real-time online education platform to meet learners' needs from the perspective of learners. Our </w:t>
      </w:r>
      <w:r>
        <w:rPr>
          <w:rFonts w:hint="eastAsia" w:ascii="Times New Roman" w:hAnsi="Times New Roman"/>
          <w:sz w:val="18"/>
          <w:szCs w:val="18"/>
        </w:rPr>
        <w:t>co</w:t>
      </w:r>
      <w:r>
        <w:rPr>
          <w:rFonts w:ascii="Times New Roman" w:hAnsi="Times New Roman"/>
          <w:sz w:val="18"/>
          <w:szCs w:val="18"/>
        </w:rPr>
        <w:t>mbined analysis provides insight into improve the learner experience of real-time online education platform.</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NimbusRomNo9L">
    <w:altName w:val="Cambria"/>
    <w:panose1 w:val="020B0604020202020204"/>
    <w:charset w:val="00"/>
    <w:family w:val="roman"/>
    <w:pitch w:val="default"/>
    <w:sig w:usb0="00000000" w:usb1="00000000" w:usb2="00000000" w:usb3="00000000" w:csb0="00000000" w:csb1="00000000"/>
  </w:font>
  <w:font w:name="NimbusSanL">
    <w:altName w:val="Cambria"/>
    <w:panose1 w:val="020B0604020202020204"/>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0041EA"/>
    <w:multiLevelType w:val="multilevel"/>
    <w:tmpl w:val="370041EA"/>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3986B03A"/>
    <w:multiLevelType w:val="multilevel"/>
    <w:tmpl w:val="3986B03A"/>
    <w:lvl w:ilvl="0" w:tentative="0">
      <w:start w:val="1"/>
      <w:numFmt w:val="decimal"/>
      <w:pStyle w:val="2"/>
      <w:lvlText w:val="%1"/>
      <w:lvlJc w:val="left"/>
      <w:pPr>
        <w:tabs>
          <w:tab w:val="left" w:pos="567"/>
        </w:tabs>
        <w:ind w:left="567" w:hanging="567"/>
      </w:pPr>
      <w:rPr>
        <w:rFonts w:hint="default"/>
      </w:rPr>
    </w:lvl>
    <w:lvl w:ilvl="1" w:tentative="0">
      <w:start w:val="1"/>
      <w:numFmt w:val="decimal"/>
      <w:pStyle w:val="4"/>
      <w:lvlText w:val="%1.%2"/>
      <w:lvlJc w:val="left"/>
      <w:pPr>
        <w:tabs>
          <w:tab w:val="left" w:pos="567"/>
        </w:tabs>
        <w:ind w:left="567" w:hanging="567"/>
      </w:pPr>
      <w:rPr>
        <w:rFonts w:hint="default"/>
      </w:rPr>
    </w:lvl>
    <w:lvl w:ilvl="2" w:tentative="0">
      <w:start w:val="1"/>
      <w:numFmt w:val="decimal"/>
      <w:pStyle w:val="5"/>
      <w:lvlText w:val="%1.%2.%3"/>
      <w:lvlJc w:val="left"/>
      <w:pPr>
        <w:tabs>
          <w:tab w:val="left" w:pos="567"/>
        </w:tabs>
        <w:ind w:left="567" w:hanging="567"/>
      </w:pPr>
      <w:rPr>
        <w:rFonts w:hint="default"/>
      </w:rPr>
    </w:lvl>
    <w:lvl w:ilvl="3" w:tentative="0">
      <w:start w:val="1"/>
      <w:numFmt w:val="decimal"/>
      <w:pStyle w:val="6"/>
      <w:lvlText w:val="%1.%2.%3.%4"/>
      <w:lvlJc w:val="left"/>
      <w:pPr>
        <w:tabs>
          <w:tab w:val="left" w:pos="567"/>
        </w:tabs>
        <w:ind w:left="567" w:hanging="567"/>
      </w:pPr>
      <w:rPr>
        <w:rFonts w:hint="default"/>
      </w:rPr>
    </w:lvl>
    <w:lvl w:ilvl="4" w:tentative="0">
      <w:start w:val="1"/>
      <w:numFmt w:val="decimal"/>
      <w:pStyle w:val="7"/>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yMzA5OTgxNmE4MWUxZGNmZmEzNWQ4ZjFkOGFmODcifQ=="/>
  </w:docVars>
  <w:rsids>
    <w:rsidRoot w:val="008959A8"/>
    <w:rsid w:val="00024795"/>
    <w:rsid w:val="00076BF3"/>
    <w:rsid w:val="00077B34"/>
    <w:rsid w:val="000917BD"/>
    <w:rsid w:val="000C71D5"/>
    <w:rsid w:val="0012770F"/>
    <w:rsid w:val="001714DE"/>
    <w:rsid w:val="0018061E"/>
    <w:rsid w:val="00217CCF"/>
    <w:rsid w:val="002725E8"/>
    <w:rsid w:val="00287F18"/>
    <w:rsid w:val="002971D6"/>
    <w:rsid w:val="00302900"/>
    <w:rsid w:val="00323532"/>
    <w:rsid w:val="00395018"/>
    <w:rsid w:val="003F6F99"/>
    <w:rsid w:val="0041541E"/>
    <w:rsid w:val="00426DC6"/>
    <w:rsid w:val="00451A70"/>
    <w:rsid w:val="0045783D"/>
    <w:rsid w:val="004756B1"/>
    <w:rsid w:val="00481DD5"/>
    <w:rsid w:val="00482D95"/>
    <w:rsid w:val="004F3C7F"/>
    <w:rsid w:val="0054123C"/>
    <w:rsid w:val="005673B9"/>
    <w:rsid w:val="005B61F9"/>
    <w:rsid w:val="005C7BFB"/>
    <w:rsid w:val="005D6505"/>
    <w:rsid w:val="00655C9F"/>
    <w:rsid w:val="0066481C"/>
    <w:rsid w:val="0067429E"/>
    <w:rsid w:val="006A0122"/>
    <w:rsid w:val="006A50E0"/>
    <w:rsid w:val="006F6377"/>
    <w:rsid w:val="00735128"/>
    <w:rsid w:val="00752D6D"/>
    <w:rsid w:val="007A2CFD"/>
    <w:rsid w:val="007E587C"/>
    <w:rsid w:val="008732DD"/>
    <w:rsid w:val="008959A8"/>
    <w:rsid w:val="008A33FB"/>
    <w:rsid w:val="008D1AA6"/>
    <w:rsid w:val="00967395"/>
    <w:rsid w:val="009A70AE"/>
    <w:rsid w:val="00A278CF"/>
    <w:rsid w:val="00A40E2A"/>
    <w:rsid w:val="00A83153"/>
    <w:rsid w:val="00AB6E2F"/>
    <w:rsid w:val="00AF12EE"/>
    <w:rsid w:val="00B419A5"/>
    <w:rsid w:val="00B75B82"/>
    <w:rsid w:val="00BE4C39"/>
    <w:rsid w:val="00BF6A2D"/>
    <w:rsid w:val="00C24373"/>
    <w:rsid w:val="00C34074"/>
    <w:rsid w:val="00C7124E"/>
    <w:rsid w:val="00C92E7C"/>
    <w:rsid w:val="00C94063"/>
    <w:rsid w:val="00CB39C0"/>
    <w:rsid w:val="00CD406D"/>
    <w:rsid w:val="00D279C0"/>
    <w:rsid w:val="00D5018E"/>
    <w:rsid w:val="00DB69B0"/>
    <w:rsid w:val="00DC1297"/>
    <w:rsid w:val="00E341AE"/>
    <w:rsid w:val="00E91B79"/>
    <w:rsid w:val="00E95B86"/>
    <w:rsid w:val="00EA0DD8"/>
    <w:rsid w:val="00EA380E"/>
    <w:rsid w:val="00EC6FE0"/>
    <w:rsid w:val="00EC796C"/>
    <w:rsid w:val="00ED395C"/>
    <w:rsid w:val="00F227B9"/>
    <w:rsid w:val="00F301CF"/>
    <w:rsid w:val="00F40F16"/>
    <w:rsid w:val="00F67C88"/>
    <w:rsid w:val="00FA3030"/>
    <w:rsid w:val="00FC136F"/>
    <w:rsid w:val="10A83995"/>
    <w:rsid w:val="12406622"/>
    <w:rsid w:val="15536518"/>
    <w:rsid w:val="18616EE4"/>
    <w:rsid w:val="2A3B7DE5"/>
    <w:rsid w:val="576B3D83"/>
    <w:rsid w:val="5DF8217A"/>
    <w:rsid w:val="64973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2" w:semiHidden="0" w:name="heading 2"/>
    <w:lsdException w:qFormat="1" w:uiPriority="0" w:semiHidden="0" w:name="heading 3"/>
    <w:lsdException w:qFormat="1" w:uiPriority="0" w:name="heading 4"/>
    <w:lsdException w:qFormat="1" w:uiPriority="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link w:val="13"/>
    <w:autoRedefine/>
    <w:qFormat/>
    <w:uiPriority w:val="0"/>
    <w:pPr>
      <w:keepNext/>
      <w:keepLines/>
      <w:numPr>
        <w:ilvl w:val="0"/>
        <w:numId w:val="1"/>
      </w:numPr>
      <w:spacing w:before="340" w:after="330" w:line="576" w:lineRule="auto"/>
      <w:ind w:firstLine="0" w:firstLineChars="0"/>
      <w:outlineLvl w:val="0"/>
    </w:pPr>
    <w:rPr>
      <w:b/>
      <w:kern w:val="44"/>
      <w:sz w:val="44"/>
    </w:rPr>
  </w:style>
  <w:style w:type="paragraph" w:styleId="4">
    <w:name w:val="heading 2"/>
    <w:basedOn w:val="2"/>
    <w:next w:val="1"/>
    <w:link w:val="14"/>
    <w:autoRedefine/>
    <w:qFormat/>
    <w:uiPriority w:val="2"/>
    <w:pPr>
      <w:numPr>
        <w:ilvl w:val="1"/>
      </w:numPr>
      <w:spacing w:after="200"/>
      <w:outlineLvl w:val="1"/>
    </w:pPr>
  </w:style>
  <w:style w:type="paragraph" w:styleId="5">
    <w:name w:val="heading 3"/>
    <w:basedOn w:val="1"/>
    <w:next w:val="1"/>
    <w:link w:val="15"/>
    <w:autoRedefine/>
    <w:unhideWhenUsed/>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16"/>
    <w:autoRedefine/>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7">
    <w:name w:val="heading 5"/>
    <w:basedOn w:val="1"/>
    <w:next w:val="1"/>
    <w:link w:val="17"/>
    <w:autoRedefine/>
    <w:semiHidden/>
    <w:unhideWhenUsed/>
    <w:qFormat/>
    <w:uiPriority w:val="0"/>
    <w:pPr>
      <w:keepNext/>
      <w:keepLines/>
      <w:numPr>
        <w:ilvl w:val="4"/>
        <w:numId w:val="1"/>
      </w:numPr>
      <w:spacing w:before="280" w:after="290" w:line="372" w:lineRule="auto"/>
      <w:outlineLvl w:val="4"/>
    </w:pPr>
    <w:rPr>
      <w:b/>
      <w:sz w:val="28"/>
    </w:rPr>
  </w:style>
  <w:style w:type="character" w:default="1" w:styleId="11">
    <w:name w:val="Default Paragraph Font"/>
    <w:autoRedefine/>
    <w:semiHidden/>
    <w:unhideWhenUsed/>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List Paragraph"/>
    <w:basedOn w:val="1"/>
    <w:autoRedefine/>
    <w:qFormat/>
    <w:uiPriority w:val="34"/>
    <w:pPr>
      <w:ind w:firstLine="420" w:firstLineChars="200"/>
    </w:p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table" w:styleId="10">
    <w:name w:val="Table Grid"/>
    <w:basedOn w:val="9"/>
    <w:autoRedefine/>
    <w:qFormat/>
    <w:uiPriority w:val="39"/>
    <w:rPr>
      <w:rFonts w:ascii="Times New Roman" w:hAnsi="Times New Roman" w:cs="Times New Roman"/>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autoRedefine/>
    <w:unhideWhenUsed/>
    <w:qFormat/>
    <w:uiPriority w:val="99"/>
    <w:rPr>
      <w:color w:val="0563C1" w:themeColor="hyperlink"/>
      <w:u w:val="single"/>
      <w14:textFill>
        <w14:solidFill>
          <w14:schemeClr w14:val="hlink"/>
        </w14:solidFill>
      </w14:textFill>
    </w:rPr>
  </w:style>
  <w:style w:type="character" w:customStyle="1" w:styleId="13">
    <w:name w:val="标题 1 字符"/>
    <w:basedOn w:val="11"/>
    <w:link w:val="2"/>
    <w:autoRedefine/>
    <w:qFormat/>
    <w:uiPriority w:val="0"/>
    <w:rPr>
      <w:b/>
      <w:kern w:val="44"/>
      <w:sz w:val="44"/>
    </w:rPr>
  </w:style>
  <w:style w:type="character" w:customStyle="1" w:styleId="14">
    <w:name w:val="标题 2 字符"/>
    <w:basedOn w:val="11"/>
    <w:link w:val="4"/>
    <w:autoRedefine/>
    <w:qFormat/>
    <w:uiPriority w:val="2"/>
    <w:rPr>
      <w:b/>
      <w:kern w:val="44"/>
      <w:sz w:val="44"/>
    </w:rPr>
  </w:style>
  <w:style w:type="character" w:customStyle="1" w:styleId="15">
    <w:name w:val="标题 3 字符"/>
    <w:basedOn w:val="11"/>
    <w:link w:val="5"/>
    <w:autoRedefine/>
    <w:qFormat/>
    <w:uiPriority w:val="0"/>
    <w:rPr>
      <w:b/>
      <w:bCs/>
      <w:sz w:val="32"/>
      <w:szCs w:val="32"/>
    </w:rPr>
  </w:style>
  <w:style w:type="character" w:customStyle="1" w:styleId="16">
    <w:name w:val="标题 4 字符"/>
    <w:basedOn w:val="11"/>
    <w:link w:val="6"/>
    <w:autoRedefine/>
    <w:semiHidden/>
    <w:qFormat/>
    <w:uiPriority w:val="0"/>
    <w:rPr>
      <w:rFonts w:ascii="Arial" w:hAnsi="Arial" w:eastAsia="黑体"/>
      <w:b/>
      <w:sz w:val="28"/>
    </w:rPr>
  </w:style>
  <w:style w:type="character" w:customStyle="1" w:styleId="17">
    <w:name w:val="标题 5 字符"/>
    <w:basedOn w:val="11"/>
    <w:link w:val="7"/>
    <w:autoRedefine/>
    <w:semiHidden/>
    <w:qFormat/>
    <w:uiPriority w:val="0"/>
    <w:rPr>
      <w:b/>
      <w:sz w:val="28"/>
    </w:rPr>
  </w:style>
  <w:style w:type="character" w:customStyle="1" w:styleId="18">
    <w:name w:val="font11"/>
    <w:basedOn w:val="11"/>
    <w:autoRedefine/>
    <w:qFormat/>
    <w:uiPriority w:val="0"/>
    <w:rPr>
      <w:rFonts w:hint="eastAsia" w:ascii="宋体" w:hAnsi="宋体" w:eastAsia="宋体" w:cs="宋体"/>
      <w:color w:val="000000"/>
      <w:sz w:val="16"/>
      <w:szCs w:val="16"/>
      <w:u w:val="none"/>
    </w:rPr>
  </w:style>
  <w:style w:type="character" w:customStyle="1" w:styleId="19">
    <w:name w:val="Unresolved Mention"/>
    <w:basedOn w:val="11"/>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4239A8-B0BE-5B49-A4CB-9925FAA99388}">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4848</Words>
  <Characters>27639</Characters>
  <Lines>230</Lines>
  <Paragraphs>64</Paragraphs>
  <TotalTime>2</TotalTime>
  <ScaleCrop>false</ScaleCrop>
  <LinksUpToDate>false</LinksUpToDate>
  <CharactersWithSpaces>32423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2023-12-28T06:22:00Z</dcterms:created>
  <dc:creator>刘鑫</dc:creator>
  <cp:lastModifiedBy>msy</cp:lastModifiedBy>
  <dcterms:modified xsi:type="dcterms:W3CDTF">2024-01-25T04:49:16Z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142383BA21384061B12DD8934FF91564_13</vt:lpwstr>
  </property>
</Properties>
</file>