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4E12A" w14:textId="2857B5B4" w:rsidR="001856C0" w:rsidRDefault="00862908" w:rsidP="00920142">
      <w:pPr>
        <w:pStyle w:val="Heading2"/>
        <w:spacing w:line="360" w:lineRule="auto"/>
        <w:rPr>
          <w:rFonts w:ascii="Times New Roman" w:hAnsi="Times New Roman" w:cs="Times New Roman"/>
          <w:color w:val="auto"/>
          <w:lang w:val="en-US"/>
        </w:rPr>
      </w:pPr>
      <w:r>
        <w:rPr>
          <w:rFonts w:ascii="Times New Roman" w:hAnsi="Times New Roman" w:cs="Times New Roman"/>
          <w:color w:val="auto"/>
          <w:lang w:val="en-US"/>
        </w:rPr>
        <w:t>ESM text</w:t>
      </w:r>
    </w:p>
    <w:p w14:paraId="33FEFEF2" w14:textId="4694704F" w:rsidR="001856C0" w:rsidRPr="002C435C" w:rsidRDefault="00D4744A" w:rsidP="002C435C">
      <w:pPr>
        <w:pStyle w:val="Heading3"/>
        <w:spacing w:after="240" w:line="480" w:lineRule="auto"/>
        <w:rPr>
          <w:rFonts w:ascii="Times New Roman" w:hAnsi="Times New Roman" w:cs="Times New Roman"/>
          <w:color w:val="auto"/>
          <w:lang w:val="en-US"/>
        </w:rPr>
      </w:pPr>
      <w:r w:rsidRPr="002C435C">
        <w:rPr>
          <w:rFonts w:ascii="Times New Roman" w:hAnsi="Times New Roman" w:cs="Times New Roman"/>
          <w:color w:val="auto"/>
          <w:lang w:val="en-US"/>
        </w:rPr>
        <w:t>Assessing productivity costs</w:t>
      </w:r>
    </w:p>
    <w:p w14:paraId="588758F6" w14:textId="5E6B8B8A" w:rsidR="001856C0" w:rsidRPr="002C435C" w:rsidRDefault="001856C0" w:rsidP="002C435C">
      <w:pPr>
        <w:autoSpaceDE w:val="0"/>
        <w:autoSpaceDN w:val="0"/>
        <w:adjustRightInd w:val="0"/>
        <w:spacing w:after="240" w:line="480" w:lineRule="auto"/>
        <w:rPr>
          <w:rFonts w:ascii="Times New Roman" w:eastAsia="Hiragino Sans W4" w:hAnsi="Times New Roman" w:cs="Times New Roman"/>
          <w:sz w:val="24"/>
          <w:szCs w:val="24"/>
          <w:lang w:val="en-US"/>
        </w:rPr>
      </w:pPr>
      <w:r w:rsidRPr="002C435C">
        <w:rPr>
          <w:rFonts w:ascii="Times New Roman" w:eastAsia="Hiragino Sans W4" w:hAnsi="Times New Roman" w:cs="Times New Roman"/>
          <w:sz w:val="24"/>
          <w:szCs w:val="24"/>
          <w:lang w:val="en-US"/>
        </w:rPr>
        <w:t xml:space="preserve">In Finland, permanent residents are allowed social security benefits, including sick leave reimbursements by Social Insurance Institution (SII) and employment-related benefits by several public and private insurers </w:t>
      </w:r>
      <w:r w:rsidRPr="002C435C">
        <w:rPr>
          <w:rFonts w:ascii="Times New Roman" w:eastAsia="Hiragino Sans W4" w:hAnsi="Times New Roman" w:cs="Times New Roman"/>
          <w:sz w:val="24"/>
          <w:szCs w:val="24"/>
          <w:lang w:val="en-US"/>
        </w:rPr>
        <w:fldChar w:fldCharType="begin"/>
      </w:r>
      <w:r w:rsidR="002F1D5B" w:rsidRPr="002C435C">
        <w:rPr>
          <w:rFonts w:ascii="Times New Roman" w:eastAsia="Hiragino Sans W4" w:hAnsi="Times New Roman" w:cs="Times New Roman"/>
          <w:sz w:val="24"/>
          <w:szCs w:val="24"/>
          <w:lang w:val="en-US"/>
        </w:rPr>
        <w:instrText xml:space="preserve"> ADDIN ZOTERO_ITEM CSL_CITATION {"citationID":"ZKYUZz1Y","properties":{"formattedCitation":"(1,2)","plainCitation":"(1,2)","noteIndex":0},"citationItems":[{"id":79,"uris":["http://zotero.org/users/local/QNIUE2gv/items/D67R7VWY"],"itemData":{"id":79,"type":"document","publisher":"Social Insurance Institute of Finland","title":"Sickness allowances","URL":"https://www.kela.fi/sickness-allowances","accessed":{"date-parts":[["2023",9,23]]}}},{"id":81,"uris":["http://zotero.org/users/local/QNIUE2gv/items/CCTY45C4"],"itemData":{"id":81,"type":"document","publisher":"Finnish Centre for Pensions","title":"Overview of pensions","URL":"https://www.etk.fi/en/finnish-pension-system/pension-security/overview-of-pensions/","accessed":{"date-parts":[["2023",9,23]]}}}],"schema":"https://github.com/citation-style-language/schema/raw/master/csl-citation.json"} </w:instrText>
      </w:r>
      <w:r w:rsidRPr="002C435C">
        <w:rPr>
          <w:rFonts w:ascii="Times New Roman" w:eastAsia="Hiragino Sans W4" w:hAnsi="Times New Roman" w:cs="Times New Roman"/>
          <w:sz w:val="24"/>
          <w:szCs w:val="24"/>
          <w:lang w:val="en-US"/>
        </w:rPr>
        <w:fldChar w:fldCharType="separate"/>
      </w:r>
      <w:r w:rsidR="002F1D5B" w:rsidRPr="002C435C">
        <w:rPr>
          <w:rFonts w:ascii="Times New Roman" w:hAnsi="Times New Roman" w:cs="Times New Roman"/>
          <w:sz w:val="24"/>
          <w:szCs w:val="24"/>
        </w:rPr>
        <w:t>(1,2)</w:t>
      </w:r>
      <w:r w:rsidRPr="002C435C">
        <w:rPr>
          <w:rFonts w:ascii="Times New Roman" w:eastAsia="Hiragino Sans W4" w:hAnsi="Times New Roman" w:cs="Times New Roman"/>
          <w:sz w:val="24"/>
          <w:szCs w:val="24"/>
          <w:lang w:val="en-US"/>
        </w:rPr>
        <w:fldChar w:fldCharType="end"/>
      </w:r>
      <w:r w:rsidRPr="002C435C">
        <w:rPr>
          <w:rFonts w:ascii="Times New Roman" w:eastAsia="Hiragino Sans W4" w:hAnsi="Times New Roman" w:cs="Times New Roman"/>
          <w:sz w:val="24"/>
          <w:szCs w:val="24"/>
          <w:lang w:val="en-US"/>
        </w:rPr>
        <w:t xml:space="preserve">. Regarding sick leaves, the employer is responsible for compensating the employee with a full wage for 10 first weekdays of the absence. Sick leaves exceeding 10 days are reimbursed by the SII </w:t>
      </w:r>
      <w:r w:rsidRPr="002C435C">
        <w:rPr>
          <w:rFonts w:ascii="Times New Roman" w:eastAsia="Hiragino Sans W4" w:hAnsi="Times New Roman" w:cs="Times New Roman"/>
          <w:sz w:val="24"/>
          <w:szCs w:val="24"/>
          <w:lang w:val="en-US"/>
        </w:rPr>
        <w:fldChar w:fldCharType="begin"/>
      </w:r>
      <w:r w:rsidR="002F1D5B" w:rsidRPr="002C435C">
        <w:rPr>
          <w:rFonts w:ascii="Times New Roman" w:eastAsia="Hiragino Sans W4" w:hAnsi="Times New Roman" w:cs="Times New Roman"/>
          <w:sz w:val="24"/>
          <w:szCs w:val="24"/>
          <w:lang w:val="en-US"/>
        </w:rPr>
        <w:instrText xml:space="preserve"> ADDIN ZOTERO_ITEM CSL_CITATION {"citationID":"eGjDVoPS","properties":{"formattedCitation":"(1)","plainCitation":"(1)","noteIndex":0},"citationItems":[{"id":79,"uris":["http://zotero.org/users/local/QNIUE2gv/items/D67R7VWY"],"itemData":{"id":79,"type":"document","publisher":"Social Insurance Institute of Finland","title":"Sickness allowances","URL":"https://www.kela.fi/sickness-allowances","accessed":{"date-parts":[["2023",9,23]]}}}],"schema":"https://github.com/citation-style-language/schema/raw/master/csl-citation.json"} </w:instrText>
      </w:r>
      <w:r w:rsidRPr="002C435C">
        <w:rPr>
          <w:rFonts w:ascii="Times New Roman" w:eastAsia="Hiragino Sans W4" w:hAnsi="Times New Roman" w:cs="Times New Roman"/>
          <w:sz w:val="24"/>
          <w:szCs w:val="24"/>
          <w:lang w:val="en-US"/>
        </w:rPr>
        <w:fldChar w:fldCharType="separate"/>
      </w:r>
      <w:r w:rsidR="002F1D5B" w:rsidRPr="002C435C">
        <w:rPr>
          <w:rFonts w:ascii="Times New Roman" w:hAnsi="Times New Roman" w:cs="Times New Roman"/>
          <w:sz w:val="24"/>
          <w:szCs w:val="24"/>
        </w:rPr>
        <w:t>(1)</w:t>
      </w:r>
      <w:r w:rsidRPr="002C435C">
        <w:rPr>
          <w:rFonts w:ascii="Times New Roman" w:eastAsia="Hiragino Sans W4" w:hAnsi="Times New Roman" w:cs="Times New Roman"/>
          <w:sz w:val="24"/>
          <w:szCs w:val="24"/>
          <w:lang w:val="en-US"/>
        </w:rPr>
        <w:fldChar w:fldCharType="end"/>
      </w:r>
      <w:r w:rsidR="00A55CDF" w:rsidRPr="002C435C">
        <w:rPr>
          <w:rFonts w:ascii="Times New Roman" w:eastAsia="Hiragino Sans W4" w:hAnsi="Times New Roman" w:cs="Times New Roman"/>
          <w:sz w:val="24"/>
          <w:szCs w:val="24"/>
          <w:lang w:val="en-US"/>
        </w:rPr>
        <w:t>.</w:t>
      </w:r>
      <w:r w:rsidRPr="002C435C">
        <w:rPr>
          <w:rFonts w:ascii="Times New Roman" w:eastAsia="Hiragino Sans W4" w:hAnsi="Times New Roman" w:cs="Times New Roman"/>
          <w:sz w:val="24"/>
          <w:szCs w:val="24"/>
          <w:lang w:val="en-US"/>
        </w:rPr>
        <w:t xml:space="preserve"> Data on both are routinely collected in registers administered by SII and the Finnish Center </w:t>
      </w:r>
      <w:r w:rsidR="000E0D25" w:rsidRPr="002C435C">
        <w:rPr>
          <w:rFonts w:ascii="Times New Roman" w:eastAsia="Hiragino Sans W4" w:hAnsi="Times New Roman" w:cs="Times New Roman"/>
          <w:sz w:val="24"/>
          <w:szCs w:val="24"/>
          <w:lang w:val="en-US"/>
        </w:rPr>
        <w:t>for</w:t>
      </w:r>
      <w:r w:rsidRPr="002C435C">
        <w:rPr>
          <w:rFonts w:ascii="Times New Roman" w:eastAsia="Hiragino Sans W4" w:hAnsi="Times New Roman" w:cs="Times New Roman"/>
          <w:sz w:val="24"/>
          <w:szCs w:val="24"/>
          <w:lang w:val="en-US"/>
        </w:rPr>
        <w:t xml:space="preserve"> Pensions, however data do not cover </w:t>
      </w:r>
      <w:r w:rsidRPr="002C435C">
        <w:rPr>
          <w:rFonts w:ascii="Times New Roman" w:hAnsi="Times New Roman" w:cs="Times New Roman"/>
          <w:sz w:val="24"/>
          <w:szCs w:val="24"/>
          <w:lang w:val="en-US"/>
        </w:rPr>
        <w:t xml:space="preserve">sick leaves that are under employers’ deductible period. </w:t>
      </w:r>
    </w:p>
    <w:p w14:paraId="5B6CC768" w14:textId="251C3913" w:rsidR="001856C0" w:rsidRPr="002C435C" w:rsidRDefault="001856C0" w:rsidP="002C435C">
      <w:pPr>
        <w:spacing w:line="480" w:lineRule="auto"/>
        <w:rPr>
          <w:rFonts w:ascii="Times New Roman" w:hAnsi="Times New Roman" w:cs="Times New Roman"/>
          <w:sz w:val="24"/>
          <w:szCs w:val="24"/>
          <w:lang w:val="en-US"/>
        </w:rPr>
      </w:pPr>
      <w:r w:rsidRPr="002C435C">
        <w:rPr>
          <w:rFonts w:ascii="Times New Roman" w:hAnsi="Times New Roman" w:cs="Times New Roman"/>
          <w:sz w:val="24"/>
          <w:szCs w:val="24"/>
          <w:lang w:val="en-US"/>
        </w:rPr>
        <w:t xml:space="preserve">The outcome of this study was individual-level productivity costs. Productivity costs were restricted to those arising from loss of paid production due to absences resulting from sickness, disability, and deaths. Non-market production such as informal care, volunteer work, and lowered productivity while at work (presenteeism) could not be addressed. The cost components included lost productivity resulting from long-term sick leaves, residence- and earnings-based pensions, and premature deaths, regardless of their type or </w:t>
      </w:r>
      <w:proofErr w:type="gramStart"/>
      <w:r w:rsidRPr="002C435C">
        <w:rPr>
          <w:rFonts w:ascii="Times New Roman" w:hAnsi="Times New Roman" w:cs="Times New Roman"/>
          <w:sz w:val="24"/>
          <w:szCs w:val="24"/>
          <w:lang w:val="en-US"/>
        </w:rPr>
        <w:t>whether or not</w:t>
      </w:r>
      <w:proofErr w:type="gramEnd"/>
      <w:r w:rsidRPr="002C435C">
        <w:rPr>
          <w:rFonts w:ascii="Times New Roman" w:hAnsi="Times New Roman" w:cs="Times New Roman"/>
          <w:sz w:val="24"/>
          <w:szCs w:val="24"/>
          <w:lang w:val="en-US"/>
        </w:rPr>
        <w:t xml:space="preserve"> they were granted based on diabetes or the examined comorbidities. To successfully apply both the FC and HC methods, it is crucial to reliably estimate 1) the frequency and lengths of work absences and friction periods and 2) the value of lost productivity in an appropriate way. </w:t>
      </w:r>
      <w:r w:rsidRPr="002C435C">
        <w:rPr>
          <w:rFonts w:ascii="Times New Roman" w:hAnsi="Times New Roman" w:cs="Times New Roman"/>
          <w:sz w:val="24"/>
          <w:szCs w:val="24"/>
          <w:lang w:val="en-US"/>
        </w:rPr>
        <w:fldChar w:fldCharType="begin"/>
      </w:r>
      <w:r w:rsidR="002F1D5B" w:rsidRPr="002C435C">
        <w:rPr>
          <w:rFonts w:ascii="Times New Roman" w:hAnsi="Times New Roman" w:cs="Times New Roman"/>
          <w:sz w:val="24"/>
          <w:szCs w:val="24"/>
          <w:lang w:val="en-US"/>
        </w:rPr>
        <w:instrText xml:space="preserve"> ADDIN ZOTERO_ITEM CSL_CITATION {"citationID":"TMHi6mtm","properties":{"formattedCitation":"(3)","plainCitation":"(3)","noteIndex":0},"citationItems":[{"id":16,"uris":["http://zotero.org/users/local/QNIUE2gv/items/F7TECSV6"],"itemData":{"id":16,"type":"article-journal","abstract":"Productivity costs are frequently omitted from economic evaluations, despite their often strong impact on cost-effectiveness outcomes. This neglect may be partly explained by the lack of standardization regarding the methodology of estimating productivity costs. This paper aims to contribute to standardization of productivity cost methodology by offering practical guidance on how to estimate productivity costs in economic evaluations. The paper discusses the identiﬁcation, measurement and valuation of productivity losses. It is recommended to include not only productivity losses related to absenteeism from and reduced productivity at paid work, but also those related to unpaid work. Hence, it is recommended to use a measurement instrument including questions about both paid and unpaid productivity, such as the iMTA Productivity Cost Questionnaire (iPCQ) or the Valuation of Lost Productivity (VOLP). We indicate how to apply the friction cost and the human capital approach and give practical guidance on deriving ﬁnal cost estimates.","container-title":"PharmacoEconomics","DOI":"10.1007/s40273-014-0132-3","ISSN":"1170-7690, 1179-2027","issue":"4","journalAbbreviation":"PharmacoEconomics","language":"en","page":"335-344","source":"DOI.org (Crossref)","title":"How to Estimate Productivity Costs in Economic Evaluations","volume":"32","author":[{"family":"Krol","given":"Marieke"},{"family":"Brouwer","given":"Werner"}],"issued":{"date-parts":[["2014",4]]}}}],"schema":"https://github.com/citation-style-language/schema/raw/master/csl-citation.json"} </w:instrText>
      </w:r>
      <w:r w:rsidRPr="002C435C">
        <w:rPr>
          <w:rFonts w:ascii="Times New Roman" w:hAnsi="Times New Roman" w:cs="Times New Roman"/>
          <w:sz w:val="24"/>
          <w:szCs w:val="24"/>
          <w:lang w:val="en-US"/>
        </w:rPr>
        <w:fldChar w:fldCharType="separate"/>
      </w:r>
      <w:r w:rsidR="002F1D5B" w:rsidRPr="002C435C">
        <w:rPr>
          <w:rFonts w:ascii="Times New Roman" w:hAnsi="Times New Roman" w:cs="Times New Roman"/>
          <w:sz w:val="24"/>
          <w:szCs w:val="24"/>
        </w:rPr>
        <w:t>(3)</w:t>
      </w:r>
      <w:r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 xml:space="preserve"> </w:t>
      </w:r>
    </w:p>
    <w:p w14:paraId="772ACC27" w14:textId="77777777" w:rsidR="001856C0" w:rsidRPr="002C435C" w:rsidRDefault="001856C0" w:rsidP="002C435C">
      <w:pPr>
        <w:pStyle w:val="Heading4"/>
        <w:spacing w:after="240" w:line="480" w:lineRule="auto"/>
        <w:rPr>
          <w:rFonts w:ascii="Times New Roman" w:hAnsi="Times New Roman" w:cs="Times New Roman"/>
          <w:i w:val="0"/>
          <w:iCs w:val="0"/>
          <w:color w:val="auto"/>
          <w:sz w:val="24"/>
          <w:szCs w:val="24"/>
          <w:lang w:val="en-US"/>
        </w:rPr>
      </w:pPr>
      <w:r w:rsidRPr="002C435C">
        <w:rPr>
          <w:rFonts w:ascii="Times New Roman" w:hAnsi="Times New Roman" w:cs="Times New Roman"/>
          <w:i w:val="0"/>
          <w:iCs w:val="0"/>
          <w:color w:val="auto"/>
          <w:sz w:val="24"/>
          <w:szCs w:val="24"/>
          <w:lang w:val="en-US"/>
        </w:rPr>
        <w:t xml:space="preserve">Length of the </w:t>
      </w:r>
      <w:r w:rsidRPr="002C435C">
        <w:rPr>
          <w:rFonts w:ascii="Times New Roman" w:hAnsi="Times New Roman" w:cs="Times New Roman"/>
          <w:i w:val="0"/>
          <w:iCs w:val="0"/>
          <w:color w:val="auto"/>
          <w:sz w:val="24"/>
          <w:szCs w:val="24"/>
        </w:rPr>
        <w:t>absence</w:t>
      </w:r>
    </w:p>
    <w:p w14:paraId="3FE6D92C" w14:textId="383531FC" w:rsidR="001856C0" w:rsidRPr="002C435C" w:rsidRDefault="001856C0" w:rsidP="002C435C">
      <w:pPr>
        <w:spacing w:after="240" w:line="480" w:lineRule="auto"/>
        <w:rPr>
          <w:rFonts w:ascii="Times New Roman" w:hAnsi="Times New Roman" w:cs="Times New Roman"/>
          <w:sz w:val="24"/>
          <w:szCs w:val="24"/>
          <w:lang w:val="en-US"/>
        </w:rPr>
      </w:pPr>
      <w:r w:rsidRPr="002C435C">
        <w:rPr>
          <w:rFonts w:ascii="Times New Roman" w:hAnsi="Times New Roman" w:cs="Times New Roman"/>
          <w:sz w:val="24"/>
          <w:szCs w:val="24"/>
          <w:lang w:val="en-US"/>
        </w:rPr>
        <w:t xml:space="preserve">The number of days absent was computed as the difference between the end and start days of an absence period. However, data regarding the end date of a pension was only available for fixed-term pensions. Consequently, an assumption was made that all indefinite pensions lasted until the conclusion of an individual’s follow-up, or until they were substituted by </w:t>
      </w:r>
      <w:r w:rsidRPr="002C435C">
        <w:rPr>
          <w:rFonts w:ascii="Times New Roman" w:hAnsi="Times New Roman" w:cs="Times New Roman"/>
          <w:sz w:val="24"/>
          <w:szCs w:val="24"/>
          <w:lang w:val="en-US"/>
        </w:rPr>
        <w:lastRenderedPageBreak/>
        <w:t xml:space="preserve">another pension or death. In case of premature death, the end of the absence period was determined as the annual average retirement age (63 throughout the study period). As the reimbursement of sick leaves only start after </w:t>
      </w:r>
      <w:r w:rsidR="00C130B5" w:rsidRPr="002C435C">
        <w:rPr>
          <w:rFonts w:ascii="Times New Roman" w:hAnsi="Times New Roman" w:cs="Times New Roman"/>
          <w:sz w:val="24"/>
          <w:szCs w:val="24"/>
          <w:lang w:val="en-US"/>
        </w:rPr>
        <w:t>ten</w:t>
      </w:r>
      <w:r w:rsidRPr="002C435C">
        <w:rPr>
          <w:rFonts w:ascii="Times New Roman" w:hAnsi="Times New Roman" w:cs="Times New Roman"/>
          <w:sz w:val="24"/>
          <w:szCs w:val="24"/>
          <w:lang w:val="en-US"/>
        </w:rPr>
        <w:t xml:space="preserve"> days in Finland, 10 days were added to each sick leave period. Acknowledging that part-time pensions (12% of all earnings-based pensions) entail only partial productivity reduction, a multiplier of 0.475 was employed. This multiplier reflected the common range of 35-70% of regular earnings for individuals under part-time pension status </w:t>
      </w:r>
      <w:r w:rsidRPr="002C435C">
        <w:rPr>
          <w:rFonts w:ascii="Times New Roman" w:hAnsi="Times New Roman" w:cs="Times New Roman"/>
          <w:sz w:val="24"/>
          <w:szCs w:val="24"/>
          <w:lang w:val="en-US"/>
        </w:rPr>
        <w:fldChar w:fldCharType="begin"/>
      </w:r>
      <w:r w:rsidR="002F1D5B" w:rsidRPr="002C435C">
        <w:rPr>
          <w:rFonts w:ascii="Times New Roman" w:hAnsi="Times New Roman" w:cs="Times New Roman"/>
          <w:sz w:val="24"/>
          <w:szCs w:val="24"/>
          <w:lang w:val="en-US"/>
        </w:rPr>
        <w:instrText xml:space="preserve"> ADDIN ZOTERO_ITEM CSL_CITATION {"citationID":"w5RcdRTH","properties":{"formattedCitation":"(4)","plainCitation":"(4)","noteIndex":0},"citationItems":[{"id":82,"uris":["http://zotero.org/users/local/QNIUE2gv/items/IE5XLW82"],"itemData":{"id":82,"type":"document","publisher":"Keva","title":"Important information for people on part-time pension","URL":"https://www.keva.fi/en/pensions/for-pension-recipients/part-time-pension/","accessed":{"date-parts":[["2023",9,23]]}}}],"schema":"https://github.com/citation-style-language/schema/raw/master/csl-citation.json"} </w:instrText>
      </w:r>
      <w:r w:rsidRPr="002C435C">
        <w:rPr>
          <w:rFonts w:ascii="Times New Roman" w:hAnsi="Times New Roman" w:cs="Times New Roman"/>
          <w:sz w:val="24"/>
          <w:szCs w:val="24"/>
          <w:lang w:val="en-US"/>
        </w:rPr>
        <w:fldChar w:fldCharType="separate"/>
      </w:r>
      <w:r w:rsidR="002F1D5B" w:rsidRPr="002C435C">
        <w:rPr>
          <w:rFonts w:ascii="Times New Roman" w:hAnsi="Times New Roman" w:cs="Times New Roman"/>
          <w:sz w:val="24"/>
          <w:szCs w:val="24"/>
        </w:rPr>
        <w:t>(4)</w:t>
      </w:r>
      <w:r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 xml:space="preserve">. </w:t>
      </w:r>
    </w:p>
    <w:p w14:paraId="16264122" w14:textId="77777777" w:rsidR="001856C0" w:rsidRPr="002C435C" w:rsidRDefault="001856C0" w:rsidP="002C435C">
      <w:pPr>
        <w:pStyle w:val="Heading4"/>
        <w:spacing w:after="240" w:line="480" w:lineRule="auto"/>
        <w:rPr>
          <w:rFonts w:ascii="Times New Roman" w:hAnsi="Times New Roman" w:cs="Times New Roman"/>
          <w:i w:val="0"/>
          <w:iCs w:val="0"/>
          <w:color w:val="auto"/>
          <w:sz w:val="24"/>
          <w:szCs w:val="24"/>
          <w:lang w:val="en-US"/>
        </w:rPr>
      </w:pPr>
      <w:r w:rsidRPr="002C435C">
        <w:rPr>
          <w:rFonts w:ascii="Times New Roman" w:hAnsi="Times New Roman" w:cs="Times New Roman"/>
          <w:i w:val="0"/>
          <w:iCs w:val="0"/>
          <w:color w:val="auto"/>
          <w:sz w:val="24"/>
          <w:szCs w:val="24"/>
          <w:lang w:val="en-US"/>
        </w:rPr>
        <w:t>F</w:t>
      </w:r>
      <w:proofErr w:type="spellStart"/>
      <w:r w:rsidRPr="002C435C">
        <w:rPr>
          <w:rFonts w:ascii="Times New Roman" w:hAnsi="Times New Roman" w:cs="Times New Roman"/>
          <w:i w:val="0"/>
          <w:iCs w:val="0"/>
          <w:color w:val="auto"/>
          <w:sz w:val="24"/>
          <w:szCs w:val="24"/>
        </w:rPr>
        <w:t>riction</w:t>
      </w:r>
      <w:proofErr w:type="spellEnd"/>
      <w:r w:rsidRPr="002C435C">
        <w:rPr>
          <w:rFonts w:ascii="Times New Roman" w:hAnsi="Times New Roman" w:cs="Times New Roman"/>
          <w:i w:val="0"/>
          <w:iCs w:val="0"/>
          <w:color w:val="auto"/>
          <w:sz w:val="24"/>
          <w:szCs w:val="24"/>
          <w:lang w:val="en-US"/>
        </w:rPr>
        <w:t xml:space="preserve"> period</w:t>
      </w:r>
    </w:p>
    <w:p w14:paraId="549D6827" w14:textId="2ACDE6BF" w:rsidR="001856C0" w:rsidRPr="002C435C" w:rsidRDefault="001856C0" w:rsidP="002C435C">
      <w:pPr>
        <w:spacing w:after="240" w:line="480" w:lineRule="auto"/>
        <w:rPr>
          <w:rFonts w:ascii="Times New Roman" w:hAnsi="Times New Roman" w:cs="Times New Roman"/>
          <w:sz w:val="24"/>
          <w:szCs w:val="24"/>
          <w:lang w:val="en-US"/>
        </w:rPr>
      </w:pPr>
      <w:r w:rsidRPr="002C435C">
        <w:rPr>
          <w:rFonts w:ascii="Times New Roman" w:hAnsi="Times New Roman" w:cs="Times New Roman"/>
          <w:sz w:val="24"/>
          <w:szCs w:val="24"/>
          <w:lang w:val="en-US"/>
        </w:rPr>
        <w:t xml:space="preserve">With the FC method, the lost productivity was constrained to a friction period. This period refers to the time required for an organization to place a vacancy, recruit a replacing employee, and provide sufficient training. The time required for an employer to place a vacancy and train a new employee was assumed to be 60 days, consistently with the previous literature </w:t>
      </w:r>
      <w:r w:rsidRPr="002C435C">
        <w:rPr>
          <w:rFonts w:ascii="Times New Roman" w:hAnsi="Times New Roman" w:cs="Times New Roman"/>
          <w:sz w:val="24"/>
          <w:szCs w:val="24"/>
          <w:lang w:val="en-US"/>
        </w:rPr>
        <w:fldChar w:fldCharType="begin"/>
      </w:r>
      <w:r w:rsidR="002F1D5B" w:rsidRPr="002C435C">
        <w:rPr>
          <w:rFonts w:ascii="Times New Roman" w:hAnsi="Times New Roman" w:cs="Times New Roman"/>
          <w:sz w:val="24"/>
          <w:szCs w:val="24"/>
          <w:lang w:val="en-US"/>
        </w:rPr>
        <w:instrText xml:space="preserve"> ADDIN ZOTERO_ITEM CSL_CITATION {"citationID":"JkupXM7k","properties":{"formattedCitation":"(5)","plainCitation":"(5)","noteIndex":0},"citationItems":[{"id":45,"uris":["http://zotero.org/users/local/QNIUE2gv/items/6HKD5KH7"],"itemData":{"id":45,"type":"article-journal","abstract":"Background  Productivity costs result from loss of paid and unpaid work and replacements due to morbidity and mortality. They are usually assessed in health economic evaluations with human capital method (HCM) or friction cost method (FCM). The methodology for estimating lost productivity is an area of considerable debate.\nObjective  To compare traditional and adjusted HCM and FCM productivity cost estimates among young stroke patients.\nMethods  The Northern Finland Birth Cohort 1966 was followed until the age of 50 to identify all 339 stroke patients whose productivity costs were estimated with traditional, occupation-specific and adjusted HCM and FCM models by using detailed, national register-based data on care, disability, mortality, education, taxation and labour market.\nResults  Compared to traditional HCM, taking into account occupational class, national unemployment rate, disability-free life expectancy and decline in work ability, the productivity cost estimate decreased by a third, from €255,960 to €166,050. When traditional FCM was adjusted for occupational class and national unemployment rate, the estimate more than doubled from €3,040 to €7,020. HCM was more sensitive to adjustments for discount rate and wage growth rate than FCM.\nConclusions  This study highlights the importance of adjustments of HCM and FCM. Routine register-based data can be used for accurate productivity cost estimates of health shocks.","container-title":"The European Journal of Health Economics","DOI":"10.1007/s10198-021-01271-7","ISSN":"1618-7598, 1618-7601","issue":"4","journalAbbreviation":"Eur J Health Econ","language":"en","page":"531-545","source":"DOI.org (Crossref)","title":"Adjusted productivity costs of stroke by human capital and friction cost methods: a Northern Finland Birth Cohort 1966 study","title-short":"Adjusted productivity costs of stroke by human capital and friction cost methods","volume":"22","author":[{"family":"Rissanen","given":"Ina"},{"family":"Ala-Mursula","given":"Leena"},{"family":"Nerg","given":"Iiro"},{"family":"Korhonen","given":"Marko"}],"issued":{"date-parts":[["2021",6]]}}}],"schema":"https://github.com/citation-style-language/schema/raw/master/csl-citation.json"} </w:instrText>
      </w:r>
      <w:r w:rsidRPr="002C435C">
        <w:rPr>
          <w:rFonts w:ascii="Times New Roman" w:hAnsi="Times New Roman" w:cs="Times New Roman"/>
          <w:sz w:val="24"/>
          <w:szCs w:val="24"/>
          <w:lang w:val="en-US"/>
        </w:rPr>
        <w:fldChar w:fldCharType="separate"/>
      </w:r>
      <w:r w:rsidR="002F1D5B" w:rsidRPr="002C435C">
        <w:rPr>
          <w:rFonts w:ascii="Times New Roman" w:hAnsi="Times New Roman" w:cs="Times New Roman"/>
          <w:sz w:val="24"/>
          <w:szCs w:val="24"/>
        </w:rPr>
        <w:t>(5)</w:t>
      </w:r>
      <w:r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 xml:space="preserve">. The time required to fill a vacancy was estimated using occupation-specific vacancy statistics </w:t>
      </w:r>
      <w:r w:rsidRPr="002C435C">
        <w:rPr>
          <w:rFonts w:ascii="Times New Roman" w:hAnsi="Times New Roman" w:cs="Times New Roman"/>
          <w:sz w:val="24"/>
          <w:szCs w:val="24"/>
          <w:lang w:val="en-US"/>
        </w:rPr>
        <w:fldChar w:fldCharType="begin"/>
      </w:r>
      <w:r w:rsidR="002F1D5B" w:rsidRPr="002C435C">
        <w:rPr>
          <w:rFonts w:ascii="Times New Roman" w:hAnsi="Times New Roman" w:cs="Times New Roman"/>
          <w:sz w:val="24"/>
          <w:szCs w:val="24"/>
          <w:lang w:val="en-US"/>
        </w:rPr>
        <w:instrText xml:space="preserve"> ADDIN ZOTERO_ITEM CSL_CITATION {"citationID":"Zo65HdWs","properties":{"formattedCitation":"(6)","plainCitation":"(6)","noteIndex":0},"citationItems":[{"id":65,"uris":["http://zotero.org/users/local/QNIUE2gv/items/VQRLGXJA"],"itemData":{"id":65,"type":"document","publisher":"Statistics Finland","title":"Employment service statistics","URL":"https://www.stat.fi/en/statistics/tyonv","accessed":{"date-parts":[["2023",9,23]]}}}],"schema":"https://github.com/citation-style-language/schema/raw/master/csl-citation.json"} </w:instrText>
      </w:r>
      <w:r w:rsidRPr="002C435C">
        <w:rPr>
          <w:rFonts w:ascii="Times New Roman" w:hAnsi="Times New Roman" w:cs="Times New Roman"/>
          <w:sz w:val="24"/>
          <w:szCs w:val="24"/>
          <w:lang w:val="en-US"/>
        </w:rPr>
        <w:fldChar w:fldCharType="separate"/>
      </w:r>
      <w:r w:rsidR="002F1D5B" w:rsidRPr="002C435C">
        <w:rPr>
          <w:rFonts w:ascii="Times New Roman" w:hAnsi="Times New Roman" w:cs="Times New Roman"/>
          <w:sz w:val="24"/>
          <w:szCs w:val="24"/>
        </w:rPr>
        <w:t>(6)</w:t>
      </w:r>
      <w:r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w:t>
      </w:r>
    </w:p>
    <w:p w14:paraId="35B17FDA" w14:textId="06BA2C7D" w:rsidR="001856C0" w:rsidRPr="002C435C" w:rsidRDefault="001856C0" w:rsidP="002C435C">
      <w:pPr>
        <w:spacing w:after="240" w:line="480" w:lineRule="auto"/>
        <w:rPr>
          <w:rFonts w:ascii="Times New Roman" w:hAnsi="Times New Roman" w:cs="Times New Roman"/>
          <w:sz w:val="24"/>
          <w:szCs w:val="24"/>
          <w:lang w:val="en-US"/>
        </w:rPr>
      </w:pPr>
      <w:r w:rsidRPr="002C435C">
        <w:rPr>
          <w:rFonts w:ascii="Times New Roman" w:hAnsi="Times New Roman" w:cs="Times New Roman"/>
          <w:sz w:val="24"/>
          <w:szCs w:val="24"/>
          <w:lang w:val="en-US"/>
        </w:rPr>
        <w:t xml:space="preserve">In case the departing employee is replaced by an already employed person, a subsequent friction period may be triggered elsewhere, potentially leading to a chain of vacancies. To address this, the initial friction period estimate was adjusted for the length of the vacancy chain (LVC) employing the method introduced by </w:t>
      </w:r>
      <w:proofErr w:type="spellStart"/>
      <w:r w:rsidRPr="002C435C">
        <w:rPr>
          <w:rFonts w:ascii="Times New Roman" w:hAnsi="Times New Roman" w:cs="Times New Roman"/>
          <w:sz w:val="24"/>
          <w:szCs w:val="24"/>
          <w:lang w:val="en-US"/>
        </w:rPr>
        <w:t>Targoutzidis</w:t>
      </w:r>
      <w:proofErr w:type="spellEnd"/>
      <w:r w:rsidRPr="002C435C">
        <w:rPr>
          <w:rFonts w:ascii="Times New Roman" w:hAnsi="Times New Roman" w:cs="Times New Roman"/>
          <w:sz w:val="24"/>
          <w:szCs w:val="24"/>
          <w:lang w:val="en-US"/>
        </w:rPr>
        <w:t xml:space="preserve"> et al. (2018) </w:t>
      </w:r>
      <w:r w:rsidRPr="002C435C">
        <w:rPr>
          <w:rFonts w:ascii="Times New Roman" w:hAnsi="Times New Roman" w:cs="Times New Roman"/>
          <w:sz w:val="24"/>
          <w:szCs w:val="24"/>
          <w:lang w:val="en-US"/>
        </w:rPr>
        <w:fldChar w:fldCharType="begin"/>
      </w:r>
      <w:r w:rsidR="002F1D5B" w:rsidRPr="002C435C">
        <w:rPr>
          <w:rFonts w:ascii="Times New Roman" w:hAnsi="Times New Roman" w:cs="Times New Roman"/>
          <w:sz w:val="24"/>
          <w:szCs w:val="24"/>
          <w:lang w:val="en-US"/>
        </w:rPr>
        <w:instrText xml:space="preserve"> ADDIN ZOTERO_ITEM CSL_CITATION {"citationID":"x9GrujOy","properties":{"formattedCitation":"(7)","plainCitation":"(7)","noteIndex":0},"citationItems":[{"id":66,"uris":["http://zotero.org/users/local/QNIUE2gv/items/4ISQI4V6"],"itemData":{"id":66,"type":"article-journal","container-title":"The European Journal of Health Economics","ISSN":"1618-7598","issue":"9","journalAbbreviation":"The European Journal of Health Economics","note":"publisher: Springer","page":"1225-1228","title":"Some adjustments to the human capital and the friction cost methods","volume":"19","author":[{"family":"Targoutzidis","given":"Antonis"}],"issued":{"date-parts":[["2018"]]}}}],"schema":"https://github.com/citation-style-language/schema/raw/master/csl-citation.json"} </w:instrText>
      </w:r>
      <w:r w:rsidRPr="002C435C">
        <w:rPr>
          <w:rFonts w:ascii="Times New Roman" w:hAnsi="Times New Roman" w:cs="Times New Roman"/>
          <w:sz w:val="24"/>
          <w:szCs w:val="24"/>
          <w:lang w:val="en-US"/>
        </w:rPr>
        <w:fldChar w:fldCharType="separate"/>
      </w:r>
      <w:r w:rsidR="002F1D5B" w:rsidRPr="002C435C">
        <w:rPr>
          <w:rFonts w:ascii="Times New Roman" w:hAnsi="Times New Roman" w:cs="Times New Roman"/>
          <w:sz w:val="24"/>
          <w:szCs w:val="24"/>
        </w:rPr>
        <w:t>(7)</w:t>
      </w:r>
      <w:r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 In the proposed adjustment, the initial friction cost estimate was multiplied by the product of two factors: the ratio of already employed job seekers and all job seekers in the population, and the odds of being employed. The requisite data for these parameters were acquired from the publicly available database.</w:t>
      </w:r>
      <w:r w:rsidR="007E197C" w:rsidRPr="002C435C">
        <w:rPr>
          <w:rFonts w:ascii="Times New Roman" w:hAnsi="Times New Roman" w:cs="Times New Roman"/>
          <w:sz w:val="24"/>
          <w:szCs w:val="24"/>
          <w:lang w:val="en-US"/>
        </w:rPr>
        <w:t xml:space="preserve"> </w:t>
      </w:r>
      <w:r w:rsidR="00752684" w:rsidRPr="002C435C">
        <w:rPr>
          <w:rFonts w:ascii="Times New Roman" w:hAnsi="Times New Roman" w:cs="Times New Roman"/>
          <w:sz w:val="24"/>
          <w:szCs w:val="24"/>
          <w:lang w:val="en-US"/>
        </w:rPr>
        <w:fldChar w:fldCharType="begin"/>
      </w:r>
      <w:r w:rsidR="00752684" w:rsidRPr="002C435C">
        <w:rPr>
          <w:rFonts w:ascii="Times New Roman" w:hAnsi="Times New Roman" w:cs="Times New Roman"/>
          <w:sz w:val="24"/>
          <w:szCs w:val="24"/>
          <w:lang w:val="en-US"/>
        </w:rPr>
        <w:instrText xml:space="preserve"> ADDIN ZOTERO_ITEM CSL_CITATION {"citationID":"nTsr1dmv","properties":{"formattedCitation":"(6)","plainCitation":"(6)","noteIndex":0},"citationItems":[{"id":65,"uris":["http://zotero.org/users/local/QNIUE2gv/items/VQRLGXJA"],"itemData":{"id":65,"type":"document","publisher":"Statistics Finland","title":"Employment service statistics","URL":"https://www.stat.fi/en/statistics/tyonv","accessed":{"date-parts":[["2023",9,23]]}}}],"schema":"https://github.com/citation-style-language/schema/raw/master/csl-citation.json"} </w:instrText>
      </w:r>
      <w:r w:rsidR="00752684" w:rsidRPr="002C435C">
        <w:rPr>
          <w:rFonts w:ascii="Times New Roman" w:hAnsi="Times New Roman" w:cs="Times New Roman"/>
          <w:sz w:val="24"/>
          <w:szCs w:val="24"/>
          <w:lang w:val="en-US"/>
        </w:rPr>
        <w:fldChar w:fldCharType="separate"/>
      </w:r>
      <w:r w:rsidR="00752684" w:rsidRPr="002C435C">
        <w:rPr>
          <w:rFonts w:ascii="Times New Roman" w:hAnsi="Times New Roman" w:cs="Times New Roman"/>
          <w:sz w:val="24"/>
          <w:szCs w:val="24"/>
        </w:rPr>
        <w:t>(6)</w:t>
      </w:r>
      <w:r w:rsidR="00752684"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 xml:space="preserve">  </w:t>
      </w:r>
    </w:p>
    <w:p w14:paraId="4114E3FF" w14:textId="780ED831" w:rsidR="001536DB" w:rsidRPr="002C435C" w:rsidRDefault="001536DB" w:rsidP="002C435C">
      <w:pPr>
        <w:spacing w:after="240" w:line="480" w:lineRule="auto"/>
        <w:rPr>
          <w:rFonts w:ascii="Times New Roman" w:hAnsi="Times New Roman" w:cs="Times New Roman"/>
          <w:sz w:val="24"/>
          <w:szCs w:val="24"/>
          <w:lang w:val="en-US"/>
        </w:rPr>
      </w:pPr>
      <w:r w:rsidRPr="002C435C">
        <w:rPr>
          <w:rFonts w:ascii="Times New Roman" w:hAnsi="Times New Roman" w:cs="Times New Roman"/>
          <w:sz w:val="24"/>
          <w:szCs w:val="24"/>
        </w:rPr>
        <w:t>Further approaches to potentially improve the accuracy of estimates, such as accounting for compensation mechanisms and multiplier effects, have been proposed in the literature</w:t>
      </w:r>
      <w:r w:rsidR="00B4324B" w:rsidRPr="002C435C">
        <w:rPr>
          <w:rFonts w:ascii="Times New Roman" w:hAnsi="Times New Roman" w:cs="Times New Roman"/>
          <w:sz w:val="24"/>
          <w:szCs w:val="24"/>
        </w:rPr>
        <w:t xml:space="preserve"> </w:t>
      </w:r>
      <w:r w:rsidR="00B4324B" w:rsidRPr="002C435C">
        <w:rPr>
          <w:rFonts w:ascii="Times New Roman" w:hAnsi="Times New Roman" w:cs="Times New Roman"/>
          <w:sz w:val="24"/>
          <w:szCs w:val="24"/>
        </w:rPr>
        <w:fldChar w:fldCharType="begin"/>
      </w:r>
      <w:r w:rsidR="00B4324B" w:rsidRPr="002C435C">
        <w:rPr>
          <w:rFonts w:ascii="Times New Roman" w:hAnsi="Times New Roman" w:cs="Times New Roman"/>
          <w:sz w:val="24"/>
          <w:szCs w:val="24"/>
        </w:rPr>
        <w:instrText xml:space="preserve"> ADDIN ZOTERO_ITEM CSL_CITATION {"citationID":"lp386LeE","properties":{"formattedCitation":"(8)","plainCitation":"(8)","noteIndex":0},"citationItems":[{"id":17,"uris":["http://zotero.org/users/local/QNIUE2gv/items/QZAG9BWX"],"itemData":{"id":17,"type":"article-journal","container-title":"PharmacoEconomics","DOI":"10.1007/s40273-013-0056-3","ISSN":"1170-7690, 1179-2027","issue":"7","journalAbbreviation":"PharmacoEconomics","language":"en","page":"537-549","source":"DOI.org (Crossref)","title":"Productivity Costs in Economic Evaluations: Past, Present, Future","title-short":"Productivity Costs in Economic Evaluations","volume":"31","author":[{"family":"Krol","given":"Marieke"},{"family":"Brouwer","given":"Werner"},{"family":"Rutten","given":"Frans"}],"issued":{"date-parts":[["2013",7]]}}}],"schema":"https://github.com/citation-style-language/schema/raw/master/csl-citation.json"} </w:instrText>
      </w:r>
      <w:r w:rsidR="00B4324B" w:rsidRPr="002C435C">
        <w:rPr>
          <w:rFonts w:ascii="Times New Roman" w:hAnsi="Times New Roman" w:cs="Times New Roman"/>
          <w:sz w:val="24"/>
          <w:szCs w:val="24"/>
        </w:rPr>
        <w:fldChar w:fldCharType="separate"/>
      </w:r>
      <w:r w:rsidR="00B4324B" w:rsidRPr="002C435C">
        <w:rPr>
          <w:rFonts w:ascii="Times New Roman" w:hAnsi="Times New Roman" w:cs="Times New Roman"/>
          <w:sz w:val="24"/>
          <w:szCs w:val="24"/>
        </w:rPr>
        <w:t>(8)</w:t>
      </w:r>
      <w:r w:rsidR="00B4324B" w:rsidRPr="002C435C">
        <w:rPr>
          <w:rFonts w:ascii="Times New Roman" w:hAnsi="Times New Roman" w:cs="Times New Roman"/>
          <w:sz w:val="24"/>
          <w:szCs w:val="24"/>
        </w:rPr>
        <w:fldChar w:fldCharType="end"/>
      </w:r>
      <w:r w:rsidR="00B4324B" w:rsidRPr="002C435C">
        <w:rPr>
          <w:rFonts w:ascii="Times New Roman" w:hAnsi="Times New Roman" w:cs="Times New Roman"/>
          <w:sz w:val="24"/>
          <w:szCs w:val="24"/>
        </w:rPr>
        <w:t>.</w:t>
      </w:r>
      <w:r w:rsidRPr="002C435C">
        <w:rPr>
          <w:rFonts w:ascii="Times New Roman" w:hAnsi="Times New Roman" w:cs="Times New Roman"/>
          <w:sz w:val="24"/>
          <w:szCs w:val="24"/>
        </w:rPr>
        <w:t xml:space="preserve"> </w:t>
      </w:r>
      <w:r w:rsidRPr="002C435C">
        <w:rPr>
          <w:rFonts w:ascii="Times New Roman" w:hAnsi="Times New Roman" w:cs="Times New Roman"/>
          <w:sz w:val="24"/>
          <w:szCs w:val="24"/>
        </w:rPr>
        <w:lastRenderedPageBreak/>
        <w:t>These were not considered in the analysis, as data to evaluate the required parameters within the context of Finland was not available.</w:t>
      </w:r>
    </w:p>
    <w:p w14:paraId="7582A64F" w14:textId="77777777" w:rsidR="001856C0" w:rsidRPr="002C435C" w:rsidRDefault="001856C0" w:rsidP="002C435C">
      <w:pPr>
        <w:pStyle w:val="Heading4"/>
        <w:spacing w:after="240" w:line="480" w:lineRule="auto"/>
        <w:rPr>
          <w:rFonts w:ascii="Times New Roman" w:hAnsi="Times New Roman" w:cs="Times New Roman"/>
          <w:i w:val="0"/>
          <w:iCs w:val="0"/>
          <w:color w:val="auto"/>
          <w:sz w:val="24"/>
          <w:szCs w:val="24"/>
          <w:lang w:val="en-US"/>
        </w:rPr>
      </w:pPr>
      <w:r w:rsidRPr="002C435C">
        <w:rPr>
          <w:rFonts w:ascii="Times New Roman" w:hAnsi="Times New Roman" w:cs="Times New Roman"/>
          <w:i w:val="0"/>
          <w:iCs w:val="0"/>
          <w:color w:val="auto"/>
          <w:sz w:val="24"/>
          <w:szCs w:val="24"/>
          <w:lang w:val="en-US"/>
        </w:rPr>
        <w:t>Valuation of lost productivity</w:t>
      </w:r>
    </w:p>
    <w:p w14:paraId="303315EB" w14:textId="4F113330" w:rsidR="001856C0" w:rsidRPr="002C435C" w:rsidRDefault="001856C0" w:rsidP="002C435C">
      <w:pPr>
        <w:spacing w:after="240" w:line="480" w:lineRule="auto"/>
        <w:rPr>
          <w:rFonts w:ascii="Times New Roman" w:hAnsi="Times New Roman" w:cs="Times New Roman"/>
          <w:sz w:val="24"/>
          <w:szCs w:val="24"/>
          <w:lang w:val="en-US"/>
        </w:rPr>
      </w:pPr>
      <w:r w:rsidRPr="002C435C">
        <w:rPr>
          <w:rFonts w:ascii="Times New Roman" w:hAnsi="Times New Roman" w:cs="Times New Roman"/>
          <w:sz w:val="24"/>
          <w:szCs w:val="24"/>
          <w:lang w:val="en-US"/>
        </w:rPr>
        <w:t>The annual occupation and sex-specific median wages among full-time employed population served as a proxy for the monetary value of the lost productivity for both FC and HC methods. Estimates were sourced from the publicly available database of Statistics Finland and subsequently adjusted to reflect the 2017 wage level using the index of wage and salary earnings</w:t>
      </w:r>
      <w:r w:rsidR="004E5C22" w:rsidRPr="002C435C">
        <w:rPr>
          <w:rFonts w:ascii="Times New Roman" w:hAnsi="Times New Roman" w:cs="Times New Roman"/>
          <w:sz w:val="24"/>
          <w:szCs w:val="24"/>
          <w:lang w:val="en-US"/>
        </w:rPr>
        <w:t xml:space="preserve"> </w:t>
      </w:r>
      <w:r w:rsidR="003B6B47" w:rsidRPr="002C435C">
        <w:rPr>
          <w:rFonts w:ascii="Times New Roman" w:hAnsi="Times New Roman" w:cs="Times New Roman"/>
          <w:sz w:val="24"/>
          <w:szCs w:val="24"/>
          <w:lang w:val="en-US"/>
        </w:rPr>
        <w:fldChar w:fldCharType="begin"/>
      </w:r>
      <w:r w:rsidR="00B4324B" w:rsidRPr="002C435C">
        <w:rPr>
          <w:rFonts w:ascii="Times New Roman" w:hAnsi="Times New Roman" w:cs="Times New Roman"/>
          <w:sz w:val="24"/>
          <w:szCs w:val="24"/>
          <w:lang w:val="en-US"/>
        </w:rPr>
        <w:instrText xml:space="preserve"> ADDIN ZOTERO_ITEM CSL_CITATION {"citationID":"JAL93heO","properties":{"formattedCitation":"(9)","plainCitation":"(9)","noteIndex":0},"citationItems":[{"id":83,"uris":["http://zotero.org/users/local/QNIUE2gv/items/N23ASE5C"],"itemData":{"id":83,"type":"document","publisher":"Statistics Finland","title":"Index of wage and salary earnings","URL":"https://www.stat.fi/en/statistics/ati","accessed":{"date-parts":[["2023",9,23]]}}}],"schema":"https://github.com/citation-style-language/schema/raw/master/csl-citation.json"} </w:instrText>
      </w:r>
      <w:r w:rsidR="003B6B47" w:rsidRPr="002C435C">
        <w:rPr>
          <w:rFonts w:ascii="Times New Roman" w:hAnsi="Times New Roman" w:cs="Times New Roman"/>
          <w:sz w:val="24"/>
          <w:szCs w:val="24"/>
          <w:lang w:val="en-US"/>
        </w:rPr>
        <w:fldChar w:fldCharType="separate"/>
      </w:r>
      <w:r w:rsidR="00B4324B" w:rsidRPr="002C435C">
        <w:rPr>
          <w:rFonts w:ascii="Times New Roman" w:hAnsi="Times New Roman" w:cs="Times New Roman"/>
          <w:sz w:val="24"/>
          <w:szCs w:val="24"/>
        </w:rPr>
        <w:t>(9)</w:t>
      </w:r>
      <w:r w:rsidR="003B6B47" w:rsidRPr="002C435C">
        <w:rPr>
          <w:rFonts w:ascii="Times New Roman" w:hAnsi="Times New Roman" w:cs="Times New Roman"/>
          <w:sz w:val="24"/>
          <w:szCs w:val="24"/>
          <w:lang w:val="en-US"/>
        </w:rPr>
        <w:fldChar w:fldCharType="end"/>
      </w:r>
      <w:r w:rsidRPr="002C435C">
        <w:rPr>
          <w:rFonts w:ascii="Times New Roman" w:hAnsi="Times New Roman" w:cs="Times New Roman"/>
          <w:sz w:val="24"/>
          <w:szCs w:val="24"/>
          <w:lang w:val="en-US"/>
        </w:rPr>
        <w:t>. In case the information on occupation was not available for an individual, sex-specific median wage was used instead.</w:t>
      </w:r>
    </w:p>
    <w:p w14:paraId="50C14E4C" w14:textId="6A42C3D7" w:rsidR="00BD284C" w:rsidRPr="002C435C" w:rsidRDefault="001856C0" w:rsidP="002C435C">
      <w:pPr>
        <w:spacing w:after="240" w:line="480" w:lineRule="auto"/>
        <w:rPr>
          <w:rFonts w:ascii="Times New Roman" w:hAnsi="Times New Roman" w:cs="Times New Roman"/>
          <w:sz w:val="24"/>
          <w:szCs w:val="24"/>
          <w:lang w:val="en-US"/>
        </w:rPr>
      </w:pPr>
      <w:r w:rsidRPr="002C435C">
        <w:rPr>
          <w:rFonts w:ascii="Times New Roman" w:hAnsi="Times New Roman" w:cs="Times New Roman"/>
          <w:sz w:val="24"/>
          <w:szCs w:val="24"/>
          <w:lang w:val="en-US"/>
        </w:rPr>
        <w:t xml:space="preserve">To calculate the productivity cost estimate, the annual wage estimate was multiplied by </w:t>
      </w:r>
      <w:proofErr w:type="gramStart"/>
      <w:r w:rsidRPr="002C435C">
        <w:rPr>
          <w:rFonts w:ascii="Times New Roman" w:hAnsi="Times New Roman" w:cs="Times New Roman"/>
          <w:sz w:val="24"/>
          <w:szCs w:val="24"/>
          <w:lang w:val="en-US"/>
        </w:rPr>
        <w:t>each individual’s</w:t>
      </w:r>
      <w:proofErr w:type="gramEnd"/>
      <w:r w:rsidRPr="002C435C">
        <w:rPr>
          <w:rFonts w:ascii="Times New Roman" w:hAnsi="Times New Roman" w:cs="Times New Roman"/>
          <w:sz w:val="24"/>
          <w:szCs w:val="24"/>
          <w:lang w:val="en-US"/>
        </w:rPr>
        <w:t xml:space="preserve"> proportion of days absent per year (365). With </w:t>
      </w:r>
      <w:r w:rsidR="00773250" w:rsidRPr="002C435C">
        <w:rPr>
          <w:rFonts w:ascii="Times New Roman" w:hAnsi="Times New Roman" w:cs="Times New Roman"/>
          <w:sz w:val="24"/>
          <w:szCs w:val="24"/>
          <w:lang w:val="en-US"/>
        </w:rPr>
        <w:t xml:space="preserve">the </w:t>
      </w:r>
      <w:r w:rsidRPr="002C435C">
        <w:rPr>
          <w:rFonts w:ascii="Times New Roman" w:hAnsi="Times New Roman" w:cs="Times New Roman"/>
          <w:sz w:val="24"/>
          <w:szCs w:val="24"/>
          <w:lang w:val="en-US"/>
        </w:rPr>
        <w:t>FC method, in case the actual absence period was shorter than the estimated friction period, the actual absence period was used. Vice versa, if the length of the actual absence period exceeded the friction period, the friction period was utilized instead.</w:t>
      </w:r>
    </w:p>
    <w:p w14:paraId="53D0F170" w14:textId="4BF285A8" w:rsidR="00DF2720" w:rsidRPr="002C435C" w:rsidRDefault="00DF2720" w:rsidP="002C435C">
      <w:pPr>
        <w:pStyle w:val="Heading4"/>
        <w:spacing w:line="480" w:lineRule="auto"/>
        <w:rPr>
          <w:rFonts w:ascii="Times New Roman" w:hAnsi="Times New Roman" w:cs="Times New Roman"/>
          <w:i w:val="0"/>
          <w:iCs w:val="0"/>
          <w:color w:val="auto"/>
          <w:sz w:val="24"/>
          <w:szCs w:val="24"/>
          <w:lang w:val="en-US"/>
        </w:rPr>
      </w:pPr>
      <w:r w:rsidRPr="002C435C">
        <w:rPr>
          <w:rFonts w:ascii="Times New Roman" w:hAnsi="Times New Roman" w:cs="Times New Roman"/>
          <w:i w:val="0"/>
          <w:iCs w:val="0"/>
          <w:color w:val="auto"/>
          <w:sz w:val="24"/>
          <w:szCs w:val="24"/>
          <w:lang w:val="en-US"/>
        </w:rPr>
        <w:t>References</w:t>
      </w:r>
    </w:p>
    <w:p w14:paraId="6D7C3A1C" w14:textId="77777777" w:rsidR="007F25A1" w:rsidRPr="002C435C" w:rsidRDefault="004E5C22"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b/>
          <w:bCs/>
          <w:sz w:val="24"/>
          <w:szCs w:val="24"/>
          <w:lang w:val="en-US"/>
        </w:rPr>
        <w:fldChar w:fldCharType="begin"/>
      </w:r>
      <w:r w:rsidR="007F25A1" w:rsidRPr="002C435C">
        <w:rPr>
          <w:rFonts w:ascii="Times New Roman" w:hAnsi="Times New Roman" w:cs="Times New Roman"/>
          <w:b/>
          <w:bCs/>
          <w:sz w:val="24"/>
          <w:szCs w:val="24"/>
          <w:lang w:val="en-US"/>
        </w:rPr>
        <w:instrText xml:space="preserve"> ADDIN ZOTERO_BIBL {"uncited":[],"omitted":[],"custom":[]} CSL_BIBLIOGRAPHY </w:instrText>
      </w:r>
      <w:r w:rsidRPr="002C435C">
        <w:rPr>
          <w:rFonts w:ascii="Times New Roman" w:hAnsi="Times New Roman" w:cs="Times New Roman"/>
          <w:b/>
          <w:bCs/>
          <w:sz w:val="24"/>
          <w:szCs w:val="24"/>
          <w:lang w:val="en-US"/>
        </w:rPr>
        <w:fldChar w:fldCharType="separate"/>
      </w:r>
      <w:r w:rsidR="007F25A1" w:rsidRPr="002C435C">
        <w:rPr>
          <w:rFonts w:ascii="Times New Roman" w:hAnsi="Times New Roman" w:cs="Times New Roman"/>
          <w:sz w:val="24"/>
          <w:szCs w:val="24"/>
        </w:rPr>
        <w:t>1.</w:t>
      </w:r>
      <w:r w:rsidR="007F25A1" w:rsidRPr="002C435C">
        <w:rPr>
          <w:rFonts w:ascii="Times New Roman" w:hAnsi="Times New Roman" w:cs="Times New Roman"/>
          <w:sz w:val="24"/>
          <w:szCs w:val="24"/>
        </w:rPr>
        <w:tab/>
        <w:t>Sickness allowances [Internet]. Social Insurance Institute of Finland; [cited 2023 Sep 23]. Available from: https://www.kela.fi/sickness-allowances</w:t>
      </w:r>
    </w:p>
    <w:p w14:paraId="51CE3B3B"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t>2.</w:t>
      </w:r>
      <w:r w:rsidRPr="002C435C">
        <w:rPr>
          <w:rFonts w:ascii="Times New Roman" w:hAnsi="Times New Roman" w:cs="Times New Roman"/>
          <w:sz w:val="24"/>
          <w:szCs w:val="24"/>
        </w:rPr>
        <w:tab/>
        <w:t>Overview of pensions [Internet]. Finnish Centre for Pensions; [cited 2023 Sep 23]. Available from: https://www.etk.fi/en/finnish-pension-system/pension-security/overview-of-pensions/</w:t>
      </w:r>
    </w:p>
    <w:p w14:paraId="6FC33866"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t>3.</w:t>
      </w:r>
      <w:r w:rsidRPr="002C435C">
        <w:rPr>
          <w:rFonts w:ascii="Times New Roman" w:hAnsi="Times New Roman" w:cs="Times New Roman"/>
          <w:sz w:val="24"/>
          <w:szCs w:val="24"/>
        </w:rPr>
        <w:tab/>
        <w:t xml:space="preserve">Krol M, Brouwer W. How to Estimate Productivity Costs in Economic Evaluations. PharmacoEconomics. 2014 Apr;32(4):335–44. </w:t>
      </w:r>
    </w:p>
    <w:p w14:paraId="2F578576"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lastRenderedPageBreak/>
        <w:t>4.</w:t>
      </w:r>
      <w:r w:rsidRPr="002C435C">
        <w:rPr>
          <w:rFonts w:ascii="Times New Roman" w:hAnsi="Times New Roman" w:cs="Times New Roman"/>
          <w:sz w:val="24"/>
          <w:szCs w:val="24"/>
        </w:rPr>
        <w:tab/>
        <w:t>Important information for people on part-time pension [Internet]. Keva; [cited 2023 Sep 23]. Available from: https://www.keva.fi/en/pensions/for-pension-recipients/part-time-pension/</w:t>
      </w:r>
    </w:p>
    <w:p w14:paraId="4BA7C2A1"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t>5.</w:t>
      </w:r>
      <w:r w:rsidRPr="002C435C">
        <w:rPr>
          <w:rFonts w:ascii="Times New Roman" w:hAnsi="Times New Roman" w:cs="Times New Roman"/>
          <w:sz w:val="24"/>
          <w:szCs w:val="24"/>
        </w:rPr>
        <w:tab/>
        <w:t xml:space="preserve">Rissanen I, Ala-Mursula L, Nerg I, Korhonen M. Adjusted productivity costs of stroke by human capital and friction cost methods: a Northern Finland Birth Cohort 1966 study. Eur J Health Econ. 2021 Jun;22(4):531–45. </w:t>
      </w:r>
    </w:p>
    <w:p w14:paraId="7DE26E41"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t>6.</w:t>
      </w:r>
      <w:r w:rsidRPr="002C435C">
        <w:rPr>
          <w:rFonts w:ascii="Times New Roman" w:hAnsi="Times New Roman" w:cs="Times New Roman"/>
          <w:sz w:val="24"/>
          <w:szCs w:val="24"/>
        </w:rPr>
        <w:tab/>
        <w:t>Employment service statistics [Internet]. Statistics Finland; [cited 2023 Sep 23]. Available from: https://www.stat.fi/en/statistics/tyonv</w:t>
      </w:r>
    </w:p>
    <w:p w14:paraId="72ACB6A9"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t>7.</w:t>
      </w:r>
      <w:r w:rsidRPr="002C435C">
        <w:rPr>
          <w:rFonts w:ascii="Times New Roman" w:hAnsi="Times New Roman" w:cs="Times New Roman"/>
          <w:sz w:val="24"/>
          <w:szCs w:val="24"/>
        </w:rPr>
        <w:tab/>
        <w:t xml:space="preserve">Targoutzidis A. Some adjustments to the human capital and the friction cost methods. Eur J Health Econ. 2018;19(9):1225–8. </w:t>
      </w:r>
    </w:p>
    <w:p w14:paraId="66E865C2" w14:textId="77777777" w:rsidR="007F25A1" w:rsidRPr="002C435C" w:rsidRDefault="007F25A1" w:rsidP="002C435C">
      <w:pPr>
        <w:pStyle w:val="Bibliography"/>
        <w:spacing w:line="480" w:lineRule="auto"/>
        <w:rPr>
          <w:rFonts w:ascii="Times New Roman" w:hAnsi="Times New Roman" w:cs="Times New Roman"/>
          <w:sz w:val="24"/>
          <w:szCs w:val="24"/>
        </w:rPr>
      </w:pPr>
      <w:r w:rsidRPr="002C435C">
        <w:rPr>
          <w:rFonts w:ascii="Times New Roman" w:hAnsi="Times New Roman" w:cs="Times New Roman"/>
          <w:sz w:val="24"/>
          <w:szCs w:val="24"/>
        </w:rPr>
        <w:t>8.</w:t>
      </w:r>
      <w:r w:rsidRPr="002C435C">
        <w:rPr>
          <w:rFonts w:ascii="Times New Roman" w:hAnsi="Times New Roman" w:cs="Times New Roman"/>
          <w:sz w:val="24"/>
          <w:szCs w:val="24"/>
        </w:rPr>
        <w:tab/>
        <w:t xml:space="preserve">Krol M, Brouwer W, Rutten F. Productivity Costs in Economic Evaluations: Past, Present, Future. PharmacoEconomics. 2013 Jul;31(7):537–49. </w:t>
      </w:r>
    </w:p>
    <w:p w14:paraId="32DC9D88" w14:textId="4FC4EC8E" w:rsidR="001856C0" w:rsidRPr="003347EA" w:rsidRDefault="007F25A1" w:rsidP="002C435C">
      <w:pPr>
        <w:pStyle w:val="Bibliography"/>
        <w:spacing w:line="480" w:lineRule="auto"/>
        <w:rPr>
          <w:rFonts w:ascii="Times New Roman" w:hAnsi="Times New Roman" w:cs="Times New Roman"/>
          <w:lang w:val="en-US"/>
        </w:rPr>
      </w:pPr>
      <w:r w:rsidRPr="002C435C">
        <w:rPr>
          <w:rFonts w:ascii="Times New Roman" w:hAnsi="Times New Roman" w:cs="Times New Roman"/>
          <w:sz w:val="24"/>
          <w:szCs w:val="24"/>
        </w:rPr>
        <w:t>9.</w:t>
      </w:r>
      <w:r w:rsidRPr="002C435C">
        <w:rPr>
          <w:rFonts w:ascii="Times New Roman" w:hAnsi="Times New Roman" w:cs="Times New Roman"/>
          <w:sz w:val="24"/>
          <w:szCs w:val="24"/>
        </w:rPr>
        <w:tab/>
        <w:t>Index of wage and salary earnings [Internet]. Statistics Finland; [cited 2023 Sep 23]. Available from: https://www.stat.fi/en/statistics/ati</w:t>
      </w:r>
      <w:r w:rsidR="004E5C22" w:rsidRPr="002C435C">
        <w:rPr>
          <w:rFonts w:ascii="Times New Roman" w:hAnsi="Times New Roman" w:cs="Times New Roman"/>
          <w:b/>
          <w:bCs/>
          <w:sz w:val="24"/>
          <w:szCs w:val="24"/>
          <w:lang w:val="en-US"/>
        </w:rPr>
        <w:fldChar w:fldCharType="end"/>
      </w:r>
      <w:r w:rsidR="001856C0" w:rsidRPr="003347EA">
        <w:rPr>
          <w:rFonts w:ascii="Times New Roman" w:hAnsi="Times New Roman" w:cs="Times New Roman"/>
          <w:b/>
          <w:bCs/>
          <w:lang w:val="en-US"/>
        </w:rPr>
        <w:br w:type="page"/>
      </w:r>
    </w:p>
    <w:p w14:paraId="34E7D7EC" w14:textId="385E6CAE" w:rsidR="00903518" w:rsidRPr="003347EA" w:rsidRDefault="00903518" w:rsidP="00903518">
      <w:pPr>
        <w:pStyle w:val="Heading1"/>
        <w:rPr>
          <w:rFonts w:ascii="Times New Roman" w:hAnsi="Times New Roman" w:cs="Times New Roman"/>
          <w:color w:val="auto"/>
        </w:rPr>
      </w:pPr>
      <w:r w:rsidRPr="003347EA">
        <w:rPr>
          <w:rFonts w:ascii="Times New Roman" w:hAnsi="Times New Roman" w:cs="Times New Roman"/>
          <w:color w:val="auto"/>
        </w:rPr>
        <w:lastRenderedPageBreak/>
        <w:t>Supplementa</w:t>
      </w:r>
      <w:r w:rsidR="006E2EA2">
        <w:rPr>
          <w:rFonts w:ascii="Times New Roman" w:hAnsi="Times New Roman" w:cs="Times New Roman"/>
          <w:color w:val="auto"/>
        </w:rPr>
        <w:t>ry</w:t>
      </w:r>
      <w:r w:rsidRPr="003347EA">
        <w:rPr>
          <w:rFonts w:ascii="Times New Roman" w:hAnsi="Times New Roman" w:cs="Times New Roman"/>
          <w:color w:val="auto"/>
        </w:rPr>
        <w:t xml:space="preserve"> Tables</w:t>
      </w:r>
    </w:p>
    <w:p w14:paraId="328E7AA7" w14:textId="77777777" w:rsidR="00B805AC" w:rsidRPr="003347EA" w:rsidRDefault="00B805AC" w:rsidP="00B805AC">
      <w:pPr>
        <w:rPr>
          <w:rFonts w:ascii="Times New Roman" w:hAnsi="Times New Roman" w:cs="Times New Roman"/>
        </w:rPr>
      </w:pPr>
    </w:p>
    <w:p w14:paraId="549436FB" w14:textId="37A44251" w:rsidR="001856C0" w:rsidRPr="002C435C" w:rsidRDefault="006E2EA2" w:rsidP="001856C0">
      <w:pPr>
        <w:rPr>
          <w:rFonts w:ascii="Times New Roman" w:hAnsi="Times New Roman" w:cs="Times New Roman"/>
          <w:sz w:val="24"/>
          <w:szCs w:val="24"/>
        </w:rPr>
      </w:pPr>
      <w:r w:rsidRPr="002C435C">
        <w:rPr>
          <w:rFonts w:ascii="Times New Roman" w:hAnsi="Times New Roman" w:cs="Times New Roman"/>
          <w:b/>
          <w:bCs/>
          <w:sz w:val="24"/>
          <w:szCs w:val="24"/>
        </w:rPr>
        <w:t xml:space="preserve">ESM </w:t>
      </w:r>
      <w:r w:rsidR="001856C0" w:rsidRPr="002C435C">
        <w:rPr>
          <w:rFonts w:ascii="Times New Roman" w:hAnsi="Times New Roman" w:cs="Times New Roman"/>
          <w:b/>
          <w:bCs/>
          <w:sz w:val="24"/>
          <w:szCs w:val="24"/>
        </w:rPr>
        <w:t xml:space="preserve">Table 1. </w:t>
      </w:r>
      <w:r w:rsidR="001856C0" w:rsidRPr="002C435C">
        <w:rPr>
          <w:rFonts w:ascii="Times New Roman" w:hAnsi="Times New Roman" w:cs="Times New Roman"/>
          <w:sz w:val="24"/>
          <w:szCs w:val="24"/>
        </w:rPr>
        <w:t>Characteristics of the human capital workforce.</w:t>
      </w:r>
    </w:p>
    <w:tbl>
      <w:tblPr>
        <w:tblW w:w="9239" w:type="dxa"/>
        <w:tblCellMar>
          <w:left w:w="0" w:type="dxa"/>
          <w:right w:w="0" w:type="dxa"/>
        </w:tblCellMar>
        <w:tblLook w:val="04A0" w:firstRow="1" w:lastRow="0" w:firstColumn="1" w:lastColumn="0" w:noHBand="0" w:noVBand="1"/>
      </w:tblPr>
      <w:tblGrid>
        <w:gridCol w:w="7110"/>
        <w:gridCol w:w="2129"/>
      </w:tblGrid>
      <w:tr w:rsidR="003347EA" w:rsidRPr="002C435C" w14:paraId="448A06D6" w14:textId="77777777" w:rsidTr="00624901">
        <w:trPr>
          <w:trHeight w:val="287"/>
        </w:trPr>
        <w:tc>
          <w:tcPr>
            <w:tcW w:w="711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30849A" w14:textId="77777777" w:rsidR="00DA2BA5" w:rsidRPr="002C435C" w:rsidRDefault="00DA2BA5" w:rsidP="00DA2BA5">
            <w:pPr>
              <w:spacing w:after="0"/>
              <w:rPr>
                <w:rFonts w:ascii="Times New Roman" w:hAnsi="Times New Roman" w:cs="Times New Roman"/>
                <w:sz w:val="24"/>
                <w:szCs w:val="24"/>
                <w:lang w:val="en-US"/>
              </w:rPr>
            </w:pPr>
            <w:r w:rsidRPr="002C435C">
              <w:rPr>
                <w:rFonts w:ascii="Times New Roman" w:hAnsi="Times New Roman" w:cs="Times New Roman"/>
                <w:sz w:val="24"/>
                <w:szCs w:val="24"/>
              </w:rPr>
              <w:t> </w:t>
            </w:r>
          </w:p>
        </w:tc>
        <w:tc>
          <w:tcPr>
            <w:tcW w:w="212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45BE5C2"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 </w:t>
            </w:r>
          </w:p>
        </w:tc>
      </w:tr>
      <w:tr w:rsidR="003347EA" w:rsidRPr="002C435C" w14:paraId="2C1C196E"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3524E4"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D54745" w14:textId="19C4A8F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425</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357</w:t>
            </w:r>
          </w:p>
        </w:tc>
      </w:tr>
      <w:tr w:rsidR="003347EA" w:rsidRPr="002C435C" w14:paraId="2331D706"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4D085200"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Years of follow-up, median; mean (</w:t>
            </w:r>
            <w:proofErr w:type="spellStart"/>
            <w:r w:rsidRPr="002C435C">
              <w:rPr>
                <w:rFonts w:ascii="Times New Roman" w:hAnsi="Times New Roman" w:cs="Times New Roman"/>
                <w:sz w:val="24"/>
                <w:szCs w:val="24"/>
              </w:rPr>
              <w:t>sd</w:t>
            </w:r>
            <w:proofErr w:type="spellEnd"/>
            <w:r w:rsidRPr="002C435C">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3E96F3" w14:textId="7777777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14; 13 (6)</w:t>
            </w:r>
          </w:p>
        </w:tc>
      </w:tr>
      <w:tr w:rsidR="003347EA" w:rsidRPr="002C435C" w14:paraId="64B2DEC2"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4A12C67D"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Age at the start of the follow-up, median; mean (</w:t>
            </w:r>
            <w:proofErr w:type="spellStart"/>
            <w:r w:rsidRPr="002C435C">
              <w:rPr>
                <w:rFonts w:ascii="Times New Roman" w:hAnsi="Times New Roman" w:cs="Times New Roman"/>
                <w:sz w:val="24"/>
                <w:szCs w:val="24"/>
              </w:rPr>
              <w:t>sd</w:t>
            </w:r>
            <w:proofErr w:type="spellEnd"/>
            <w:r w:rsidRPr="002C435C">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5583EC" w14:textId="7777777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50; 49 (10)</w:t>
            </w:r>
          </w:p>
        </w:tc>
      </w:tr>
      <w:tr w:rsidR="003347EA" w:rsidRPr="002C435C" w14:paraId="6E9AC844"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189324"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People with diabetes prior to end of follow-up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D19DAC" w14:textId="2892B924"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307</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558 (72)</w:t>
            </w:r>
          </w:p>
        </w:tc>
      </w:tr>
      <w:tr w:rsidR="003347EA" w:rsidRPr="002C435C" w14:paraId="1904A5D6"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4301D16A"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Age at diabetes diagnosis, median; mean (</w:t>
            </w:r>
            <w:proofErr w:type="spellStart"/>
            <w:r w:rsidRPr="002C435C">
              <w:rPr>
                <w:rFonts w:ascii="Times New Roman" w:hAnsi="Times New Roman" w:cs="Times New Roman"/>
                <w:sz w:val="24"/>
                <w:szCs w:val="24"/>
              </w:rPr>
              <w:t>sd</w:t>
            </w:r>
            <w:proofErr w:type="spellEnd"/>
            <w:r w:rsidRPr="002C435C">
              <w:rPr>
                <w:rFonts w:ascii="Times New Roman" w:hAnsi="Times New Roman" w:cs="Times New Roman"/>
                <w:sz w:val="24"/>
                <w:szCs w:val="24"/>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CB9AF6" w14:textId="7777777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58; 57 (11)</w:t>
            </w:r>
          </w:p>
        </w:tc>
      </w:tr>
      <w:tr w:rsidR="003347EA" w:rsidRPr="002C435C" w14:paraId="55BAD883"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5ACDBE"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People with substance use disorder, n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93EB68" w14:textId="1FD5506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35</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004 (8)</w:t>
            </w:r>
          </w:p>
        </w:tc>
      </w:tr>
      <w:tr w:rsidR="003347EA" w:rsidRPr="002C435C" w14:paraId="68A5D78B" w14:textId="77777777" w:rsidTr="00624901">
        <w:trPr>
          <w:trHeight w:val="323"/>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7C10EA5C"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Age at first substance use disorder episode, median; mean (</w:t>
            </w:r>
            <w:proofErr w:type="spellStart"/>
            <w:r w:rsidRPr="002C435C">
              <w:rPr>
                <w:rFonts w:ascii="Times New Roman" w:hAnsi="Times New Roman" w:cs="Times New Roman"/>
                <w:sz w:val="24"/>
                <w:szCs w:val="24"/>
              </w:rPr>
              <w:t>sd</w:t>
            </w:r>
            <w:proofErr w:type="spellEnd"/>
            <w:r w:rsidRPr="002C435C">
              <w:rPr>
                <w:rFonts w:ascii="Times New Roman" w:hAnsi="Times New Roman" w:cs="Times New Roman"/>
                <w:sz w:val="24"/>
                <w:szCs w:val="24"/>
              </w:rPr>
              <w:t>)</w:t>
            </w:r>
            <w:r w:rsidRPr="002C435C">
              <w:rPr>
                <w:rFonts w:ascii="Times New Roman" w:hAnsi="Times New Roman" w:cs="Times New Roman"/>
                <w:sz w:val="24"/>
                <w:szCs w:val="24"/>
                <w:vertAlign w:val="superscript"/>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FBC448" w14:textId="7777777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53; 52 (10)</w:t>
            </w:r>
          </w:p>
        </w:tc>
      </w:tr>
      <w:tr w:rsidR="003347EA" w:rsidRPr="002C435C" w14:paraId="598CCA5D"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4AE416"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People with depression, n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1CEBBE" w14:textId="557A4D58"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46</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975 (11)</w:t>
            </w:r>
          </w:p>
        </w:tc>
      </w:tr>
      <w:tr w:rsidR="003347EA" w:rsidRPr="002C435C" w14:paraId="090FA302" w14:textId="77777777" w:rsidTr="00624901">
        <w:trPr>
          <w:trHeight w:val="323"/>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093C32D2"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Age at first depression episode, median; mean (</w:t>
            </w:r>
            <w:proofErr w:type="spellStart"/>
            <w:r w:rsidRPr="002C435C">
              <w:rPr>
                <w:rFonts w:ascii="Times New Roman" w:hAnsi="Times New Roman" w:cs="Times New Roman"/>
                <w:sz w:val="24"/>
                <w:szCs w:val="24"/>
              </w:rPr>
              <w:t>sd</w:t>
            </w:r>
            <w:proofErr w:type="spellEnd"/>
            <w:r w:rsidRPr="002C435C">
              <w:rPr>
                <w:rFonts w:ascii="Times New Roman" w:hAnsi="Times New Roman" w:cs="Times New Roman"/>
                <w:sz w:val="24"/>
                <w:szCs w:val="24"/>
              </w:rPr>
              <w:t>)</w:t>
            </w:r>
            <w:r w:rsidRPr="002C435C">
              <w:rPr>
                <w:rFonts w:ascii="Times New Roman" w:hAnsi="Times New Roman" w:cs="Times New Roman"/>
                <w:sz w:val="24"/>
                <w:szCs w:val="24"/>
                <w:vertAlign w:val="super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765E61" w14:textId="77777777"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52; 51 (11)</w:t>
            </w:r>
          </w:p>
        </w:tc>
      </w:tr>
      <w:tr w:rsidR="003347EA" w:rsidRPr="002C435C" w14:paraId="0732EF27"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ED2931"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Employment status, n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520FC0" w14:textId="77777777" w:rsidR="00DA2BA5" w:rsidRPr="002C435C" w:rsidRDefault="00DA2BA5" w:rsidP="00DA2BA5">
            <w:pPr>
              <w:spacing w:after="0"/>
              <w:rPr>
                <w:rFonts w:ascii="Times New Roman" w:hAnsi="Times New Roman" w:cs="Times New Roman"/>
                <w:sz w:val="24"/>
                <w:szCs w:val="24"/>
              </w:rPr>
            </w:pPr>
          </w:p>
        </w:tc>
      </w:tr>
      <w:tr w:rsidR="003347EA" w:rsidRPr="002C435C" w14:paraId="2F2760A4"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480D59B3"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Blue collar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36FA26" w14:textId="72B20734"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109</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058 (26)</w:t>
            </w:r>
          </w:p>
        </w:tc>
      </w:tr>
      <w:tr w:rsidR="003347EA" w:rsidRPr="002C435C" w14:paraId="72067FEE"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14B34F71"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Self-employed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FB700D" w14:textId="32CB56EB"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38</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980 (9)</w:t>
            </w:r>
          </w:p>
        </w:tc>
      </w:tr>
      <w:tr w:rsidR="003347EA" w:rsidRPr="002C435C" w14:paraId="20BB237C"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7E66CC29"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White collar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B34717" w14:textId="3DD2471E"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126</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331 (30)</w:t>
            </w:r>
          </w:p>
        </w:tc>
      </w:tr>
      <w:tr w:rsidR="003347EA" w:rsidRPr="002C435C" w14:paraId="370D20D5" w14:textId="77777777" w:rsidTr="00624901">
        <w:trPr>
          <w:trHeight w:val="323"/>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464D15A0"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Other</w:t>
            </w:r>
            <w:r w:rsidRPr="002C435C">
              <w:rPr>
                <w:rFonts w:ascii="Times New Roman" w:hAnsi="Times New Roman" w:cs="Times New Roman"/>
                <w:sz w:val="24"/>
                <w:szCs w:val="24"/>
                <w:vertAlign w:val="superscript"/>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438334" w14:textId="46FF2A42"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150</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988 (35)</w:t>
            </w:r>
          </w:p>
        </w:tc>
      </w:tr>
      <w:tr w:rsidR="003347EA" w:rsidRPr="002C435C" w14:paraId="1F360576"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15509"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Education level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1802F3" w14:textId="77777777" w:rsidR="00DA2BA5" w:rsidRPr="002C435C" w:rsidRDefault="00DA2BA5" w:rsidP="00DA2BA5">
            <w:pPr>
              <w:spacing w:after="0"/>
              <w:rPr>
                <w:rFonts w:ascii="Times New Roman" w:hAnsi="Times New Roman" w:cs="Times New Roman"/>
                <w:sz w:val="24"/>
                <w:szCs w:val="24"/>
              </w:rPr>
            </w:pPr>
          </w:p>
        </w:tc>
      </w:tr>
      <w:tr w:rsidR="003347EA" w:rsidRPr="002C435C" w14:paraId="3EB35622"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767C49E5"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Primary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2BC1B7" w14:textId="580593FD"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174</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742 (41)</w:t>
            </w:r>
          </w:p>
        </w:tc>
      </w:tr>
      <w:tr w:rsidR="003347EA" w:rsidRPr="002C435C" w14:paraId="25651885"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00FC293A"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Secondary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C6457F" w14:textId="690B22E1"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204</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346 (48)</w:t>
            </w:r>
          </w:p>
        </w:tc>
      </w:tr>
      <w:tr w:rsidR="003347EA" w:rsidRPr="002C435C" w14:paraId="47758957"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326A5D2A"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Tertiary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84EC99" w14:textId="6B460700"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46</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269 (11)</w:t>
            </w:r>
          </w:p>
        </w:tc>
      </w:tr>
      <w:tr w:rsidR="003347EA" w:rsidRPr="002C435C" w14:paraId="70B5ECBA"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22ADB2"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Gender, n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6E2608" w14:textId="77777777" w:rsidR="00DA2BA5" w:rsidRPr="002C435C" w:rsidRDefault="00DA2BA5" w:rsidP="00DA2BA5">
            <w:pPr>
              <w:spacing w:after="0"/>
              <w:rPr>
                <w:rFonts w:ascii="Times New Roman" w:hAnsi="Times New Roman" w:cs="Times New Roman"/>
                <w:sz w:val="24"/>
                <w:szCs w:val="24"/>
              </w:rPr>
            </w:pPr>
          </w:p>
        </w:tc>
      </w:tr>
      <w:tr w:rsidR="003347EA" w:rsidRPr="002C435C" w14:paraId="320BC64D"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0E479B07"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Men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130DF8" w14:textId="292CAE8A"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244</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240 (57)</w:t>
            </w:r>
          </w:p>
        </w:tc>
      </w:tr>
      <w:tr w:rsidR="003347EA" w:rsidRPr="002C435C" w14:paraId="0542CD9E"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08C33E56"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Women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3B0BDC" w14:textId="3230BC79"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181</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117 (43)</w:t>
            </w:r>
          </w:p>
        </w:tc>
      </w:tr>
      <w:tr w:rsidR="003347EA" w:rsidRPr="002C435C" w14:paraId="4DC77EF8" w14:textId="77777777" w:rsidTr="00624901">
        <w:trPr>
          <w:trHeight w:val="28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D6DFF1" w14:textId="77777777" w:rsidR="00DA2BA5" w:rsidRPr="002C435C" w:rsidRDefault="00DA2BA5" w:rsidP="00DA2BA5">
            <w:pPr>
              <w:spacing w:after="0"/>
              <w:rPr>
                <w:rFonts w:ascii="Times New Roman" w:hAnsi="Times New Roman" w:cs="Times New Roman"/>
                <w:sz w:val="24"/>
                <w:szCs w:val="24"/>
              </w:rPr>
            </w:pPr>
            <w:r w:rsidRPr="002C435C">
              <w:rPr>
                <w:rFonts w:ascii="Times New Roman" w:hAnsi="Times New Roman" w:cs="Times New Roman"/>
                <w:sz w:val="24"/>
                <w:szCs w:val="24"/>
              </w:rPr>
              <w:t>Birth cohort, n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5A0D92" w14:textId="77777777" w:rsidR="00DA2BA5" w:rsidRPr="002C435C" w:rsidRDefault="00DA2BA5" w:rsidP="00DA2BA5">
            <w:pPr>
              <w:spacing w:after="0"/>
              <w:rPr>
                <w:rFonts w:ascii="Times New Roman" w:hAnsi="Times New Roman" w:cs="Times New Roman"/>
                <w:sz w:val="24"/>
                <w:szCs w:val="24"/>
              </w:rPr>
            </w:pPr>
          </w:p>
        </w:tc>
      </w:tr>
      <w:tr w:rsidR="003347EA" w:rsidRPr="002C435C" w14:paraId="242BA515"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795EBD44"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1930s and 1940s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8FDD5A" w14:textId="503F7665"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235</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580 (55)</w:t>
            </w:r>
          </w:p>
        </w:tc>
      </w:tr>
      <w:tr w:rsidR="003347EA" w:rsidRPr="002C435C" w14:paraId="7DA49047" w14:textId="77777777" w:rsidTr="00624901">
        <w:trPr>
          <w:trHeight w:val="287"/>
        </w:trPr>
        <w:tc>
          <w:tcPr>
            <w:tcW w:w="0" w:type="auto"/>
            <w:tcBorders>
              <w:top w:val="nil"/>
              <w:left w:val="nil"/>
              <w:bottom w:val="nil"/>
              <w:right w:val="nil"/>
            </w:tcBorders>
            <w:shd w:val="clear" w:color="auto" w:fill="auto"/>
            <w:noWrap/>
            <w:tcMar>
              <w:top w:w="15" w:type="dxa"/>
              <w:left w:w="180" w:type="dxa"/>
              <w:bottom w:w="0" w:type="dxa"/>
              <w:right w:w="15" w:type="dxa"/>
            </w:tcMar>
            <w:vAlign w:val="bottom"/>
            <w:hideMark/>
          </w:tcPr>
          <w:p w14:paraId="3968D2DF"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1950s and 1960s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6E905A" w14:textId="2DADE279"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168</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084 (40)</w:t>
            </w:r>
          </w:p>
        </w:tc>
      </w:tr>
      <w:tr w:rsidR="003347EA" w:rsidRPr="002C435C" w14:paraId="47E457ED" w14:textId="77777777" w:rsidTr="00624901">
        <w:trPr>
          <w:trHeight w:val="287"/>
        </w:trPr>
        <w:tc>
          <w:tcPr>
            <w:tcW w:w="0" w:type="auto"/>
            <w:tcBorders>
              <w:top w:val="nil"/>
              <w:left w:val="nil"/>
              <w:bottom w:val="single" w:sz="4" w:space="0" w:color="auto"/>
              <w:right w:val="nil"/>
            </w:tcBorders>
            <w:shd w:val="clear" w:color="auto" w:fill="auto"/>
            <w:noWrap/>
            <w:tcMar>
              <w:top w:w="15" w:type="dxa"/>
              <w:left w:w="180" w:type="dxa"/>
              <w:bottom w:w="0" w:type="dxa"/>
              <w:right w:w="15" w:type="dxa"/>
            </w:tcMar>
            <w:vAlign w:val="bottom"/>
            <w:hideMark/>
          </w:tcPr>
          <w:p w14:paraId="2D3FEDDA" w14:textId="77777777" w:rsidR="00DA2BA5" w:rsidRPr="002C435C" w:rsidRDefault="00DA2BA5" w:rsidP="00DA2BA5">
            <w:pPr>
              <w:spacing w:after="0"/>
              <w:ind w:firstLineChars="100" w:firstLine="240"/>
              <w:rPr>
                <w:rFonts w:ascii="Times New Roman" w:hAnsi="Times New Roman" w:cs="Times New Roman"/>
                <w:sz w:val="24"/>
                <w:szCs w:val="24"/>
              </w:rPr>
            </w:pPr>
            <w:r w:rsidRPr="002C435C">
              <w:rPr>
                <w:rFonts w:ascii="Times New Roman" w:hAnsi="Times New Roman" w:cs="Times New Roman"/>
                <w:sz w:val="24"/>
                <w:szCs w:val="24"/>
              </w:rPr>
              <w:t>1970s and 1980s</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89499FE" w14:textId="02D61760" w:rsidR="00DA2BA5" w:rsidRPr="002C435C" w:rsidRDefault="00DA2BA5" w:rsidP="00DA2BA5">
            <w:pPr>
              <w:spacing w:after="0"/>
              <w:jc w:val="right"/>
              <w:rPr>
                <w:rFonts w:ascii="Times New Roman" w:hAnsi="Times New Roman" w:cs="Times New Roman"/>
                <w:sz w:val="24"/>
                <w:szCs w:val="24"/>
              </w:rPr>
            </w:pPr>
            <w:r w:rsidRPr="002C435C">
              <w:rPr>
                <w:rFonts w:ascii="Times New Roman" w:hAnsi="Times New Roman" w:cs="Times New Roman"/>
                <w:sz w:val="24"/>
                <w:szCs w:val="24"/>
              </w:rPr>
              <w:t>21</w:t>
            </w:r>
            <w:r w:rsidR="00624901" w:rsidRPr="002C435C">
              <w:rPr>
                <w:rFonts w:ascii="Times New Roman" w:hAnsi="Times New Roman" w:cs="Times New Roman"/>
                <w:sz w:val="24"/>
                <w:szCs w:val="24"/>
              </w:rPr>
              <w:t>,</w:t>
            </w:r>
            <w:r w:rsidRPr="002C435C">
              <w:rPr>
                <w:rFonts w:ascii="Times New Roman" w:hAnsi="Times New Roman" w:cs="Times New Roman"/>
                <w:sz w:val="24"/>
                <w:szCs w:val="24"/>
              </w:rPr>
              <w:t>693 (5)</w:t>
            </w:r>
          </w:p>
        </w:tc>
      </w:tr>
    </w:tbl>
    <w:p w14:paraId="7F7F5546" w14:textId="1E0DF0D9" w:rsidR="00126D10" w:rsidRPr="002C435C" w:rsidRDefault="00DA2BA5" w:rsidP="00126D10">
      <w:pPr>
        <w:spacing w:after="0" w:line="240" w:lineRule="auto"/>
        <w:rPr>
          <w:rFonts w:ascii="Times New Roman" w:hAnsi="Times New Roman" w:cs="Times New Roman"/>
          <w:sz w:val="24"/>
          <w:szCs w:val="24"/>
          <w:lang w:val="en-US"/>
        </w:rPr>
      </w:pPr>
      <w:r w:rsidRPr="002C435C">
        <w:rPr>
          <w:rFonts w:ascii="Times New Roman" w:hAnsi="Times New Roman" w:cs="Times New Roman"/>
          <w:sz w:val="24"/>
          <w:szCs w:val="24"/>
          <w:vertAlign w:val="superscript"/>
          <w:lang w:val="en-US"/>
        </w:rPr>
        <w:t xml:space="preserve"> </w:t>
      </w:r>
      <w:r w:rsidR="00126D10" w:rsidRPr="002C435C">
        <w:rPr>
          <w:rFonts w:ascii="Times New Roman" w:hAnsi="Times New Roman" w:cs="Times New Roman"/>
          <w:sz w:val="24"/>
          <w:szCs w:val="24"/>
          <w:vertAlign w:val="superscript"/>
          <w:lang w:val="en-US"/>
        </w:rPr>
        <w:t>1, 2</w:t>
      </w:r>
      <w:r w:rsidR="00126D10" w:rsidRPr="002C435C">
        <w:rPr>
          <w:rFonts w:ascii="Times New Roman" w:hAnsi="Times New Roman" w:cs="Times New Roman"/>
          <w:sz w:val="24"/>
          <w:szCs w:val="24"/>
          <w:lang w:val="en-US"/>
        </w:rPr>
        <w:t xml:space="preserve"> First event refers to the first event identified during the follow-up.</w:t>
      </w:r>
    </w:p>
    <w:p w14:paraId="52F75471" w14:textId="77777777" w:rsidR="00126D10" w:rsidRPr="002C435C" w:rsidRDefault="00126D10" w:rsidP="00126D10">
      <w:pPr>
        <w:spacing w:after="0" w:line="240" w:lineRule="auto"/>
        <w:rPr>
          <w:rFonts w:ascii="Times New Roman" w:hAnsi="Times New Roman" w:cs="Times New Roman"/>
          <w:sz w:val="24"/>
          <w:szCs w:val="24"/>
          <w:lang w:val="en-US"/>
        </w:rPr>
      </w:pPr>
      <w:r w:rsidRPr="002C435C">
        <w:rPr>
          <w:rFonts w:ascii="Times New Roman" w:hAnsi="Times New Roman" w:cs="Times New Roman"/>
          <w:sz w:val="24"/>
          <w:szCs w:val="24"/>
          <w:vertAlign w:val="superscript"/>
          <w:lang w:val="en-US"/>
        </w:rPr>
        <w:t>3</w:t>
      </w:r>
      <w:r w:rsidRPr="002C435C">
        <w:rPr>
          <w:rFonts w:ascii="Times New Roman" w:hAnsi="Times New Roman" w:cs="Times New Roman"/>
          <w:sz w:val="24"/>
          <w:szCs w:val="24"/>
          <w:lang w:val="en-US"/>
        </w:rPr>
        <w:t xml:space="preserve"> Other category includes people for which employment status was not available in the data.</w:t>
      </w:r>
    </w:p>
    <w:p w14:paraId="752A0D00" w14:textId="346990D3" w:rsidR="00BF4407" w:rsidRPr="003347EA" w:rsidRDefault="00126D10" w:rsidP="00BF4407">
      <w:pPr>
        <w:spacing w:after="0" w:line="240" w:lineRule="auto"/>
        <w:rPr>
          <w:rFonts w:ascii="Times New Roman" w:hAnsi="Times New Roman" w:cs="Times New Roman"/>
          <w:lang w:val="en-US"/>
        </w:rPr>
      </w:pPr>
      <w:r w:rsidRPr="002C435C">
        <w:rPr>
          <w:rFonts w:ascii="Times New Roman" w:hAnsi="Times New Roman" w:cs="Times New Roman"/>
          <w:sz w:val="24"/>
          <w:szCs w:val="24"/>
          <w:lang w:val="en-US"/>
        </w:rPr>
        <w:t>Due to rounding, percentages do not sum up to 100.</w:t>
      </w:r>
      <w:r w:rsidR="00BF4407" w:rsidRPr="002C435C">
        <w:rPr>
          <w:rFonts w:ascii="Times New Roman" w:hAnsi="Times New Roman" w:cs="Times New Roman"/>
          <w:b/>
          <w:bCs/>
          <w:sz w:val="24"/>
          <w:szCs w:val="24"/>
        </w:rPr>
        <w:br w:type="page"/>
      </w:r>
    </w:p>
    <w:p w14:paraId="394EA1A6" w14:textId="2D97886D" w:rsidR="00BF4407" w:rsidRPr="002C435C" w:rsidRDefault="006E2EA2" w:rsidP="00BF4407">
      <w:pPr>
        <w:rPr>
          <w:rFonts w:ascii="Times New Roman" w:hAnsi="Times New Roman" w:cs="Times New Roman"/>
          <w:sz w:val="24"/>
          <w:szCs w:val="24"/>
        </w:rPr>
      </w:pPr>
      <w:r w:rsidRPr="002C435C">
        <w:rPr>
          <w:rFonts w:ascii="Times New Roman" w:hAnsi="Times New Roman" w:cs="Times New Roman"/>
          <w:b/>
          <w:bCs/>
          <w:sz w:val="24"/>
          <w:szCs w:val="24"/>
        </w:rPr>
        <w:lastRenderedPageBreak/>
        <w:t xml:space="preserve">ESM </w:t>
      </w:r>
      <w:r w:rsidR="00BF4407" w:rsidRPr="002C435C">
        <w:rPr>
          <w:rFonts w:ascii="Times New Roman" w:hAnsi="Times New Roman" w:cs="Times New Roman"/>
          <w:b/>
          <w:bCs/>
          <w:sz w:val="24"/>
          <w:szCs w:val="24"/>
        </w:rPr>
        <w:t xml:space="preserve">Table 2. </w:t>
      </w:r>
      <w:r w:rsidR="00BF4407" w:rsidRPr="002C435C">
        <w:rPr>
          <w:rFonts w:ascii="Times New Roman" w:hAnsi="Times New Roman" w:cs="Times New Roman"/>
          <w:sz w:val="24"/>
          <w:szCs w:val="24"/>
        </w:rPr>
        <w:t>Statistics on difference in diagnosis times of type 2 diabetes and examined comorbidities. Age range 52-56 and 40-44 includes the median and 10</w:t>
      </w:r>
      <w:r w:rsidR="00BF4407" w:rsidRPr="002C435C">
        <w:rPr>
          <w:rFonts w:ascii="Times New Roman" w:hAnsi="Times New Roman" w:cs="Times New Roman"/>
          <w:sz w:val="24"/>
          <w:szCs w:val="24"/>
          <w:vertAlign w:val="superscript"/>
        </w:rPr>
        <w:t>th</w:t>
      </w:r>
      <w:r w:rsidR="00BF4407" w:rsidRPr="002C435C">
        <w:rPr>
          <w:rFonts w:ascii="Times New Roman" w:hAnsi="Times New Roman" w:cs="Times New Roman"/>
          <w:sz w:val="24"/>
          <w:szCs w:val="24"/>
        </w:rPr>
        <w:t xml:space="preserve"> percentile of age at diabetes diagnosis within the FC workforce who had diabetes diagnosed after age 30 and prior to retirement.  </w:t>
      </w:r>
    </w:p>
    <w:p w14:paraId="25B27490" w14:textId="77777777" w:rsidR="00412F90" w:rsidRPr="002C435C" w:rsidRDefault="00412F90" w:rsidP="00BF4407">
      <w:pPr>
        <w:rPr>
          <w:rFonts w:ascii="Times New Roman" w:hAnsi="Times New Roman" w:cs="Times New Roman"/>
          <w:sz w:val="24"/>
          <w:szCs w:val="24"/>
          <w:lang w:val="en-US"/>
        </w:rPr>
      </w:pPr>
    </w:p>
    <w:tbl>
      <w:tblPr>
        <w:tblW w:w="9135" w:type="dxa"/>
        <w:tblLayout w:type="fixed"/>
        <w:tblCellMar>
          <w:left w:w="0" w:type="dxa"/>
          <w:right w:w="0" w:type="dxa"/>
        </w:tblCellMar>
        <w:tblLook w:val="04A0" w:firstRow="1" w:lastRow="0" w:firstColumn="1" w:lastColumn="0" w:noHBand="0" w:noVBand="1"/>
      </w:tblPr>
      <w:tblGrid>
        <w:gridCol w:w="1652"/>
        <w:gridCol w:w="1870"/>
        <w:gridCol w:w="1871"/>
        <w:gridCol w:w="1871"/>
        <w:gridCol w:w="1871"/>
      </w:tblGrid>
      <w:tr w:rsidR="003347EA" w:rsidRPr="002C435C" w14:paraId="4937BB5C" w14:textId="77777777" w:rsidTr="00333D21">
        <w:trPr>
          <w:trHeight w:val="20"/>
        </w:trPr>
        <w:tc>
          <w:tcPr>
            <w:tcW w:w="1652" w:type="dxa"/>
            <w:noWrap/>
            <w:tcMar>
              <w:top w:w="0" w:type="dxa"/>
              <w:left w:w="70" w:type="dxa"/>
              <w:bottom w:w="0" w:type="dxa"/>
              <w:right w:w="70" w:type="dxa"/>
            </w:tcMar>
            <w:vAlign w:val="center"/>
            <w:hideMark/>
          </w:tcPr>
          <w:p w14:paraId="189C32BA" w14:textId="77777777" w:rsidR="00BF4407" w:rsidRPr="002C435C" w:rsidRDefault="00BF4407" w:rsidP="00412F90">
            <w:pPr>
              <w:spacing w:after="0" w:line="360" w:lineRule="auto"/>
              <w:rPr>
                <w:rFonts w:ascii="Times New Roman" w:hAnsi="Times New Roman" w:cs="Times New Roman"/>
                <w:sz w:val="24"/>
                <w:szCs w:val="24"/>
              </w:rPr>
            </w:pPr>
          </w:p>
        </w:tc>
        <w:tc>
          <w:tcPr>
            <w:tcW w:w="3741" w:type="dxa"/>
            <w:gridSpan w:val="2"/>
            <w:tcBorders>
              <w:top w:val="nil"/>
              <w:left w:val="nil"/>
              <w:bottom w:val="single" w:sz="8" w:space="0" w:color="auto"/>
              <w:right w:val="nil"/>
            </w:tcBorders>
            <w:tcMar>
              <w:top w:w="0" w:type="dxa"/>
              <w:left w:w="70" w:type="dxa"/>
              <w:bottom w:w="0" w:type="dxa"/>
              <w:right w:w="70" w:type="dxa"/>
            </w:tcMar>
            <w:vAlign w:val="center"/>
            <w:hideMark/>
          </w:tcPr>
          <w:p w14:paraId="3B52BFBE" w14:textId="56DF8137" w:rsidR="00BF4407" w:rsidRPr="002C435C" w:rsidRDefault="00BF4407" w:rsidP="00412F90">
            <w:pPr>
              <w:spacing w:after="0" w:line="360" w:lineRule="auto"/>
              <w:jc w:val="center"/>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 xml:space="preserve">People with diabetes diagnosis at 52-56 with </w:t>
            </w:r>
            <w:r w:rsidR="004A6991" w:rsidRPr="002C435C">
              <w:rPr>
                <w:rFonts w:ascii="Times New Roman" w:hAnsi="Times New Roman" w:cs="Times New Roman"/>
                <w:sz w:val="24"/>
                <w:szCs w:val="24"/>
                <w:lang w:val="en-US" w:eastAsia="fi-FI"/>
              </w:rPr>
              <w:t xml:space="preserve">a </w:t>
            </w:r>
            <w:r w:rsidRPr="002C435C">
              <w:rPr>
                <w:rFonts w:ascii="Times New Roman" w:hAnsi="Times New Roman" w:cs="Times New Roman"/>
                <w:sz w:val="24"/>
                <w:szCs w:val="24"/>
                <w:lang w:val="en-US" w:eastAsia="fi-FI"/>
              </w:rPr>
              <w:t>comorbidity diagnosis</w:t>
            </w:r>
          </w:p>
        </w:tc>
        <w:tc>
          <w:tcPr>
            <w:tcW w:w="3742" w:type="dxa"/>
            <w:gridSpan w:val="2"/>
            <w:tcBorders>
              <w:top w:val="nil"/>
              <w:left w:val="nil"/>
              <w:bottom w:val="single" w:sz="8" w:space="0" w:color="auto"/>
              <w:right w:val="nil"/>
            </w:tcBorders>
            <w:tcMar>
              <w:top w:w="0" w:type="dxa"/>
              <w:left w:w="70" w:type="dxa"/>
              <w:bottom w:w="0" w:type="dxa"/>
              <w:right w:w="70" w:type="dxa"/>
            </w:tcMar>
            <w:vAlign w:val="center"/>
            <w:hideMark/>
          </w:tcPr>
          <w:p w14:paraId="7092C25F" w14:textId="449783B0" w:rsidR="00BF4407" w:rsidRPr="002C435C" w:rsidRDefault="00BF4407" w:rsidP="00412F90">
            <w:pPr>
              <w:spacing w:after="0" w:line="360" w:lineRule="auto"/>
              <w:jc w:val="center"/>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 xml:space="preserve">People with diabetes diagnosis at 40-44 with </w:t>
            </w:r>
            <w:r w:rsidR="00E658D8" w:rsidRPr="002C435C">
              <w:rPr>
                <w:rFonts w:ascii="Times New Roman" w:hAnsi="Times New Roman" w:cs="Times New Roman"/>
                <w:sz w:val="24"/>
                <w:szCs w:val="24"/>
                <w:lang w:val="en-US" w:eastAsia="fi-FI"/>
              </w:rPr>
              <w:t xml:space="preserve">a </w:t>
            </w:r>
            <w:r w:rsidRPr="002C435C">
              <w:rPr>
                <w:rFonts w:ascii="Times New Roman" w:hAnsi="Times New Roman" w:cs="Times New Roman"/>
                <w:sz w:val="24"/>
                <w:szCs w:val="24"/>
                <w:lang w:val="en-US" w:eastAsia="fi-FI"/>
              </w:rPr>
              <w:t>comorbidity diagnosis</w:t>
            </w:r>
          </w:p>
        </w:tc>
      </w:tr>
      <w:tr w:rsidR="003347EA" w:rsidRPr="002C435C" w14:paraId="6F385C99" w14:textId="77777777" w:rsidTr="00333D21">
        <w:trPr>
          <w:trHeight w:val="20"/>
        </w:trPr>
        <w:tc>
          <w:tcPr>
            <w:tcW w:w="1652" w:type="dxa"/>
            <w:tcBorders>
              <w:top w:val="nil"/>
              <w:left w:val="nil"/>
              <w:bottom w:val="single" w:sz="8" w:space="0" w:color="auto"/>
              <w:right w:val="nil"/>
            </w:tcBorders>
            <w:noWrap/>
            <w:tcMar>
              <w:top w:w="0" w:type="dxa"/>
              <w:left w:w="70" w:type="dxa"/>
              <w:bottom w:w="0" w:type="dxa"/>
              <w:right w:w="70" w:type="dxa"/>
            </w:tcMar>
            <w:vAlign w:val="center"/>
            <w:hideMark/>
          </w:tcPr>
          <w:p w14:paraId="7A1B9435" w14:textId="77777777" w:rsidR="00BF4407" w:rsidRPr="002C435C" w:rsidRDefault="00BF4407" w:rsidP="00412F90">
            <w:pPr>
              <w:spacing w:after="0" w:line="360" w:lineRule="auto"/>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 </w:t>
            </w:r>
          </w:p>
        </w:tc>
        <w:tc>
          <w:tcPr>
            <w:tcW w:w="1870" w:type="dxa"/>
            <w:tcBorders>
              <w:top w:val="nil"/>
              <w:left w:val="nil"/>
              <w:bottom w:val="single" w:sz="8" w:space="0" w:color="auto"/>
              <w:right w:val="nil"/>
            </w:tcBorders>
            <w:noWrap/>
            <w:tcMar>
              <w:top w:w="0" w:type="dxa"/>
              <w:left w:w="70" w:type="dxa"/>
              <w:bottom w:w="0" w:type="dxa"/>
              <w:right w:w="70" w:type="dxa"/>
            </w:tcMar>
            <w:vAlign w:val="center"/>
            <w:hideMark/>
          </w:tcPr>
          <w:p w14:paraId="0F11A2A7" w14:textId="77777777" w:rsidR="00BF4407" w:rsidRPr="002C435C" w:rsidRDefault="00BF4407" w:rsidP="00412F90">
            <w:pPr>
              <w:spacing w:after="0" w:line="360" w:lineRule="auto"/>
              <w:jc w:val="center"/>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Time from T2D to SUD</w:t>
            </w:r>
          </w:p>
        </w:tc>
        <w:tc>
          <w:tcPr>
            <w:tcW w:w="1871" w:type="dxa"/>
            <w:tcBorders>
              <w:top w:val="nil"/>
              <w:left w:val="nil"/>
              <w:bottom w:val="single" w:sz="8" w:space="0" w:color="auto"/>
              <w:right w:val="nil"/>
            </w:tcBorders>
            <w:noWrap/>
            <w:tcMar>
              <w:top w:w="0" w:type="dxa"/>
              <w:left w:w="70" w:type="dxa"/>
              <w:bottom w:w="0" w:type="dxa"/>
              <w:right w:w="70" w:type="dxa"/>
            </w:tcMar>
            <w:vAlign w:val="center"/>
            <w:hideMark/>
          </w:tcPr>
          <w:p w14:paraId="32999BA3" w14:textId="77777777" w:rsidR="00BF4407" w:rsidRPr="002C435C" w:rsidRDefault="00BF4407" w:rsidP="00412F90">
            <w:pPr>
              <w:spacing w:after="0" w:line="360" w:lineRule="auto"/>
              <w:jc w:val="center"/>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Time from T2D to DEP</w:t>
            </w:r>
          </w:p>
        </w:tc>
        <w:tc>
          <w:tcPr>
            <w:tcW w:w="1871" w:type="dxa"/>
            <w:tcBorders>
              <w:top w:val="nil"/>
              <w:left w:val="nil"/>
              <w:bottom w:val="single" w:sz="8" w:space="0" w:color="auto"/>
              <w:right w:val="nil"/>
            </w:tcBorders>
            <w:noWrap/>
            <w:tcMar>
              <w:top w:w="0" w:type="dxa"/>
              <w:left w:w="70" w:type="dxa"/>
              <w:bottom w:w="0" w:type="dxa"/>
              <w:right w:w="70" w:type="dxa"/>
            </w:tcMar>
            <w:vAlign w:val="center"/>
            <w:hideMark/>
          </w:tcPr>
          <w:p w14:paraId="49F4942E" w14:textId="77777777" w:rsidR="00BF4407" w:rsidRPr="002C435C" w:rsidRDefault="00BF4407" w:rsidP="00412F90">
            <w:pPr>
              <w:spacing w:after="0" w:line="360" w:lineRule="auto"/>
              <w:jc w:val="center"/>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Time from T2D to SUD</w:t>
            </w:r>
          </w:p>
        </w:tc>
        <w:tc>
          <w:tcPr>
            <w:tcW w:w="1871" w:type="dxa"/>
            <w:tcBorders>
              <w:top w:val="nil"/>
              <w:left w:val="nil"/>
              <w:bottom w:val="single" w:sz="8" w:space="0" w:color="auto"/>
              <w:right w:val="nil"/>
            </w:tcBorders>
            <w:noWrap/>
            <w:tcMar>
              <w:top w:w="0" w:type="dxa"/>
              <w:left w:w="70" w:type="dxa"/>
              <w:bottom w:w="0" w:type="dxa"/>
              <w:right w:w="70" w:type="dxa"/>
            </w:tcMar>
            <w:vAlign w:val="center"/>
            <w:hideMark/>
          </w:tcPr>
          <w:p w14:paraId="46E58BFE" w14:textId="77777777" w:rsidR="00BF4407" w:rsidRPr="002C435C" w:rsidRDefault="00BF4407" w:rsidP="00412F90">
            <w:pPr>
              <w:spacing w:after="0" w:line="360" w:lineRule="auto"/>
              <w:jc w:val="center"/>
              <w:rPr>
                <w:rFonts w:ascii="Times New Roman" w:hAnsi="Times New Roman" w:cs="Times New Roman"/>
                <w:sz w:val="24"/>
                <w:szCs w:val="24"/>
                <w:lang w:val="en-US" w:eastAsia="fi-FI"/>
              </w:rPr>
            </w:pPr>
            <w:r w:rsidRPr="002C435C">
              <w:rPr>
                <w:rFonts w:ascii="Times New Roman" w:hAnsi="Times New Roman" w:cs="Times New Roman"/>
                <w:sz w:val="24"/>
                <w:szCs w:val="24"/>
                <w:lang w:val="en-US" w:eastAsia="fi-FI"/>
              </w:rPr>
              <w:t>Time from T2D to DEP</w:t>
            </w:r>
          </w:p>
        </w:tc>
      </w:tr>
      <w:tr w:rsidR="003347EA" w:rsidRPr="002C435C" w14:paraId="51E83986" w14:textId="77777777" w:rsidTr="00333D21">
        <w:trPr>
          <w:trHeight w:val="20"/>
        </w:trPr>
        <w:tc>
          <w:tcPr>
            <w:tcW w:w="1652" w:type="dxa"/>
            <w:noWrap/>
            <w:tcMar>
              <w:top w:w="0" w:type="dxa"/>
              <w:left w:w="70" w:type="dxa"/>
              <w:bottom w:w="0" w:type="dxa"/>
              <w:right w:w="70" w:type="dxa"/>
            </w:tcMar>
            <w:vAlign w:val="center"/>
            <w:hideMark/>
          </w:tcPr>
          <w:p w14:paraId="604544CE" w14:textId="77777777" w:rsidR="00BF4407" w:rsidRPr="002C435C" w:rsidRDefault="00BF4407" w:rsidP="00412F90">
            <w:pPr>
              <w:spacing w:after="0" w:line="360" w:lineRule="auto"/>
              <w:rPr>
                <w:rFonts w:ascii="Times New Roman" w:hAnsi="Times New Roman" w:cs="Times New Roman"/>
                <w:sz w:val="24"/>
                <w:szCs w:val="24"/>
                <w:lang w:val="fi-FI" w:eastAsia="fi-FI"/>
              </w:rPr>
            </w:pPr>
            <w:r w:rsidRPr="002C435C">
              <w:rPr>
                <w:rFonts w:ascii="Times New Roman" w:hAnsi="Times New Roman" w:cs="Times New Roman"/>
                <w:sz w:val="24"/>
                <w:szCs w:val="24"/>
                <w:lang w:eastAsia="fi-FI"/>
              </w:rPr>
              <w:t>N</w:t>
            </w:r>
          </w:p>
        </w:tc>
        <w:tc>
          <w:tcPr>
            <w:tcW w:w="1870" w:type="dxa"/>
            <w:noWrap/>
            <w:tcMar>
              <w:top w:w="0" w:type="dxa"/>
              <w:left w:w="70" w:type="dxa"/>
              <w:bottom w:w="0" w:type="dxa"/>
              <w:right w:w="70" w:type="dxa"/>
            </w:tcMar>
            <w:vAlign w:val="center"/>
            <w:hideMark/>
          </w:tcPr>
          <w:p w14:paraId="5C6D69FA"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5730</w:t>
            </w:r>
          </w:p>
        </w:tc>
        <w:tc>
          <w:tcPr>
            <w:tcW w:w="1871" w:type="dxa"/>
            <w:noWrap/>
            <w:tcMar>
              <w:top w:w="0" w:type="dxa"/>
              <w:left w:w="70" w:type="dxa"/>
              <w:bottom w:w="0" w:type="dxa"/>
              <w:right w:w="70" w:type="dxa"/>
            </w:tcMar>
            <w:vAlign w:val="center"/>
            <w:hideMark/>
          </w:tcPr>
          <w:p w14:paraId="6C877F2C"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7920</w:t>
            </w:r>
          </w:p>
        </w:tc>
        <w:tc>
          <w:tcPr>
            <w:tcW w:w="1871" w:type="dxa"/>
            <w:noWrap/>
            <w:tcMar>
              <w:top w:w="0" w:type="dxa"/>
              <w:left w:w="70" w:type="dxa"/>
              <w:bottom w:w="0" w:type="dxa"/>
              <w:right w:w="70" w:type="dxa"/>
            </w:tcMar>
            <w:vAlign w:val="center"/>
            <w:hideMark/>
          </w:tcPr>
          <w:p w14:paraId="2526B5A5"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1556</w:t>
            </w:r>
          </w:p>
        </w:tc>
        <w:tc>
          <w:tcPr>
            <w:tcW w:w="1871" w:type="dxa"/>
            <w:noWrap/>
            <w:tcMar>
              <w:top w:w="0" w:type="dxa"/>
              <w:left w:w="70" w:type="dxa"/>
              <w:bottom w:w="0" w:type="dxa"/>
              <w:right w:w="70" w:type="dxa"/>
            </w:tcMar>
            <w:vAlign w:val="center"/>
            <w:hideMark/>
          </w:tcPr>
          <w:p w14:paraId="59133BC1"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2210</w:t>
            </w:r>
          </w:p>
        </w:tc>
      </w:tr>
      <w:tr w:rsidR="003347EA" w:rsidRPr="002C435C" w14:paraId="1D3C3D93" w14:textId="77777777" w:rsidTr="00333D21">
        <w:trPr>
          <w:trHeight w:val="20"/>
        </w:trPr>
        <w:tc>
          <w:tcPr>
            <w:tcW w:w="1652" w:type="dxa"/>
            <w:noWrap/>
            <w:tcMar>
              <w:top w:w="0" w:type="dxa"/>
              <w:left w:w="70" w:type="dxa"/>
              <w:bottom w:w="0" w:type="dxa"/>
              <w:right w:w="70" w:type="dxa"/>
            </w:tcMar>
            <w:vAlign w:val="center"/>
            <w:hideMark/>
          </w:tcPr>
          <w:p w14:paraId="54F39E6C" w14:textId="77777777" w:rsidR="00BF4407" w:rsidRPr="002C435C" w:rsidRDefault="00BF4407" w:rsidP="00412F90">
            <w:pPr>
              <w:spacing w:after="0" w:line="360" w:lineRule="auto"/>
              <w:rPr>
                <w:rFonts w:ascii="Times New Roman" w:hAnsi="Times New Roman" w:cs="Times New Roman"/>
                <w:sz w:val="24"/>
                <w:szCs w:val="24"/>
                <w:lang w:eastAsia="fi-FI"/>
              </w:rPr>
            </w:pPr>
            <w:r w:rsidRPr="002C435C">
              <w:rPr>
                <w:rFonts w:ascii="Times New Roman" w:hAnsi="Times New Roman" w:cs="Times New Roman"/>
                <w:sz w:val="24"/>
                <w:szCs w:val="24"/>
                <w:lang w:eastAsia="fi-FI"/>
              </w:rPr>
              <w:t>10th percentile</w:t>
            </w:r>
          </w:p>
        </w:tc>
        <w:tc>
          <w:tcPr>
            <w:tcW w:w="1870" w:type="dxa"/>
            <w:noWrap/>
            <w:tcMar>
              <w:top w:w="0" w:type="dxa"/>
              <w:left w:w="70" w:type="dxa"/>
              <w:bottom w:w="0" w:type="dxa"/>
              <w:right w:w="70" w:type="dxa"/>
            </w:tcMar>
            <w:vAlign w:val="center"/>
            <w:hideMark/>
          </w:tcPr>
          <w:p w14:paraId="21117FC9"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-11</w:t>
            </w:r>
          </w:p>
        </w:tc>
        <w:tc>
          <w:tcPr>
            <w:tcW w:w="1871" w:type="dxa"/>
            <w:noWrap/>
            <w:tcMar>
              <w:top w:w="0" w:type="dxa"/>
              <w:left w:w="70" w:type="dxa"/>
              <w:bottom w:w="0" w:type="dxa"/>
              <w:right w:w="70" w:type="dxa"/>
            </w:tcMar>
            <w:vAlign w:val="center"/>
            <w:hideMark/>
          </w:tcPr>
          <w:p w14:paraId="376000BC"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-11</w:t>
            </w:r>
          </w:p>
        </w:tc>
        <w:tc>
          <w:tcPr>
            <w:tcW w:w="1871" w:type="dxa"/>
            <w:noWrap/>
            <w:tcMar>
              <w:top w:w="0" w:type="dxa"/>
              <w:left w:w="70" w:type="dxa"/>
              <w:bottom w:w="0" w:type="dxa"/>
              <w:right w:w="70" w:type="dxa"/>
            </w:tcMar>
            <w:vAlign w:val="center"/>
            <w:hideMark/>
          </w:tcPr>
          <w:p w14:paraId="79090768"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-9</w:t>
            </w:r>
          </w:p>
        </w:tc>
        <w:tc>
          <w:tcPr>
            <w:tcW w:w="1871" w:type="dxa"/>
            <w:noWrap/>
            <w:tcMar>
              <w:top w:w="0" w:type="dxa"/>
              <w:left w:w="70" w:type="dxa"/>
              <w:bottom w:w="0" w:type="dxa"/>
              <w:right w:w="70" w:type="dxa"/>
            </w:tcMar>
            <w:vAlign w:val="center"/>
            <w:hideMark/>
          </w:tcPr>
          <w:p w14:paraId="6A6E1C30"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-9</w:t>
            </w:r>
          </w:p>
        </w:tc>
      </w:tr>
      <w:tr w:rsidR="003347EA" w:rsidRPr="002C435C" w14:paraId="22530B07" w14:textId="77777777" w:rsidTr="00333D21">
        <w:trPr>
          <w:trHeight w:val="20"/>
        </w:trPr>
        <w:tc>
          <w:tcPr>
            <w:tcW w:w="1652" w:type="dxa"/>
            <w:noWrap/>
            <w:tcMar>
              <w:top w:w="0" w:type="dxa"/>
              <w:left w:w="70" w:type="dxa"/>
              <w:bottom w:w="0" w:type="dxa"/>
              <w:right w:w="70" w:type="dxa"/>
            </w:tcMar>
            <w:vAlign w:val="center"/>
            <w:hideMark/>
          </w:tcPr>
          <w:p w14:paraId="2B12E59A" w14:textId="77777777" w:rsidR="00BF4407" w:rsidRPr="002C435C" w:rsidRDefault="00BF4407" w:rsidP="00412F90">
            <w:pPr>
              <w:spacing w:after="0" w:line="360" w:lineRule="auto"/>
              <w:rPr>
                <w:rFonts w:ascii="Times New Roman" w:hAnsi="Times New Roman" w:cs="Times New Roman"/>
                <w:sz w:val="24"/>
                <w:szCs w:val="24"/>
                <w:lang w:eastAsia="fi-FI"/>
              </w:rPr>
            </w:pPr>
            <w:r w:rsidRPr="002C435C">
              <w:rPr>
                <w:rFonts w:ascii="Times New Roman" w:hAnsi="Times New Roman" w:cs="Times New Roman"/>
                <w:sz w:val="24"/>
                <w:szCs w:val="24"/>
                <w:lang w:eastAsia="fi-FI"/>
              </w:rPr>
              <w:t>Median</w:t>
            </w:r>
          </w:p>
        </w:tc>
        <w:tc>
          <w:tcPr>
            <w:tcW w:w="1870" w:type="dxa"/>
            <w:noWrap/>
            <w:tcMar>
              <w:top w:w="0" w:type="dxa"/>
              <w:left w:w="70" w:type="dxa"/>
              <w:bottom w:w="0" w:type="dxa"/>
              <w:right w:w="70" w:type="dxa"/>
            </w:tcMar>
            <w:vAlign w:val="center"/>
            <w:hideMark/>
          </w:tcPr>
          <w:p w14:paraId="0EFF1D70"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w:t>
            </w:r>
          </w:p>
        </w:tc>
        <w:tc>
          <w:tcPr>
            <w:tcW w:w="1871" w:type="dxa"/>
            <w:noWrap/>
            <w:tcMar>
              <w:top w:w="0" w:type="dxa"/>
              <w:left w:w="70" w:type="dxa"/>
              <w:bottom w:w="0" w:type="dxa"/>
              <w:right w:w="70" w:type="dxa"/>
            </w:tcMar>
            <w:vAlign w:val="center"/>
            <w:hideMark/>
          </w:tcPr>
          <w:p w14:paraId="6C191904"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0</w:t>
            </w:r>
          </w:p>
        </w:tc>
        <w:tc>
          <w:tcPr>
            <w:tcW w:w="1871" w:type="dxa"/>
            <w:noWrap/>
            <w:tcMar>
              <w:top w:w="0" w:type="dxa"/>
              <w:left w:w="70" w:type="dxa"/>
              <w:bottom w:w="0" w:type="dxa"/>
              <w:right w:w="70" w:type="dxa"/>
            </w:tcMar>
            <w:vAlign w:val="center"/>
            <w:hideMark/>
          </w:tcPr>
          <w:p w14:paraId="19E1ABA9"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2</w:t>
            </w:r>
          </w:p>
        </w:tc>
        <w:tc>
          <w:tcPr>
            <w:tcW w:w="1871" w:type="dxa"/>
            <w:noWrap/>
            <w:tcMar>
              <w:top w:w="0" w:type="dxa"/>
              <w:left w:w="70" w:type="dxa"/>
              <w:bottom w:w="0" w:type="dxa"/>
              <w:right w:w="70" w:type="dxa"/>
            </w:tcMar>
            <w:vAlign w:val="center"/>
            <w:hideMark/>
          </w:tcPr>
          <w:p w14:paraId="018339F5"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w:t>
            </w:r>
          </w:p>
        </w:tc>
      </w:tr>
      <w:tr w:rsidR="00BF4407" w:rsidRPr="002C435C" w14:paraId="41A2EFE9" w14:textId="77777777" w:rsidTr="00333D21">
        <w:trPr>
          <w:trHeight w:val="20"/>
        </w:trPr>
        <w:tc>
          <w:tcPr>
            <w:tcW w:w="1652" w:type="dxa"/>
            <w:tcBorders>
              <w:top w:val="nil"/>
              <w:left w:val="nil"/>
              <w:bottom w:val="single" w:sz="8" w:space="0" w:color="auto"/>
              <w:right w:val="nil"/>
            </w:tcBorders>
            <w:noWrap/>
            <w:tcMar>
              <w:top w:w="0" w:type="dxa"/>
              <w:left w:w="70" w:type="dxa"/>
              <w:bottom w:w="0" w:type="dxa"/>
              <w:right w:w="70" w:type="dxa"/>
            </w:tcMar>
            <w:vAlign w:val="center"/>
            <w:hideMark/>
          </w:tcPr>
          <w:p w14:paraId="66DAC6A9" w14:textId="77777777" w:rsidR="00BF4407" w:rsidRPr="002C435C" w:rsidRDefault="00BF4407" w:rsidP="00412F90">
            <w:pPr>
              <w:spacing w:after="0" w:line="360" w:lineRule="auto"/>
              <w:rPr>
                <w:rFonts w:ascii="Times New Roman" w:hAnsi="Times New Roman" w:cs="Times New Roman"/>
                <w:sz w:val="24"/>
                <w:szCs w:val="24"/>
                <w:lang w:eastAsia="fi-FI"/>
              </w:rPr>
            </w:pPr>
            <w:r w:rsidRPr="002C435C">
              <w:rPr>
                <w:rFonts w:ascii="Times New Roman" w:hAnsi="Times New Roman" w:cs="Times New Roman"/>
                <w:sz w:val="24"/>
                <w:szCs w:val="24"/>
                <w:lang w:eastAsia="fi-FI"/>
              </w:rPr>
              <w:t>90th percentile</w:t>
            </w:r>
          </w:p>
        </w:tc>
        <w:tc>
          <w:tcPr>
            <w:tcW w:w="1870" w:type="dxa"/>
            <w:tcBorders>
              <w:top w:val="nil"/>
              <w:left w:val="nil"/>
              <w:bottom w:val="single" w:sz="8" w:space="0" w:color="auto"/>
              <w:right w:val="nil"/>
            </w:tcBorders>
            <w:noWrap/>
            <w:tcMar>
              <w:top w:w="0" w:type="dxa"/>
              <w:left w:w="70" w:type="dxa"/>
              <w:bottom w:w="0" w:type="dxa"/>
              <w:right w:w="70" w:type="dxa"/>
            </w:tcMar>
            <w:vAlign w:val="center"/>
            <w:hideMark/>
          </w:tcPr>
          <w:p w14:paraId="720432CC"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12</w:t>
            </w:r>
          </w:p>
        </w:tc>
        <w:tc>
          <w:tcPr>
            <w:tcW w:w="1871" w:type="dxa"/>
            <w:tcBorders>
              <w:top w:val="nil"/>
              <w:left w:val="nil"/>
              <w:bottom w:val="single" w:sz="8" w:space="0" w:color="auto"/>
              <w:right w:val="nil"/>
            </w:tcBorders>
            <w:noWrap/>
            <w:tcMar>
              <w:top w:w="0" w:type="dxa"/>
              <w:left w:w="70" w:type="dxa"/>
              <w:bottom w:w="0" w:type="dxa"/>
              <w:right w:w="70" w:type="dxa"/>
            </w:tcMar>
            <w:vAlign w:val="center"/>
            <w:hideMark/>
          </w:tcPr>
          <w:p w14:paraId="261DA5C3"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11</w:t>
            </w:r>
          </w:p>
        </w:tc>
        <w:tc>
          <w:tcPr>
            <w:tcW w:w="1871" w:type="dxa"/>
            <w:tcBorders>
              <w:top w:val="nil"/>
              <w:left w:val="nil"/>
              <w:bottom w:val="single" w:sz="8" w:space="0" w:color="auto"/>
              <w:right w:val="nil"/>
            </w:tcBorders>
            <w:noWrap/>
            <w:tcMar>
              <w:top w:w="0" w:type="dxa"/>
              <w:left w:w="70" w:type="dxa"/>
              <w:bottom w:w="0" w:type="dxa"/>
              <w:right w:w="70" w:type="dxa"/>
            </w:tcMar>
            <w:vAlign w:val="center"/>
            <w:hideMark/>
          </w:tcPr>
          <w:p w14:paraId="5A6CE1CF"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16</w:t>
            </w:r>
          </w:p>
        </w:tc>
        <w:tc>
          <w:tcPr>
            <w:tcW w:w="1871" w:type="dxa"/>
            <w:tcBorders>
              <w:top w:val="nil"/>
              <w:left w:val="nil"/>
              <w:bottom w:val="single" w:sz="8" w:space="0" w:color="auto"/>
              <w:right w:val="nil"/>
            </w:tcBorders>
            <w:noWrap/>
            <w:tcMar>
              <w:top w:w="0" w:type="dxa"/>
              <w:left w:w="70" w:type="dxa"/>
              <w:bottom w:w="0" w:type="dxa"/>
              <w:right w:w="70" w:type="dxa"/>
            </w:tcMar>
            <w:vAlign w:val="center"/>
            <w:hideMark/>
          </w:tcPr>
          <w:p w14:paraId="1E1FB657" w14:textId="77777777" w:rsidR="00BF4407" w:rsidRPr="002C435C" w:rsidRDefault="00BF4407" w:rsidP="00412F90">
            <w:pPr>
              <w:spacing w:after="0" w:line="360" w:lineRule="auto"/>
              <w:jc w:val="center"/>
              <w:rPr>
                <w:rFonts w:ascii="Times New Roman" w:hAnsi="Times New Roman" w:cs="Times New Roman"/>
                <w:sz w:val="24"/>
                <w:szCs w:val="24"/>
                <w:lang w:eastAsia="fi-FI"/>
              </w:rPr>
            </w:pPr>
            <w:r w:rsidRPr="002C435C">
              <w:rPr>
                <w:rFonts w:ascii="Times New Roman" w:hAnsi="Times New Roman" w:cs="Times New Roman"/>
                <w:sz w:val="24"/>
                <w:szCs w:val="24"/>
                <w:lang w:eastAsia="fi-FI"/>
              </w:rPr>
              <w:t>15</w:t>
            </w:r>
          </w:p>
        </w:tc>
      </w:tr>
    </w:tbl>
    <w:p w14:paraId="550E2D73" w14:textId="6F7D1CDC" w:rsidR="00BF4407" w:rsidRPr="002C435C" w:rsidRDefault="00BF4407" w:rsidP="00126D10">
      <w:pPr>
        <w:rPr>
          <w:rFonts w:ascii="Times New Roman" w:hAnsi="Times New Roman" w:cs="Times New Roman"/>
          <w:sz w:val="24"/>
          <w:szCs w:val="24"/>
        </w:rPr>
        <w:sectPr w:rsidR="00BF4407" w:rsidRPr="002C435C" w:rsidSect="00F762E8">
          <w:pgSz w:w="11906" w:h="16838"/>
          <w:pgMar w:top="1440" w:right="1440" w:bottom="1440" w:left="1440" w:header="708" w:footer="708" w:gutter="0"/>
          <w:lnNumType w:countBy="1" w:restart="continuous"/>
          <w:cols w:space="708"/>
          <w:docGrid w:linePitch="360"/>
        </w:sectPr>
      </w:pPr>
    </w:p>
    <w:p w14:paraId="7FF11956" w14:textId="5B21C7F1" w:rsidR="00BF4407" w:rsidRPr="003347EA" w:rsidRDefault="00B805AC" w:rsidP="00C47421">
      <w:pPr>
        <w:pStyle w:val="Heading1"/>
        <w:rPr>
          <w:rFonts w:ascii="Times New Roman" w:hAnsi="Times New Roman" w:cs="Times New Roman"/>
          <w:color w:val="auto"/>
        </w:rPr>
      </w:pPr>
      <w:r w:rsidRPr="003347EA">
        <w:rPr>
          <w:rFonts w:ascii="Times New Roman" w:hAnsi="Times New Roman" w:cs="Times New Roman"/>
          <w:color w:val="auto"/>
        </w:rPr>
        <w:lastRenderedPageBreak/>
        <w:t>Supplementa</w:t>
      </w:r>
      <w:r w:rsidR="001076AF">
        <w:rPr>
          <w:rFonts w:ascii="Times New Roman" w:hAnsi="Times New Roman" w:cs="Times New Roman"/>
          <w:color w:val="auto"/>
        </w:rPr>
        <w:t>ry</w:t>
      </w:r>
      <w:r w:rsidRPr="003347EA">
        <w:rPr>
          <w:rFonts w:ascii="Times New Roman" w:hAnsi="Times New Roman" w:cs="Times New Roman"/>
          <w:color w:val="auto"/>
        </w:rPr>
        <w:t xml:space="preserve"> Figures</w:t>
      </w:r>
    </w:p>
    <w:p w14:paraId="3EC3B4CE" w14:textId="77777777" w:rsidR="00C47421" w:rsidRPr="003347EA" w:rsidRDefault="00C47421" w:rsidP="00C47421">
      <w:pPr>
        <w:rPr>
          <w:rFonts w:ascii="Times New Roman" w:hAnsi="Times New Roman" w:cs="Times New Roman"/>
        </w:rPr>
      </w:pPr>
    </w:p>
    <w:p w14:paraId="204DEB85" w14:textId="67090276" w:rsidR="0049470B" w:rsidRPr="002C435C" w:rsidRDefault="003F1A94" w:rsidP="00F0780C">
      <w:pPr>
        <w:spacing w:line="276" w:lineRule="auto"/>
        <w:rPr>
          <w:rFonts w:ascii="Times New Roman" w:hAnsi="Times New Roman" w:cs="Times New Roman"/>
          <w:sz w:val="24"/>
          <w:szCs w:val="24"/>
        </w:rPr>
      </w:pPr>
      <w:r w:rsidRPr="002C435C">
        <w:rPr>
          <w:rFonts w:ascii="Times New Roman" w:hAnsi="Times New Roman" w:cs="Times New Roman"/>
          <w:b/>
          <w:bCs/>
          <w:sz w:val="24"/>
          <w:szCs w:val="24"/>
        </w:rPr>
        <w:t xml:space="preserve">ESM </w:t>
      </w:r>
      <w:r w:rsidR="001856C0" w:rsidRPr="002C435C">
        <w:rPr>
          <w:rFonts w:ascii="Times New Roman" w:hAnsi="Times New Roman" w:cs="Times New Roman"/>
          <w:b/>
          <w:bCs/>
          <w:sz w:val="24"/>
          <w:szCs w:val="24"/>
        </w:rPr>
        <w:t>Figure 1.</w:t>
      </w:r>
      <w:r w:rsidR="001856C0" w:rsidRPr="002C435C">
        <w:rPr>
          <w:rFonts w:ascii="Times New Roman" w:hAnsi="Times New Roman" w:cs="Times New Roman"/>
          <w:sz w:val="24"/>
          <w:szCs w:val="24"/>
        </w:rPr>
        <w:t xml:space="preserve"> Annual mean </w:t>
      </w:r>
      <w:r w:rsidR="00586C6F" w:rsidRPr="002C435C">
        <w:rPr>
          <w:rFonts w:ascii="Times New Roman" w:hAnsi="Times New Roman" w:cs="Times New Roman"/>
          <w:sz w:val="24"/>
          <w:szCs w:val="24"/>
        </w:rPr>
        <w:t xml:space="preserve">days absent (A) and </w:t>
      </w:r>
      <w:r w:rsidR="001856C0" w:rsidRPr="002C435C">
        <w:rPr>
          <w:rFonts w:ascii="Times New Roman" w:hAnsi="Times New Roman" w:cs="Times New Roman"/>
          <w:sz w:val="24"/>
          <w:szCs w:val="24"/>
        </w:rPr>
        <w:t>productivity costs</w:t>
      </w:r>
      <w:r w:rsidR="00586C6F" w:rsidRPr="002C435C">
        <w:rPr>
          <w:rFonts w:ascii="Times New Roman" w:hAnsi="Times New Roman" w:cs="Times New Roman"/>
          <w:sz w:val="24"/>
          <w:szCs w:val="24"/>
        </w:rPr>
        <w:t xml:space="preserve"> (B)</w:t>
      </w:r>
      <w:r w:rsidR="001856C0" w:rsidRPr="002C435C">
        <w:rPr>
          <w:rFonts w:ascii="Times New Roman" w:hAnsi="Times New Roman" w:cs="Times New Roman"/>
          <w:sz w:val="24"/>
          <w:szCs w:val="24"/>
        </w:rPr>
        <w:t xml:space="preserve"> </w:t>
      </w:r>
      <w:r w:rsidR="005E7EFB" w:rsidRPr="002C435C">
        <w:rPr>
          <w:rFonts w:ascii="Times New Roman" w:hAnsi="Times New Roman" w:cs="Times New Roman"/>
          <w:sz w:val="24"/>
          <w:szCs w:val="24"/>
        </w:rPr>
        <w:t>in the friction cost</w:t>
      </w:r>
      <w:r w:rsidR="00C2132E" w:rsidRPr="002C435C">
        <w:rPr>
          <w:rFonts w:ascii="Times New Roman" w:hAnsi="Times New Roman" w:cs="Times New Roman"/>
          <w:sz w:val="24"/>
          <w:szCs w:val="24"/>
        </w:rPr>
        <w:t xml:space="preserve"> </w:t>
      </w:r>
      <w:r w:rsidR="005E7EFB" w:rsidRPr="002C435C">
        <w:rPr>
          <w:rFonts w:ascii="Times New Roman" w:hAnsi="Times New Roman" w:cs="Times New Roman"/>
          <w:sz w:val="24"/>
          <w:szCs w:val="24"/>
        </w:rPr>
        <w:t xml:space="preserve">and human capital workforces. </w:t>
      </w:r>
      <w:r w:rsidR="001856C0" w:rsidRPr="002C435C">
        <w:rPr>
          <w:rFonts w:ascii="Times New Roman" w:hAnsi="Times New Roman" w:cs="Times New Roman"/>
          <w:sz w:val="24"/>
          <w:szCs w:val="24"/>
        </w:rPr>
        <w:t xml:space="preserve">FC (base) stands for </w:t>
      </w:r>
      <w:r w:rsidR="00EB3332" w:rsidRPr="002C435C">
        <w:rPr>
          <w:rFonts w:ascii="Times New Roman" w:hAnsi="Times New Roman" w:cs="Times New Roman"/>
          <w:sz w:val="24"/>
          <w:szCs w:val="24"/>
        </w:rPr>
        <w:t xml:space="preserve">productivity costs calculated using </w:t>
      </w:r>
      <w:r w:rsidR="008A1B48" w:rsidRPr="002C435C">
        <w:rPr>
          <w:rFonts w:ascii="Times New Roman" w:hAnsi="Times New Roman" w:cs="Times New Roman"/>
          <w:sz w:val="24"/>
          <w:szCs w:val="24"/>
        </w:rPr>
        <w:t>friction cost method</w:t>
      </w:r>
      <w:r w:rsidR="001856C0" w:rsidRPr="002C435C">
        <w:rPr>
          <w:rFonts w:ascii="Times New Roman" w:hAnsi="Times New Roman" w:cs="Times New Roman"/>
          <w:sz w:val="24"/>
          <w:szCs w:val="24"/>
        </w:rPr>
        <w:t xml:space="preserve">. FC (adjusted) stands for </w:t>
      </w:r>
      <w:r w:rsidR="00BD4195" w:rsidRPr="002C435C">
        <w:rPr>
          <w:rFonts w:ascii="Times New Roman" w:hAnsi="Times New Roman" w:cs="Times New Roman"/>
          <w:sz w:val="24"/>
          <w:szCs w:val="24"/>
        </w:rPr>
        <w:t xml:space="preserve">friction cost </w:t>
      </w:r>
      <w:r w:rsidR="001856C0" w:rsidRPr="002C435C">
        <w:rPr>
          <w:rFonts w:ascii="Times New Roman" w:hAnsi="Times New Roman" w:cs="Times New Roman"/>
          <w:sz w:val="24"/>
          <w:szCs w:val="24"/>
        </w:rPr>
        <w:t>estimates adjusted for length of vacancy chain. HC stands for human capital estimates. In each case, the absent days were valued using sex- and occupation specific annual median wages.</w:t>
      </w:r>
    </w:p>
    <w:p w14:paraId="3E8D54F1" w14:textId="14D472DA" w:rsidR="001856C0" w:rsidRPr="003347EA" w:rsidRDefault="0049470B" w:rsidP="0098335E">
      <w:pPr>
        <w:jc w:val="both"/>
        <w:rPr>
          <w:rFonts w:ascii="Times New Roman" w:hAnsi="Times New Roman" w:cs="Times New Roman"/>
          <w:sz w:val="24"/>
          <w:szCs w:val="24"/>
          <w:lang w:val="en-US"/>
        </w:rPr>
      </w:pPr>
      <w:r w:rsidRPr="003347EA">
        <w:rPr>
          <w:rFonts w:ascii="Times New Roman" w:hAnsi="Times New Roman" w:cs="Times New Roman"/>
          <w:noProof/>
          <w:sz w:val="24"/>
          <w:szCs w:val="24"/>
          <w:lang w:val="en-US"/>
          <w14:ligatures w14:val="standardContextual"/>
        </w:rPr>
        <w:drawing>
          <wp:inline distT="0" distB="0" distL="0" distR="0" wp14:anchorId="3546C8E6" wp14:editId="393DDD3A">
            <wp:extent cx="5731510" cy="3233420"/>
            <wp:effectExtent l="0" t="0" r="2540" b="5080"/>
            <wp:docPr id="1533513040" name="Picture 2" descr="A graph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13040" name="Picture 2" descr="A graph of two people&#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731510" cy="3233420"/>
                    </a:xfrm>
                    <a:prstGeom prst="rect">
                      <a:avLst/>
                    </a:prstGeom>
                  </pic:spPr>
                </pic:pic>
              </a:graphicData>
            </a:graphic>
          </wp:inline>
        </w:drawing>
      </w:r>
      <w:r w:rsidR="001856C0" w:rsidRPr="003347EA">
        <w:rPr>
          <w:rFonts w:ascii="Times New Roman" w:hAnsi="Times New Roman" w:cs="Times New Roman"/>
          <w:sz w:val="24"/>
          <w:szCs w:val="24"/>
          <w:lang w:val="en-US"/>
        </w:rPr>
        <w:br w:type="page"/>
      </w:r>
    </w:p>
    <w:p w14:paraId="644411B1" w14:textId="6DC787E1" w:rsidR="00A17770" w:rsidRPr="002C435C" w:rsidRDefault="0088234C" w:rsidP="00F0780C">
      <w:pPr>
        <w:spacing w:line="276" w:lineRule="auto"/>
        <w:rPr>
          <w:rFonts w:ascii="Times New Roman" w:hAnsi="Times New Roman" w:cs="Times New Roman"/>
          <w:noProof/>
          <w:sz w:val="24"/>
          <w:szCs w:val="24"/>
        </w:rPr>
      </w:pPr>
      <w:r w:rsidRPr="002C435C">
        <w:rPr>
          <w:rFonts w:ascii="Times New Roman" w:hAnsi="Times New Roman" w:cs="Times New Roman"/>
          <w:b/>
          <w:bCs/>
          <w:sz w:val="24"/>
          <w:szCs w:val="24"/>
        </w:rPr>
        <w:lastRenderedPageBreak/>
        <w:t xml:space="preserve">ESM </w:t>
      </w:r>
      <w:r w:rsidR="001856C0" w:rsidRPr="002C435C">
        <w:rPr>
          <w:rFonts w:ascii="Times New Roman" w:hAnsi="Times New Roman" w:cs="Times New Roman"/>
          <w:b/>
          <w:bCs/>
          <w:sz w:val="24"/>
          <w:szCs w:val="24"/>
        </w:rPr>
        <w:t xml:space="preserve">Figure 2. </w:t>
      </w:r>
      <w:r w:rsidR="001856C0" w:rsidRPr="002C435C">
        <w:rPr>
          <w:rFonts w:ascii="Times New Roman" w:hAnsi="Times New Roman" w:cs="Times New Roman"/>
          <w:noProof/>
          <w:sz w:val="24"/>
          <w:szCs w:val="24"/>
        </w:rPr>
        <w:t>Friction cost estimates of people with diabetes (restricted people with known occupation) by by their employment status (A), by highest degree of education (B), by sex (C)</w:t>
      </w:r>
      <w:r w:rsidR="0050631B" w:rsidRPr="002C435C">
        <w:rPr>
          <w:rFonts w:ascii="Times New Roman" w:hAnsi="Times New Roman" w:cs="Times New Roman"/>
          <w:noProof/>
          <w:sz w:val="24"/>
          <w:szCs w:val="24"/>
        </w:rPr>
        <w:t>,</w:t>
      </w:r>
      <w:r w:rsidR="001856C0" w:rsidRPr="002C435C">
        <w:rPr>
          <w:rFonts w:ascii="Times New Roman" w:hAnsi="Times New Roman" w:cs="Times New Roman"/>
          <w:noProof/>
          <w:sz w:val="24"/>
          <w:szCs w:val="24"/>
        </w:rPr>
        <w:t xml:space="preserve"> and by birth cohort (D).</w:t>
      </w:r>
      <w:r w:rsidR="001233E6" w:rsidRPr="002C435C">
        <w:rPr>
          <w:rFonts w:ascii="Times New Roman" w:hAnsi="Times New Roman" w:cs="Times New Roman"/>
          <w:noProof/>
          <w:sz w:val="24"/>
          <w:szCs w:val="24"/>
        </w:rPr>
        <w:t xml:space="preserve"> </w:t>
      </w:r>
      <w:r w:rsidR="00A44CFA" w:rsidRPr="002C435C">
        <w:rPr>
          <w:rFonts w:ascii="Times New Roman" w:hAnsi="Times New Roman" w:cs="Times New Roman"/>
          <w:noProof/>
          <w:sz w:val="24"/>
          <w:szCs w:val="24"/>
        </w:rPr>
        <w:t>In figure (D), t</w:t>
      </w:r>
      <w:r w:rsidR="001233E6" w:rsidRPr="002C435C">
        <w:rPr>
          <w:rFonts w:ascii="Times New Roman" w:hAnsi="Times New Roman" w:cs="Times New Roman"/>
          <w:noProof/>
          <w:sz w:val="24"/>
          <w:szCs w:val="24"/>
        </w:rPr>
        <w:t xml:space="preserve">he </w:t>
      </w:r>
      <w:r w:rsidR="00372EC4" w:rsidRPr="002C435C">
        <w:rPr>
          <w:rFonts w:ascii="Times New Roman" w:hAnsi="Times New Roman" w:cs="Times New Roman"/>
          <w:noProof/>
          <w:sz w:val="24"/>
          <w:szCs w:val="24"/>
        </w:rPr>
        <w:t>annual mean cost</w:t>
      </w:r>
      <w:r w:rsidR="001770AF" w:rsidRPr="002C435C">
        <w:rPr>
          <w:rFonts w:ascii="Times New Roman" w:hAnsi="Times New Roman" w:cs="Times New Roman"/>
          <w:noProof/>
          <w:sz w:val="24"/>
          <w:szCs w:val="24"/>
        </w:rPr>
        <w:t xml:space="preserve"> estimate</w:t>
      </w:r>
      <w:r w:rsidR="001233E6" w:rsidRPr="002C435C">
        <w:rPr>
          <w:rFonts w:ascii="Times New Roman" w:hAnsi="Times New Roman" w:cs="Times New Roman"/>
          <w:noProof/>
          <w:sz w:val="24"/>
          <w:szCs w:val="24"/>
        </w:rPr>
        <w:t xml:space="preserve"> at </w:t>
      </w:r>
      <w:r w:rsidR="00A44CFA" w:rsidRPr="002C435C">
        <w:rPr>
          <w:rFonts w:ascii="Times New Roman" w:hAnsi="Times New Roman" w:cs="Times New Roman"/>
          <w:noProof/>
          <w:sz w:val="24"/>
          <w:szCs w:val="24"/>
        </w:rPr>
        <w:t xml:space="preserve">age 48 </w:t>
      </w:r>
      <w:r w:rsidR="0050631B" w:rsidRPr="002C435C">
        <w:rPr>
          <w:rFonts w:ascii="Times New Roman" w:hAnsi="Times New Roman" w:cs="Times New Roman"/>
          <w:noProof/>
          <w:sz w:val="24"/>
          <w:szCs w:val="24"/>
        </w:rPr>
        <w:t xml:space="preserve">for </w:t>
      </w:r>
      <w:r w:rsidR="00A44CFA" w:rsidRPr="002C435C">
        <w:rPr>
          <w:rFonts w:ascii="Times New Roman" w:hAnsi="Times New Roman" w:cs="Times New Roman"/>
          <w:noProof/>
          <w:sz w:val="24"/>
          <w:szCs w:val="24"/>
        </w:rPr>
        <w:t>people born in</w:t>
      </w:r>
      <w:r w:rsidR="0050631B" w:rsidRPr="002C435C">
        <w:rPr>
          <w:rFonts w:ascii="Times New Roman" w:hAnsi="Times New Roman" w:cs="Times New Roman"/>
          <w:noProof/>
          <w:sz w:val="24"/>
          <w:szCs w:val="24"/>
        </w:rPr>
        <w:t xml:space="preserve"> the </w:t>
      </w:r>
      <w:r w:rsidR="00A44CFA" w:rsidRPr="002C435C">
        <w:rPr>
          <w:rFonts w:ascii="Times New Roman" w:hAnsi="Times New Roman" w:cs="Times New Roman"/>
          <w:noProof/>
          <w:sz w:val="24"/>
          <w:szCs w:val="24"/>
        </w:rPr>
        <w:t>1930s and 1940s</w:t>
      </w:r>
      <w:r w:rsidR="00372EC4" w:rsidRPr="002C435C">
        <w:rPr>
          <w:rFonts w:ascii="Times New Roman" w:hAnsi="Times New Roman" w:cs="Times New Roman"/>
          <w:noProof/>
          <w:sz w:val="24"/>
          <w:szCs w:val="24"/>
        </w:rPr>
        <w:t xml:space="preserve"> is based on 40 observations.</w:t>
      </w:r>
    </w:p>
    <w:p w14:paraId="6CA638B0" w14:textId="0E78CE85" w:rsidR="00F0780C" w:rsidRPr="003347EA" w:rsidRDefault="000D1773">
      <w:pPr>
        <w:rPr>
          <w:rFonts w:ascii="Times New Roman" w:hAnsi="Times New Roman" w:cs="Times New Roman"/>
          <w:lang w:val="fi-FI"/>
        </w:rPr>
      </w:pPr>
      <w:r w:rsidRPr="003347EA">
        <w:rPr>
          <w:rFonts w:ascii="Times New Roman" w:hAnsi="Times New Roman" w:cs="Times New Roman"/>
          <w:noProof/>
          <w:lang w:val="fi-FI"/>
          <w14:ligatures w14:val="standardContextual"/>
        </w:rPr>
        <w:drawing>
          <wp:inline distT="0" distB="0" distL="0" distR="0" wp14:anchorId="4B978820" wp14:editId="54072EDE">
            <wp:extent cx="5731510" cy="5262880"/>
            <wp:effectExtent l="0" t="0" r="2540" b="0"/>
            <wp:docPr id="703801491" name="Picture 3" descr="A graph of different age-related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01491" name="Picture 3" descr="A graph of different age-related object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5262880"/>
                    </a:xfrm>
                    <a:prstGeom prst="rect">
                      <a:avLst/>
                    </a:prstGeom>
                  </pic:spPr>
                </pic:pic>
              </a:graphicData>
            </a:graphic>
          </wp:inline>
        </w:drawing>
      </w:r>
    </w:p>
    <w:sectPr w:rsidR="00F0780C" w:rsidRPr="003347EA" w:rsidSect="000D3BE3">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85BE7" w14:textId="77777777" w:rsidR="00D2552C" w:rsidRDefault="00D2552C">
      <w:pPr>
        <w:spacing w:after="0" w:line="240" w:lineRule="auto"/>
      </w:pPr>
      <w:r>
        <w:separator/>
      </w:r>
    </w:p>
  </w:endnote>
  <w:endnote w:type="continuationSeparator" w:id="0">
    <w:p w14:paraId="78623D45" w14:textId="77777777" w:rsidR="00D2552C" w:rsidRDefault="00D2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iragino Sans W4">
    <w:altName w:val="﷽﷽﷽﷽﷽﷽﷽﷽ Sans W4"/>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067FE7" w14:paraId="4A4DA01D" w14:textId="77777777" w:rsidTr="5CF11958">
      <w:tc>
        <w:tcPr>
          <w:tcW w:w="3005" w:type="dxa"/>
        </w:tcPr>
        <w:p w14:paraId="2E0316BA" w14:textId="77777777" w:rsidR="00F24948" w:rsidRDefault="00F24948" w:rsidP="5CF11958">
          <w:pPr>
            <w:pStyle w:val="Header"/>
            <w:ind w:left="-115"/>
          </w:pPr>
        </w:p>
      </w:tc>
      <w:tc>
        <w:tcPr>
          <w:tcW w:w="3005" w:type="dxa"/>
        </w:tcPr>
        <w:p w14:paraId="478BB83C" w14:textId="77777777" w:rsidR="00F24948" w:rsidRDefault="00F24948" w:rsidP="5CF11958">
          <w:pPr>
            <w:pStyle w:val="Header"/>
            <w:jc w:val="center"/>
          </w:pPr>
        </w:p>
      </w:tc>
      <w:tc>
        <w:tcPr>
          <w:tcW w:w="3005" w:type="dxa"/>
        </w:tcPr>
        <w:p w14:paraId="5627A765" w14:textId="77777777" w:rsidR="00F24948" w:rsidRDefault="00F24948" w:rsidP="5CF11958">
          <w:pPr>
            <w:pStyle w:val="Header"/>
            <w:ind w:right="-115"/>
            <w:jc w:val="right"/>
          </w:pPr>
        </w:p>
      </w:tc>
    </w:tr>
  </w:tbl>
  <w:p w14:paraId="1F044AE2" w14:textId="77777777" w:rsidR="00F24948" w:rsidRDefault="00F24948" w:rsidP="5CF11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89F8E" w14:textId="77777777" w:rsidR="00D2552C" w:rsidRDefault="00D2552C">
      <w:pPr>
        <w:spacing w:after="0" w:line="240" w:lineRule="auto"/>
      </w:pPr>
      <w:r>
        <w:separator/>
      </w:r>
    </w:p>
  </w:footnote>
  <w:footnote w:type="continuationSeparator" w:id="0">
    <w:p w14:paraId="1D1379B8" w14:textId="77777777" w:rsidR="00D2552C" w:rsidRDefault="00D255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C0"/>
    <w:rsid w:val="00037A1A"/>
    <w:rsid w:val="0004010C"/>
    <w:rsid w:val="00050F11"/>
    <w:rsid w:val="000525F3"/>
    <w:rsid w:val="000D1773"/>
    <w:rsid w:val="000E0D25"/>
    <w:rsid w:val="000F007D"/>
    <w:rsid w:val="000F5C3E"/>
    <w:rsid w:val="00102E0A"/>
    <w:rsid w:val="001076AF"/>
    <w:rsid w:val="00110C77"/>
    <w:rsid w:val="001233E6"/>
    <w:rsid w:val="00126D10"/>
    <w:rsid w:val="00146845"/>
    <w:rsid w:val="001536DB"/>
    <w:rsid w:val="0017143E"/>
    <w:rsid w:val="001770AF"/>
    <w:rsid w:val="001856C0"/>
    <w:rsid w:val="001C4D0B"/>
    <w:rsid w:val="002003AE"/>
    <w:rsid w:val="002023C5"/>
    <w:rsid w:val="00280670"/>
    <w:rsid w:val="002928DF"/>
    <w:rsid w:val="002C435C"/>
    <w:rsid w:val="002F1D5B"/>
    <w:rsid w:val="003008FD"/>
    <w:rsid w:val="0032657C"/>
    <w:rsid w:val="00330AFA"/>
    <w:rsid w:val="00333D21"/>
    <w:rsid w:val="003347EA"/>
    <w:rsid w:val="00350405"/>
    <w:rsid w:val="003528EB"/>
    <w:rsid w:val="00372EC4"/>
    <w:rsid w:val="003B6B47"/>
    <w:rsid w:val="003F1A94"/>
    <w:rsid w:val="00412F90"/>
    <w:rsid w:val="00423ED2"/>
    <w:rsid w:val="00463235"/>
    <w:rsid w:val="00490830"/>
    <w:rsid w:val="0049470B"/>
    <w:rsid w:val="004A6991"/>
    <w:rsid w:val="004B2169"/>
    <w:rsid w:val="004B640F"/>
    <w:rsid w:val="004E5C22"/>
    <w:rsid w:val="004F1CF7"/>
    <w:rsid w:val="0050631B"/>
    <w:rsid w:val="0051293D"/>
    <w:rsid w:val="00540625"/>
    <w:rsid w:val="005470DC"/>
    <w:rsid w:val="00573687"/>
    <w:rsid w:val="00586C6F"/>
    <w:rsid w:val="00593064"/>
    <w:rsid w:val="005B13FE"/>
    <w:rsid w:val="005B7258"/>
    <w:rsid w:val="005E7EFB"/>
    <w:rsid w:val="00624901"/>
    <w:rsid w:val="006640C2"/>
    <w:rsid w:val="00685604"/>
    <w:rsid w:val="00686E82"/>
    <w:rsid w:val="006A6D6C"/>
    <w:rsid w:val="006C4C9C"/>
    <w:rsid w:val="006E27D3"/>
    <w:rsid w:val="006E2EA2"/>
    <w:rsid w:val="006F482F"/>
    <w:rsid w:val="00752684"/>
    <w:rsid w:val="00766458"/>
    <w:rsid w:val="00773250"/>
    <w:rsid w:val="0079066A"/>
    <w:rsid w:val="007C337F"/>
    <w:rsid w:val="007C5251"/>
    <w:rsid w:val="007C70BD"/>
    <w:rsid w:val="007E197C"/>
    <w:rsid w:val="007F25A1"/>
    <w:rsid w:val="00801905"/>
    <w:rsid w:val="00837DCD"/>
    <w:rsid w:val="00862908"/>
    <w:rsid w:val="0088234C"/>
    <w:rsid w:val="008A1B48"/>
    <w:rsid w:val="008B7C92"/>
    <w:rsid w:val="008C6C1B"/>
    <w:rsid w:val="008D74E3"/>
    <w:rsid w:val="00903518"/>
    <w:rsid w:val="00911C56"/>
    <w:rsid w:val="00920142"/>
    <w:rsid w:val="00945D23"/>
    <w:rsid w:val="009637FA"/>
    <w:rsid w:val="0098335E"/>
    <w:rsid w:val="00990FA0"/>
    <w:rsid w:val="00991057"/>
    <w:rsid w:val="009A181C"/>
    <w:rsid w:val="009C0527"/>
    <w:rsid w:val="00A0002B"/>
    <w:rsid w:val="00A0169E"/>
    <w:rsid w:val="00A17770"/>
    <w:rsid w:val="00A239E6"/>
    <w:rsid w:val="00A3187D"/>
    <w:rsid w:val="00A4061A"/>
    <w:rsid w:val="00A44CFA"/>
    <w:rsid w:val="00A55CDF"/>
    <w:rsid w:val="00A67A48"/>
    <w:rsid w:val="00AB640F"/>
    <w:rsid w:val="00AB6F9F"/>
    <w:rsid w:val="00B02824"/>
    <w:rsid w:val="00B07751"/>
    <w:rsid w:val="00B205B1"/>
    <w:rsid w:val="00B30114"/>
    <w:rsid w:val="00B3702A"/>
    <w:rsid w:val="00B4324B"/>
    <w:rsid w:val="00B64817"/>
    <w:rsid w:val="00B805AC"/>
    <w:rsid w:val="00BD284C"/>
    <w:rsid w:val="00BD4195"/>
    <w:rsid w:val="00BE00DC"/>
    <w:rsid w:val="00BE3C7B"/>
    <w:rsid w:val="00BF2A4A"/>
    <w:rsid w:val="00BF4407"/>
    <w:rsid w:val="00C00C4C"/>
    <w:rsid w:val="00C11069"/>
    <w:rsid w:val="00C130B5"/>
    <w:rsid w:val="00C2132E"/>
    <w:rsid w:val="00C35125"/>
    <w:rsid w:val="00C47421"/>
    <w:rsid w:val="00C84841"/>
    <w:rsid w:val="00C94B11"/>
    <w:rsid w:val="00CB279D"/>
    <w:rsid w:val="00CC236E"/>
    <w:rsid w:val="00CD3AE7"/>
    <w:rsid w:val="00D03CE6"/>
    <w:rsid w:val="00D11086"/>
    <w:rsid w:val="00D1492F"/>
    <w:rsid w:val="00D2552C"/>
    <w:rsid w:val="00D35DE9"/>
    <w:rsid w:val="00D4744A"/>
    <w:rsid w:val="00D9469B"/>
    <w:rsid w:val="00DA2BA5"/>
    <w:rsid w:val="00DA664B"/>
    <w:rsid w:val="00DB6324"/>
    <w:rsid w:val="00DC2B9E"/>
    <w:rsid w:val="00DC6CF6"/>
    <w:rsid w:val="00DE2CB1"/>
    <w:rsid w:val="00DE35A0"/>
    <w:rsid w:val="00DF2720"/>
    <w:rsid w:val="00DF2C7C"/>
    <w:rsid w:val="00DF4CE4"/>
    <w:rsid w:val="00DF7C51"/>
    <w:rsid w:val="00E201E0"/>
    <w:rsid w:val="00E657EA"/>
    <w:rsid w:val="00E658D8"/>
    <w:rsid w:val="00E93A3F"/>
    <w:rsid w:val="00E94377"/>
    <w:rsid w:val="00EB3332"/>
    <w:rsid w:val="00EB61F1"/>
    <w:rsid w:val="00EC37C1"/>
    <w:rsid w:val="00EE6A66"/>
    <w:rsid w:val="00F0780C"/>
    <w:rsid w:val="00F24948"/>
    <w:rsid w:val="00F31F0A"/>
    <w:rsid w:val="00F37AE5"/>
    <w:rsid w:val="00F45B3F"/>
    <w:rsid w:val="00F8230C"/>
    <w:rsid w:val="00FB671B"/>
    <w:rsid w:val="00FC5D95"/>
    <w:rsid w:val="00FF0F3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B0DAE"/>
  <w15:chartTrackingRefBased/>
  <w15:docId w15:val="{3C9A3506-8C96-4D62-B8E3-7EAFA7B7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C0"/>
    <w:rPr>
      <w:kern w:val="0"/>
      <w:lang w:val="en-GB"/>
      <w14:ligatures w14:val="none"/>
    </w:rPr>
  </w:style>
  <w:style w:type="paragraph" w:styleId="Heading1">
    <w:name w:val="heading 1"/>
    <w:basedOn w:val="Normal"/>
    <w:next w:val="Normal"/>
    <w:link w:val="Heading1Char"/>
    <w:uiPriority w:val="9"/>
    <w:qFormat/>
    <w:rsid w:val="001856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08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56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856C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6C0"/>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856C0"/>
    <w:rPr>
      <w:rFonts w:asciiTheme="majorHAnsi" w:eastAsiaTheme="majorEastAsia" w:hAnsiTheme="majorHAnsi" w:cstheme="majorBidi"/>
      <w:color w:val="1F3763" w:themeColor="accent1" w:themeShade="7F"/>
      <w:kern w:val="0"/>
      <w:sz w:val="24"/>
      <w:szCs w:val="24"/>
      <w:lang w:val="en-GB"/>
      <w14:ligatures w14:val="none"/>
    </w:rPr>
  </w:style>
  <w:style w:type="character" w:customStyle="1" w:styleId="Heading4Char">
    <w:name w:val="Heading 4 Char"/>
    <w:basedOn w:val="DefaultParagraphFont"/>
    <w:link w:val="Heading4"/>
    <w:uiPriority w:val="9"/>
    <w:rsid w:val="001856C0"/>
    <w:rPr>
      <w:rFonts w:asciiTheme="majorHAnsi" w:eastAsiaTheme="majorEastAsia" w:hAnsiTheme="majorHAnsi" w:cstheme="majorBidi"/>
      <w:i/>
      <w:iCs/>
      <w:color w:val="2F5496" w:themeColor="accent1" w:themeShade="BF"/>
      <w:kern w:val="0"/>
      <w:lang w:val="en-GB"/>
      <w14:ligatures w14:val="none"/>
    </w:rPr>
  </w:style>
  <w:style w:type="paragraph" w:styleId="Header">
    <w:name w:val="header"/>
    <w:basedOn w:val="Normal"/>
    <w:link w:val="HeaderChar"/>
    <w:uiPriority w:val="99"/>
    <w:unhideWhenUsed/>
    <w:rsid w:val="00185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6C0"/>
    <w:rPr>
      <w:kern w:val="0"/>
      <w:lang w:val="en-GB"/>
      <w14:ligatures w14:val="none"/>
    </w:rPr>
  </w:style>
  <w:style w:type="paragraph" w:styleId="Footer">
    <w:name w:val="footer"/>
    <w:basedOn w:val="Normal"/>
    <w:link w:val="FooterChar"/>
    <w:uiPriority w:val="99"/>
    <w:unhideWhenUsed/>
    <w:rsid w:val="00185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6C0"/>
    <w:rPr>
      <w:kern w:val="0"/>
      <w:lang w:val="en-GB"/>
      <w14:ligatures w14:val="none"/>
    </w:rPr>
  </w:style>
  <w:style w:type="character" w:styleId="LineNumber">
    <w:name w:val="line number"/>
    <w:basedOn w:val="DefaultParagraphFont"/>
    <w:uiPriority w:val="99"/>
    <w:semiHidden/>
    <w:unhideWhenUsed/>
    <w:rsid w:val="001856C0"/>
  </w:style>
  <w:style w:type="character" w:customStyle="1" w:styleId="Heading2Char">
    <w:name w:val="Heading 2 Char"/>
    <w:basedOn w:val="DefaultParagraphFont"/>
    <w:link w:val="Heading2"/>
    <w:uiPriority w:val="9"/>
    <w:rsid w:val="003008FD"/>
    <w:rPr>
      <w:rFonts w:asciiTheme="majorHAnsi" w:eastAsiaTheme="majorEastAsia" w:hAnsiTheme="majorHAnsi" w:cstheme="majorBidi"/>
      <w:color w:val="2F5496" w:themeColor="accent1" w:themeShade="BF"/>
      <w:kern w:val="0"/>
      <w:sz w:val="26"/>
      <w:szCs w:val="26"/>
      <w:lang w:val="en-GB"/>
      <w14:ligatures w14:val="none"/>
    </w:rPr>
  </w:style>
  <w:style w:type="paragraph" w:styleId="Bibliography">
    <w:name w:val="Bibliography"/>
    <w:basedOn w:val="Normal"/>
    <w:next w:val="Normal"/>
    <w:uiPriority w:val="37"/>
    <w:unhideWhenUsed/>
    <w:rsid w:val="004E5C22"/>
    <w:pPr>
      <w:tabs>
        <w:tab w:val="left" w:pos="264"/>
      </w:tabs>
      <w:spacing w:after="240" w:line="240" w:lineRule="auto"/>
      <w:ind w:left="264" w:hanging="264"/>
    </w:pPr>
  </w:style>
  <w:style w:type="character" w:styleId="CommentReference">
    <w:name w:val="annotation reference"/>
    <w:basedOn w:val="DefaultParagraphFont"/>
    <w:uiPriority w:val="99"/>
    <w:semiHidden/>
    <w:unhideWhenUsed/>
    <w:rsid w:val="001536DB"/>
    <w:rPr>
      <w:sz w:val="16"/>
      <w:szCs w:val="16"/>
    </w:rPr>
  </w:style>
  <w:style w:type="paragraph" w:styleId="CommentText">
    <w:name w:val="annotation text"/>
    <w:basedOn w:val="Normal"/>
    <w:link w:val="CommentTextChar"/>
    <w:uiPriority w:val="99"/>
    <w:unhideWhenUsed/>
    <w:rsid w:val="001536DB"/>
    <w:pPr>
      <w:spacing w:line="240" w:lineRule="auto"/>
    </w:pPr>
    <w:rPr>
      <w:sz w:val="20"/>
      <w:szCs w:val="20"/>
      <w:lang w:val="en-US"/>
    </w:rPr>
  </w:style>
  <w:style w:type="character" w:customStyle="1" w:styleId="CommentTextChar">
    <w:name w:val="Comment Text Char"/>
    <w:basedOn w:val="DefaultParagraphFont"/>
    <w:link w:val="CommentText"/>
    <w:uiPriority w:val="99"/>
    <w:rsid w:val="001536DB"/>
    <w:rPr>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672759">
      <w:bodyDiv w:val="1"/>
      <w:marLeft w:val="0"/>
      <w:marRight w:val="0"/>
      <w:marTop w:val="0"/>
      <w:marBottom w:val="0"/>
      <w:divBdr>
        <w:top w:val="none" w:sz="0" w:space="0" w:color="auto"/>
        <w:left w:val="none" w:sz="0" w:space="0" w:color="auto"/>
        <w:bottom w:val="none" w:sz="0" w:space="0" w:color="auto"/>
        <w:right w:val="none" w:sz="0" w:space="0" w:color="auto"/>
      </w:divBdr>
    </w:div>
    <w:div w:id="188036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1343</Words>
  <Characters>7447</Characters>
  <Application>Microsoft Office Word</Application>
  <DocSecurity>0</DocSecurity>
  <Lines>195</Lines>
  <Paragraphs>104</Paragraphs>
  <ScaleCrop>false</ScaleCrop>
  <Company>Tampere University</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Kurkela (TAU)</dc:creator>
  <cp:keywords/>
  <dc:description/>
  <cp:lastModifiedBy>Olli Kurkela (TAU)</cp:lastModifiedBy>
  <cp:revision>4</cp:revision>
  <cp:lastPrinted>2023-11-16T07:32:00Z</cp:lastPrinted>
  <dcterms:created xsi:type="dcterms:W3CDTF">2023-11-29T12:04:00Z</dcterms:created>
  <dcterms:modified xsi:type="dcterms:W3CDTF">2023-11-29T12:06:00Z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55ac2679-0abb-47f3-8c62-2da3f888c628</vt:lpwstr>
  </property>
  <property fmtid="{D5CDD505-2E9C-101B-9397-08002B2CF9AE}" pid="3" name="ZOTERO_PREF_1">
    <vt:lpwstr>&lt;data data-version="3" zotero-version="6.0.27"&gt;&lt;session id="7WFIi9mz"/&gt;&lt;style id="http://www.zotero.org/styles/diabetes-care" hasBibliography="1" bibliographyStyleHasBeenSet="1"/&gt;&lt;prefs&gt;&lt;pref name="fieldType" value="Field"/&gt;&lt;pref name="automaticJournalAbb</vt:lpwstr>
  </property>
  <property fmtid="{D5CDD505-2E9C-101B-9397-08002B2CF9AE}" pid="4" name="ZOTERO_PREF_2">
    <vt:lpwstr>reviations" value="true"/&gt;&lt;/prefs&gt;&lt;/data&gt;</vt:lpwstr>
  </property>
</Properties>
</file>