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EAD37" w14:textId="77777777" w:rsidR="004B2027" w:rsidRDefault="004B2027">
      <w:pPr>
        <w:jc w:val="left"/>
        <w:rPr>
          <w:rFonts w:ascii="Times New Roman" w:hAnsi="Times New Roman" w:cs="Times New Roman"/>
          <w:b/>
          <w:bCs/>
          <w:sz w:val="24"/>
          <w:szCs w:val="24"/>
        </w:rPr>
      </w:pPr>
    </w:p>
    <w:p w14:paraId="7327F982" w14:textId="77777777" w:rsidR="004B2027" w:rsidRDefault="00000000">
      <w:pPr>
        <w:jc w:val="left"/>
        <w:rPr>
          <w:rFonts w:ascii="Times New Roman" w:hAnsi="Times New Roman" w:cs="Times New Roman"/>
          <w:b/>
          <w:bCs/>
          <w:sz w:val="24"/>
          <w:szCs w:val="24"/>
        </w:rPr>
      </w:pPr>
      <w:r>
        <w:rPr>
          <w:rFonts w:ascii="Times New Roman" w:hAnsi="Times New Roman" w:cs="Times New Roman"/>
          <w:b/>
          <w:bCs/>
          <w:sz w:val="24"/>
          <w:szCs w:val="24"/>
        </w:rPr>
        <w:t>Supplemental Files</w:t>
      </w:r>
    </w:p>
    <w:p w14:paraId="5F9BEAF5" w14:textId="77777777" w:rsidR="004B2027" w:rsidRDefault="004B2027">
      <w:pPr>
        <w:jc w:val="left"/>
        <w:rPr>
          <w:rFonts w:ascii="Times New Roman" w:hAnsi="Times New Roman" w:cs="Times New Roman"/>
          <w:b/>
          <w:bCs/>
          <w:szCs w:val="21"/>
          <w:lang w:eastAsia="zh-Hans"/>
        </w:rPr>
      </w:pPr>
    </w:p>
    <w:p w14:paraId="7B91A738" w14:textId="77777777" w:rsidR="004B2027" w:rsidRDefault="00000000">
      <w:pPr>
        <w:jc w:val="left"/>
        <w:rPr>
          <w:rFonts w:ascii="Times New Roman" w:hAnsi="Times New Roman" w:cs="Times New Roman"/>
        </w:rPr>
      </w:pPr>
      <w:r>
        <w:rPr>
          <w:rFonts w:ascii="Times New Roman" w:hAnsi="Times New Roman" w:cs="Times New Roman"/>
          <w:b/>
          <w:bCs/>
          <w:szCs w:val="21"/>
          <w:lang w:eastAsia="zh-Hans"/>
        </w:rPr>
        <w:t xml:space="preserve">Supplementary Figure. 1 </w:t>
      </w:r>
      <w:r>
        <w:rPr>
          <w:rFonts w:ascii="Times New Roman" w:hAnsi="Times New Roman" w:cs="Times New Roman"/>
          <w:szCs w:val="21"/>
          <w:lang w:eastAsia="zh-Hans"/>
        </w:rPr>
        <w:t>(A)</w:t>
      </w:r>
      <w:r>
        <w:rPr>
          <w:rFonts w:ascii="Times New Roman" w:hAnsi="Times New Roman" w:cs="Times New Roman"/>
          <w:b/>
          <w:bCs/>
          <w:szCs w:val="21"/>
          <w:lang w:eastAsia="zh-Hans"/>
        </w:rPr>
        <w:t xml:space="preserve"> </w:t>
      </w:r>
      <w:r>
        <w:rPr>
          <w:rFonts w:ascii="Times New Roman" w:hAnsi="Times New Roman" w:cs="Times New Roman"/>
          <w:szCs w:val="21"/>
          <w:lang w:eastAsia="zh-Hans"/>
        </w:rPr>
        <w:t>ROC plots of the TMMSscore. (B) ROC plots of the TMMSscore for the testing cohorts. (C)</w:t>
      </w:r>
      <w:r>
        <w:rPr>
          <w:rFonts w:ascii="Times New Roman" w:hAnsi="Times New Roman" w:cs="Times New Roman"/>
        </w:rPr>
        <w:t xml:space="preserve"> </w:t>
      </w:r>
      <w:r>
        <w:rPr>
          <w:rFonts w:ascii="Times New Roman" w:hAnsi="Times New Roman" w:cs="Times New Roman"/>
          <w:szCs w:val="21"/>
          <w:lang w:eastAsia="zh-Hans"/>
        </w:rPr>
        <w:t>TMMSscore distribution chart for training cohort. (D) TMMSscore distribution chart for testing cohort. (E)</w:t>
      </w:r>
      <w:r>
        <w:rPr>
          <w:rFonts w:ascii="Times New Roman" w:hAnsi="Times New Roman" w:cs="Times New Roman"/>
        </w:rPr>
        <w:t xml:space="preserve"> </w:t>
      </w:r>
      <w:r>
        <w:rPr>
          <w:rFonts w:ascii="Times New Roman" w:hAnsi="Times New Roman" w:cs="Times New Roman"/>
          <w:szCs w:val="21"/>
          <w:lang w:eastAsia="zh-Hans"/>
        </w:rPr>
        <w:t>TMMSscore</w:t>
      </w:r>
      <w:r>
        <w:rPr>
          <w:rFonts w:ascii="Times New Roman" w:hAnsi="Times New Roman" w:cs="Times New Roman"/>
        </w:rPr>
        <w:t xml:space="preserve"> scatter plot for training cohort. (F) </w:t>
      </w:r>
      <w:r>
        <w:rPr>
          <w:rFonts w:ascii="Times New Roman" w:hAnsi="Times New Roman" w:cs="Times New Roman"/>
          <w:szCs w:val="21"/>
          <w:lang w:eastAsia="zh-Hans"/>
        </w:rPr>
        <w:t>TMMSscore</w:t>
      </w:r>
      <w:r>
        <w:rPr>
          <w:rFonts w:ascii="Times New Roman" w:hAnsi="Times New Roman" w:cs="Times New Roman"/>
        </w:rPr>
        <w:t xml:space="preserve"> scatter plot for testing cohort. (G) Gene expression of TMMS genes in the sample. (H) Gene expression of TMMS genes in the sample of the testing cohort.</w:t>
      </w:r>
    </w:p>
    <w:p w14:paraId="1DC916F7" w14:textId="77777777" w:rsidR="004B2027" w:rsidRDefault="004B2027">
      <w:pPr>
        <w:jc w:val="left"/>
        <w:rPr>
          <w:rFonts w:ascii="Times New Roman" w:hAnsi="Times New Roman" w:cs="Times New Roman"/>
          <w:b/>
          <w:bCs/>
          <w:szCs w:val="21"/>
          <w:lang w:eastAsia="zh-Hans"/>
        </w:rPr>
      </w:pPr>
    </w:p>
    <w:p w14:paraId="4682D2E1" w14:textId="77777777" w:rsidR="004B2027" w:rsidRDefault="00000000">
      <w:pPr>
        <w:jc w:val="left"/>
        <w:rPr>
          <w:rFonts w:ascii="Times New Roman" w:hAnsi="Times New Roman" w:cs="Times New Roman"/>
          <w:szCs w:val="21"/>
        </w:rPr>
      </w:pPr>
      <w:r>
        <w:rPr>
          <w:rFonts w:ascii="Times New Roman" w:hAnsi="Times New Roman" w:cs="Times New Roman"/>
          <w:b/>
          <w:bCs/>
          <w:szCs w:val="21"/>
          <w:lang w:eastAsia="zh-Hans"/>
        </w:rPr>
        <w:t xml:space="preserve">Supplementary Figure. 2 </w:t>
      </w:r>
      <w:r>
        <w:rPr>
          <w:rFonts w:ascii="Times New Roman" w:hAnsi="Times New Roman" w:cs="Times New Roman"/>
          <w:kern w:val="0"/>
          <w:szCs w:val="21"/>
        </w:rPr>
        <w:t>(A) Circle plot of GO enrichment analysis for DEGs among the two</w:t>
      </w:r>
      <w:r>
        <w:rPr>
          <w:rFonts w:ascii="Times New Roman" w:hAnsi="Times New Roman" w:cs="Times New Roman"/>
          <w:szCs w:val="21"/>
        </w:rPr>
        <w:t xml:space="preserve"> TMMSscore</w:t>
      </w:r>
      <w:r>
        <w:rPr>
          <w:rFonts w:ascii="Times New Roman" w:hAnsi="Times New Roman" w:cs="Times New Roman"/>
          <w:kern w:val="0"/>
          <w:szCs w:val="21"/>
        </w:rPr>
        <w:t xml:space="preserve"> groups.</w:t>
      </w:r>
      <w:r>
        <w:rPr>
          <w:rFonts w:ascii="Times New Roman" w:hAnsi="Times New Roman" w:cs="Times New Roman"/>
          <w:szCs w:val="21"/>
        </w:rPr>
        <w:t xml:space="preserve"> The left half circles are DEGs, the right half circles are different GOs, DEGs corresponding to GOs are represented by connecting lines, and different colors have corresponding annotations below the graphs. (B, C) GO enrichment analysis of DEGs</w:t>
      </w:r>
      <w:r>
        <w:rPr>
          <w:rFonts w:ascii="Times New Roman" w:hAnsi="Times New Roman" w:cs="Times New Roman"/>
          <w:kern w:val="0"/>
          <w:szCs w:val="21"/>
        </w:rPr>
        <w:t xml:space="preserve"> among the two</w:t>
      </w:r>
      <w:r>
        <w:rPr>
          <w:rFonts w:ascii="Times New Roman" w:hAnsi="Times New Roman" w:cs="Times New Roman"/>
          <w:szCs w:val="21"/>
        </w:rPr>
        <w:t xml:space="preserve"> TMMSscore</w:t>
      </w:r>
      <w:r>
        <w:rPr>
          <w:rFonts w:ascii="Times New Roman" w:hAnsi="Times New Roman" w:cs="Times New Roman"/>
          <w:kern w:val="0"/>
          <w:szCs w:val="21"/>
        </w:rPr>
        <w:t xml:space="preserve"> groups</w:t>
      </w:r>
      <w:r>
        <w:rPr>
          <w:rFonts w:ascii="Times New Roman" w:hAnsi="Times New Roman" w:cs="Times New Roman"/>
          <w:szCs w:val="21"/>
        </w:rPr>
        <w:t xml:space="preserve">, and the graph colors represent different P values. </w:t>
      </w:r>
      <w:r>
        <w:rPr>
          <w:rFonts w:ascii="Times New Roman" w:hAnsi="Times New Roman" w:cs="Times New Roman"/>
          <w:kern w:val="0"/>
          <w:szCs w:val="21"/>
        </w:rPr>
        <w:t>(D) Circle plot of KEGG enrichment analysis for DEGs between the two</w:t>
      </w:r>
      <w:r>
        <w:rPr>
          <w:rFonts w:ascii="Times New Roman" w:hAnsi="Times New Roman" w:cs="Times New Roman"/>
          <w:szCs w:val="21"/>
        </w:rPr>
        <w:t xml:space="preserve"> TMMSscore</w:t>
      </w:r>
      <w:r>
        <w:rPr>
          <w:rFonts w:ascii="Times New Roman" w:hAnsi="Times New Roman" w:cs="Times New Roman"/>
          <w:kern w:val="0"/>
          <w:szCs w:val="21"/>
        </w:rPr>
        <w:t xml:space="preserve"> groups.</w:t>
      </w:r>
      <w:r>
        <w:rPr>
          <w:rFonts w:ascii="Times New Roman" w:hAnsi="Times New Roman" w:cs="Times New Roman"/>
          <w:szCs w:val="21"/>
        </w:rPr>
        <w:t xml:space="preserve"> </w:t>
      </w:r>
      <w:r>
        <w:rPr>
          <w:rFonts w:ascii="Times New Roman" w:hAnsi="Times New Roman" w:cs="Times New Roman"/>
          <w:kern w:val="0"/>
          <w:szCs w:val="21"/>
        </w:rPr>
        <w:t>(E, F)</w:t>
      </w:r>
      <w:r>
        <w:rPr>
          <w:rFonts w:ascii="Times New Roman" w:hAnsi="Times New Roman" w:cs="Times New Roman"/>
          <w:szCs w:val="21"/>
        </w:rPr>
        <w:t xml:space="preserve"> The KEGG enrichment analysis of DEGs</w:t>
      </w:r>
      <w:r>
        <w:rPr>
          <w:rFonts w:ascii="Times New Roman" w:hAnsi="Times New Roman" w:cs="Times New Roman"/>
          <w:kern w:val="0"/>
          <w:szCs w:val="21"/>
        </w:rPr>
        <w:t xml:space="preserve"> among the two</w:t>
      </w:r>
      <w:r>
        <w:rPr>
          <w:rFonts w:ascii="Times New Roman" w:hAnsi="Times New Roman" w:cs="Times New Roman"/>
          <w:szCs w:val="21"/>
        </w:rPr>
        <w:t xml:space="preserve"> TMMSscore</w:t>
      </w:r>
      <w:r>
        <w:rPr>
          <w:rFonts w:ascii="Times New Roman" w:hAnsi="Times New Roman" w:cs="Times New Roman"/>
          <w:kern w:val="0"/>
          <w:szCs w:val="21"/>
        </w:rPr>
        <w:t xml:space="preserve"> groups</w:t>
      </w:r>
      <w:r>
        <w:rPr>
          <w:rFonts w:ascii="Times New Roman" w:hAnsi="Times New Roman" w:cs="Times New Roman"/>
          <w:szCs w:val="21"/>
        </w:rPr>
        <w:t xml:space="preserve">, and the graph colors represent different P values. </w:t>
      </w:r>
    </w:p>
    <w:p w14:paraId="23E0D0B7" w14:textId="77777777" w:rsidR="004B2027" w:rsidRDefault="004B2027">
      <w:pPr>
        <w:jc w:val="left"/>
        <w:rPr>
          <w:rFonts w:ascii="Times New Roman" w:hAnsi="Times New Roman" w:cs="Times New Roman"/>
          <w:szCs w:val="21"/>
        </w:rPr>
      </w:pPr>
    </w:p>
    <w:p w14:paraId="02B3C132" w14:textId="77777777" w:rsidR="004B2027" w:rsidRDefault="00000000">
      <w:pPr>
        <w:jc w:val="left"/>
        <w:rPr>
          <w:rFonts w:ascii="Times New Roman" w:hAnsi="Times New Roman" w:cs="Times New Roman"/>
          <w:szCs w:val="21"/>
        </w:rPr>
      </w:pPr>
      <w:r>
        <w:rPr>
          <w:rFonts w:ascii="Times New Roman" w:hAnsi="Times New Roman" w:cs="Times New Roman"/>
          <w:b/>
          <w:bCs/>
          <w:szCs w:val="21"/>
          <w:lang w:eastAsia="zh-Hans"/>
        </w:rPr>
        <w:t>Supplementary Figure. 3</w:t>
      </w:r>
      <w:r>
        <w:rPr>
          <w:rFonts w:ascii="Times New Roman" w:hAnsi="Times New Roman" w:cs="Times New Roman"/>
          <w:szCs w:val="21"/>
          <w:lang w:eastAsia="zh-Hans"/>
        </w:rPr>
        <w:t xml:space="preserve"> (A)</w:t>
      </w:r>
      <w:r>
        <w:rPr>
          <w:rFonts w:ascii="Times New Roman" w:hAnsi="Times New Roman" w:cs="Times New Roman"/>
          <w:b/>
          <w:bCs/>
          <w:szCs w:val="21"/>
          <w:lang w:eastAsia="zh-Hans"/>
        </w:rPr>
        <w:t xml:space="preserve"> </w:t>
      </w:r>
      <w:r>
        <w:rPr>
          <w:rFonts w:ascii="Times New Roman" w:hAnsi="Times New Roman" w:cs="Times New Roman"/>
          <w:szCs w:val="21"/>
          <w:lang w:eastAsia="zh-Hans"/>
        </w:rPr>
        <w:t>Protein interaction network diagram of TMMSscore-based DEGs. (B) Gene interaction network diagram for DEGs of TMMSscore. (C-H)</w:t>
      </w:r>
      <w:r>
        <w:rPr>
          <w:rFonts w:ascii="Times New Roman" w:hAnsi="Times New Roman" w:cs="Times New Roman"/>
          <w:szCs w:val="21"/>
        </w:rPr>
        <w:t xml:space="preserve"> </w:t>
      </w:r>
      <w:r>
        <w:rPr>
          <w:rFonts w:ascii="Times New Roman" w:hAnsi="Times New Roman" w:cs="Times New Roman"/>
          <w:szCs w:val="21"/>
          <w:lang w:eastAsia="zh-Hans"/>
        </w:rPr>
        <w:t>Differences in traditional clinical characteristics between high low COL1A2 groups.</w:t>
      </w:r>
    </w:p>
    <w:p w14:paraId="45073DEE" w14:textId="77777777" w:rsidR="004B2027" w:rsidRDefault="004B2027">
      <w:pPr>
        <w:rPr>
          <w:rFonts w:ascii="Times New Roman" w:hAnsi="Times New Roman" w:cs="Times New Roman"/>
          <w:b/>
          <w:bCs/>
          <w:szCs w:val="21"/>
          <w:lang w:eastAsia="zh-Hans"/>
        </w:rPr>
      </w:pPr>
    </w:p>
    <w:p w14:paraId="41DFB818" w14:textId="77777777" w:rsidR="004B2027" w:rsidRDefault="00000000">
      <w:pPr>
        <w:rPr>
          <w:rFonts w:ascii="Times New Roman" w:hAnsi="Times New Roman" w:cs="Times New Roman"/>
          <w:szCs w:val="21"/>
        </w:rPr>
      </w:pPr>
      <w:r>
        <w:rPr>
          <w:rFonts w:ascii="Times New Roman" w:hAnsi="Times New Roman" w:cs="Times New Roman"/>
          <w:b/>
          <w:bCs/>
          <w:szCs w:val="21"/>
          <w:lang w:eastAsia="zh-Hans"/>
        </w:rPr>
        <w:t>Supplementary Table. 1</w:t>
      </w:r>
      <w:r>
        <w:rPr>
          <w:rFonts w:ascii="Times New Roman" w:hAnsi="Times New Roman" w:cs="Times New Roman"/>
          <w:szCs w:val="21"/>
          <w:lang w:eastAsia="zh-Hans"/>
        </w:rPr>
        <w:t xml:space="preserve"> </w:t>
      </w:r>
      <w:r>
        <w:rPr>
          <w:rFonts w:ascii="Times New Roman" w:hAnsi="Times New Roman" w:cs="Times New Roman"/>
          <w:szCs w:val="21"/>
        </w:rPr>
        <w:t>86 KEGG metabolic pathways.</w:t>
      </w:r>
    </w:p>
    <w:p w14:paraId="3EA63906" w14:textId="77777777" w:rsidR="004B2027" w:rsidRDefault="004B2027">
      <w:pPr>
        <w:autoSpaceDE w:val="0"/>
        <w:autoSpaceDN w:val="0"/>
        <w:adjustRightInd w:val="0"/>
        <w:jc w:val="left"/>
        <w:rPr>
          <w:rFonts w:ascii="Times New Roman" w:hAnsi="Times New Roman" w:cs="Times New Roman"/>
          <w:b/>
          <w:bCs/>
          <w:szCs w:val="21"/>
          <w:lang w:eastAsia="zh-Hans"/>
        </w:rPr>
      </w:pPr>
    </w:p>
    <w:p w14:paraId="09E67FE3" w14:textId="77777777" w:rsidR="004B2027" w:rsidRDefault="00000000">
      <w:pPr>
        <w:autoSpaceDE w:val="0"/>
        <w:autoSpaceDN w:val="0"/>
        <w:adjustRightInd w:val="0"/>
        <w:jc w:val="left"/>
        <w:rPr>
          <w:rFonts w:ascii="Times New Roman" w:hAnsi="Times New Roman" w:cs="Times New Roman"/>
          <w:szCs w:val="21"/>
          <w:lang w:eastAsia="zh-Hans"/>
        </w:rPr>
      </w:pPr>
      <w:r>
        <w:rPr>
          <w:rFonts w:ascii="Times New Roman" w:hAnsi="Times New Roman" w:cs="Times New Roman"/>
          <w:b/>
          <w:bCs/>
          <w:szCs w:val="21"/>
          <w:lang w:eastAsia="zh-Hans"/>
        </w:rPr>
        <w:t xml:space="preserve">Supplementary Table. 2 </w:t>
      </w:r>
      <w:r>
        <w:rPr>
          <w:rFonts w:ascii="Times New Roman" w:hAnsi="Times New Roman" w:cs="Times New Roman"/>
          <w:szCs w:val="21"/>
          <w:lang w:eastAsia="zh-Hans"/>
        </w:rPr>
        <w:t>GSVA results of the training cohort samples.</w:t>
      </w:r>
    </w:p>
    <w:p w14:paraId="6AC4DFBC" w14:textId="77777777" w:rsidR="004B2027" w:rsidRDefault="004B2027">
      <w:pPr>
        <w:autoSpaceDE w:val="0"/>
        <w:autoSpaceDN w:val="0"/>
        <w:adjustRightInd w:val="0"/>
        <w:jc w:val="left"/>
        <w:rPr>
          <w:rFonts w:ascii="Times New Roman" w:hAnsi="Times New Roman" w:cs="Times New Roman"/>
          <w:b/>
          <w:bCs/>
          <w:szCs w:val="21"/>
          <w:lang w:eastAsia="zh-Hans"/>
        </w:rPr>
      </w:pPr>
    </w:p>
    <w:p w14:paraId="1DC818F3" w14:textId="77777777" w:rsidR="004B2027" w:rsidRDefault="00000000">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b/>
          <w:bCs/>
          <w:szCs w:val="21"/>
          <w:lang w:eastAsia="zh-Hans"/>
        </w:rPr>
        <w:t xml:space="preserve">Supplementary Table. 3 </w:t>
      </w:r>
      <w:bookmarkStart w:id="0" w:name="OLE_LINK40"/>
      <w:r>
        <w:rPr>
          <w:rFonts w:ascii="Times New Roman" w:hAnsi="Times New Roman" w:cs="Times New Roman"/>
          <w:szCs w:val="21"/>
          <w:lang w:eastAsia="zh-Hans"/>
        </w:rPr>
        <w:t>GO and KEGG enrichment analysis results of DEGs among three clusters</w:t>
      </w:r>
      <w:bookmarkEnd w:id="0"/>
      <w:r>
        <w:rPr>
          <w:rFonts w:ascii="Times New Roman" w:hAnsi="Times New Roman" w:cs="Times New Roman"/>
          <w:szCs w:val="21"/>
          <w:lang w:eastAsia="zh-Hans"/>
        </w:rPr>
        <w:t>.</w:t>
      </w:r>
    </w:p>
    <w:p w14:paraId="2071DA40" w14:textId="77777777" w:rsidR="004B2027" w:rsidRDefault="004B2027">
      <w:pPr>
        <w:autoSpaceDE w:val="0"/>
        <w:autoSpaceDN w:val="0"/>
        <w:adjustRightInd w:val="0"/>
        <w:jc w:val="left"/>
        <w:rPr>
          <w:rFonts w:ascii="Times New Roman" w:hAnsi="Times New Roman" w:cs="Times New Roman"/>
          <w:b/>
          <w:bCs/>
          <w:szCs w:val="21"/>
          <w:lang w:eastAsia="zh-Hans"/>
        </w:rPr>
      </w:pPr>
      <w:bookmarkStart w:id="1" w:name="_Hlk117160452"/>
    </w:p>
    <w:p w14:paraId="4ACE9706" w14:textId="77777777" w:rsidR="004B2027" w:rsidRDefault="00000000">
      <w:pPr>
        <w:autoSpaceDE w:val="0"/>
        <w:autoSpaceDN w:val="0"/>
        <w:adjustRightInd w:val="0"/>
        <w:jc w:val="left"/>
        <w:rPr>
          <w:rFonts w:ascii="Times New Roman" w:hAnsi="Times New Roman" w:cs="Times New Roman"/>
          <w:lang w:eastAsia="zh-Hans"/>
        </w:rPr>
      </w:pPr>
      <w:r>
        <w:rPr>
          <w:rFonts w:ascii="Times New Roman" w:hAnsi="Times New Roman" w:cs="Times New Roman"/>
          <w:b/>
          <w:bCs/>
          <w:szCs w:val="21"/>
          <w:lang w:eastAsia="zh-Hans"/>
        </w:rPr>
        <w:t xml:space="preserve">Supplementary Table. 4 </w:t>
      </w:r>
      <w:bookmarkEnd w:id="1"/>
      <w:r>
        <w:rPr>
          <w:rFonts w:ascii="Times New Roman" w:hAnsi="Times New Roman" w:cs="Times New Roman"/>
          <w:kern w:val="0"/>
          <w:szCs w:val="21"/>
        </w:rPr>
        <w:t xml:space="preserve">Prognostic </w:t>
      </w:r>
      <w:r>
        <w:rPr>
          <w:rFonts w:ascii="Times New Roman" w:hAnsi="Times New Roman" w:cs="Times New Roman"/>
          <w:szCs w:val="21"/>
          <w:lang w:eastAsia="zh-Hans"/>
        </w:rPr>
        <w:t>results</w:t>
      </w:r>
      <w:r>
        <w:rPr>
          <w:rFonts w:ascii="Times New Roman" w:hAnsi="Times New Roman" w:cs="Times New Roman"/>
          <w:kern w:val="0"/>
          <w:szCs w:val="21"/>
        </w:rPr>
        <w:t xml:space="preserve"> between 218 TMGs calculated by</w:t>
      </w:r>
      <w:r>
        <w:rPr>
          <w:rFonts w:ascii="Times New Roman" w:hAnsi="Times New Roman" w:cs="Times New Roman"/>
          <w:szCs w:val="21"/>
          <w:lang w:eastAsia="zh-Hans"/>
        </w:rPr>
        <w:t xml:space="preserve"> the univariate Cox regression method.</w:t>
      </w:r>
    </w:p>
    <w:p w14:paraId="7284AFD9" w14:textId="77777777" w:rsidR="004B2027" w:rsidRDefault="004B2027">
      <w:pPr>
        <w:autoSpaceDE w:val="0"/>
        <w:autoSpaceDN w:val="0"/>
        <w:adjustRightInd w:val="0"/>
        <w:jc w:val="left"/>
        <w:rPr>
          <w:rFonts w:ascii="Times New Roman" w:hAnsi="Times New Roman" w:cs="Times New Roman"/>
          <w:b/>
          <w:bCs/>
          <w:szCs w:val="21"/>
          <w:lang w:eastAsia="zh-Hans"/>
        </w:rPr>
      </w:pPr>
    </w:p>
    <w:p w14:paraId="675AFC89" w14:textId="77777777" w:rsidR="004B2027" w:rsidRDefault="00000000">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b/>
          <w:bCs/>
          <w:szCs w:val="21"/>
          <w:lang w:eastAsia="zh-Hans"/>
        </w:rPr>
        <w:t xml:space="preserve">Supplementary Table. 5 </w:t>
      </w:r>
      <w:r>
        <w:rPr>
          <w:rFonts w:ascii="Times New Roman" w:hAnsi="Times New Roman" w:cs="Times New Roman"/>
          <w:kern w:val="0"/>
          <w:szCs w:val="21"/>
        </w:rPr>
        <w:t>GSVA results between high and low TMMSscore groups.</w:t>
      </w:r>
    </w:p>
    <w:p w14:paraId="2896F268" w14:textId="77777777" w:rsidR="004B2027" w:rsidRDefault="004B2027">
      <w:pPr>
        <w:jc w:val="left"/>
        <w:rPr>
          <w:rFonts w:ascii="Times New Roman" w:hAnsi="Times New Roman" w:cs="Times New Roman"/>
          <w:b/>
          <w:bCs/>
          <w:szCs w:val="21"/>
          <w:lang w:eastAsia="zh-Hans"/>
        </w:rPr>
      </w:pPr>
    </w:p>
    <w:p w14:paraId="41DE4311" w14:textId="77777777" w:rsidR="004B2027" w:rsidRDefault="00000000">
      <w:pPr>
        <w:jc w:val="left"/>
        <w:rPr>
          <w:rFonts w:ascii="Times New Roman" w:hAnsi="Times New Roman" w:cs="Times New Roman"/>
          <w:szCs w:val="21"/>
        </w:rPr>
      </w:pPr>
      <w:r>
        <w:rPr>
          <w:rFonts w:ascii="Times New Roman" w:hAnsi="Times New Roman" w:cs="Times New Roman"/>
          <w:b/>
          <w:bCs/>
          <w:szCs w:val="21"/>
          <w:lang w:eastAsia="zh-Hans"/>
        </w:rPr>
        <w:t xml:space="preserve">Supplementary Table. 6 </w:t>
      </w:r>
      <w:r>
        <w:rPr>
          <w:rFonts w:ascii="Times New Roman" w:hAnsi="Times New Roman" w:cs="Times New Roman"/>
          <w:szCs w:val="21"/>
          <w:lang w:eastAsia="zh-Hans"/>
        </w:rPr>
        <w:t>Immunotyping of TCGA pan-cancer samples.</w:t>
      </w:r>
    </w:p>
    <w:sectPr w:rsidR="004B2027">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MxMDc3YjMyMTFiMjk5NjcyMGJlZDZhODAyNzliZGIifQ=="/>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x0ee9wcewzsaezdw8vwaxovxvtsw0s0pdt&quot;&gt;My EndNote Library&lt;record-ids&gt;&lt;item&gt;19&lt;/item&gt;&lt;item&gt;24&lt;/item&gt;&lt;item&gt;25&lt;/item&gt;&lt;item&gt;26&lt;/item&gt;&lt;item&gt;28&lt;/item&gt;&lt;item&gt;29&lt;/item&gt;&lt;item&gt;30&lt;/item&gt;&lt;item&gt;34&lt;/item&gt;&lt;item&gt;36&lt;/item&gt;&lt;item&gt;37&lt;/item&gt;&lt;item&gt;38&lt;/item&gt;&lt;item&gt;39&lt;/item&gt;&lt;item&gt;40&lt;/item&gt;&lt;item&gt;41&lt;/item&gt;&lt;item&gt;42&lt;/item&gt;&lt;item&gt;46&lt;/item&gt;&lt;item&gt;47&lt;/item&gt;&lt;item&gt;48&lt;/item&gt;&lt;item&gt;49&lt;/item&gt;&lt;/record-ids&gt;&lt;/item&gt;&lt;/Libraries&gt;"/>
    <w:docVar w:name="KSO_WPS_MARK_KEY" w:val="030043ce-4f8f-4c55-84b0-2a944589448d"/>
  </w:docVars>
  <w:rsids>
    <w:rsidRoot w:val="00510D76"/>
    <w:rsid w:val="00001FB8"/>
    <w:rsid w:val="00003330"/>
    <w:rsid w:val="00012824"/>
    <w:rsid w:val="00020914"/>
    <w:rsid w:val="0002537F"/>
    <w:rsid w:val="00033F3F"/>
    <w:rsid w:val="00034385"/>
    <w:rsid w:val="00041BFF"/>
    <w:rsid w:val="00043B07"/>
    <w:rsid w:val="00046463"/>
    <w:rsid w:val="00046855"/>
    <w:rsid w:val="000541AA"/>
    <w:rsid w:val="0006332E"/>
    <w:rsid w:val="00064769"/>
    <w:rsid w:val="000676BB"/>
    <w:rsid w:val="000727E6"/>
    <w:rsid w:val="000774E1"/>
    <w:rsid w:val="0007786D"/>
    <w:rsid w:val="0008260E"/>
    <w:rsid w:val="00082BD8"/>
    <w:rsid w:val="000A319C"/>
    <w:rsid w:val="000B350B"/>
    <w:rsid w:val="000D12D7"/>
    <w:rsid w:val="000D4815"/>
    <w:rsid w:val="000E1D95"/>
    <w:rsid w:val="000E201B"/>
    <w:rsid w:val="000E66FB"/>
    <w:rsid w:val="000F2622"/>
    <w:rsid w:val="000F455E"/>
    <w:rsid w:val="000F7D50"/>
    <w:rsid w:val="00103F7B"/>
    <w:rsid w:val="001143FF"/>
    <w:rsid w:val="001174F8"/>
    <w:rsid w:val="00142BAE"/>
    <w:rsid w:val="00152F17"/>
    <w:rsid w:val="00160430"/>
    <w:rsid w:val="00164091"/>
    <w:rsid w:val="001705CE"/>
    <w:rsid w:val="00191FD2"/>
    <w:rsid w:val="00194516"/>
    <w:rsid w:val="001A0E86"/>
    <w:rsid w:val="001A4FED"/>
    <w:rsid w:val="001B73BC"/>
    <w:rsid w:val="001D520F"/>
    <w:rsid w:val="002035EC"/>
    <w:rsid w:val="002045D2"/>
    <w:rsid w:val="002056AE"/>
    <w:rsid w:val="002059F1"/>
    <w:rsid w:val="00207A5E"/>
    <w:rsid w:val="00207D25"/>
    <w:rsid w:val="0021215D"/>
    <w:rsid w:val="002226FE"/>
    <w:rsid w:val="0024012E"/>
    <w:rsid w:val="0024208F"/>
    <w:rsid w:val="0024263F"/>
    <w:rsid w:val="0025053F"/>
    <w:rsid w:val="00256D5C"/>
    <w:rsid w:val="002626FB"/>
    <w:rsid w:val="002655ED"/>
    <w:rsid w:val="0026789B"/>
    <w:rsid w:val="00270D73"/>
    <w:rsid w:val="0027107D"/>
    <w:rsid w:val="0027474B"/>
    <w:rsid w:val="002759F6"/>
    <w:rsid w:val="0028373F"/>
    <w:rsid w:val="00284F94"/>
    <w:rsid w:val="002875DF"/>
    <w:rsid w:val="00293309"/>
    <w:rsid w:val="0029368A"/>
    <w:rsid w:val="002A6351"/>
    <w:rsid w:val="002B2B3B"/>
    <w:rsid w:val="002B5225"/>
    <w:rsid w:val="002C1398"/>
    <w:rsid w:val="002C2AB6"/>
    <w:rsid w:val="002C465F"/>
    <w:rsid w:val="002C758F"/>
    <w:rsid w:val="002D1233"/>
    <w:rsid w:val="002D1BB9"/>
    <w:rsid w:val="002E172E"/>
    <w:rsid w:val="002E7FD6"/>
    <w:rsid w:val="002F4C3D"/>
    <w:rsid w:val="00313D13"/>
    <w:rsid w:val="003147E5"/>
    <w:rsid w:val="00324395"/>
    <w:rsid w:val="0035208D"/>
    <w:rsid w:val="00386323"/>
    <w:rsid w:val="003916F8"/>
    <w:rsid w:val="00392526"/>
    <w:rsid w:val="003A2773"/>
    <w:rsid w:val="003A32FA"/>
    <w:rsid w:val="003B51A1"/>
    <w:rsid w:val="003C39D4"/>
    <w:rsid w:val="003C7E4D"/>
    <w:rsid w:val="003D0D0D"/>
    <w:rsid w:val="003D1BD4"/>
    <w:rsid w:val="003D6786"/>
    <w:rsid w:val="003D6C9D"/>
    <w:rsid w:val="003E3BEE"/>
    <w:rsid w:val="003F39EE"/>
    <w:rsid w:val="00423BCC"/>
    <w:rsid w:val="00424BEC"/>
    <w:rsid w:val="00425485"/>
    <w:rsid w:val="004364A6"/>
    <w:rsid w:val="00440BD8"/>
    <w:rsid w:val="00441E87"/>
    <w:rsid w:val="004446E6"/>
    <w:rsid w:val="004455A9"/>
    <w:rsid w:val="00445F5A"/>
    <w:rsid w:val="004517C9"/>
    <w:rsid w:val="00452D7A"/>
    <w:rsid w:val="00463F47"/>
    <w:rsid w:val="00465E31"/>
    <w:rsid w:val="00471ECC"/>
    <w:rsid w:val="004721C4"/>
    <w:rsid w:val="004737CF"/>
    <w:rsid w:val="00485B86"/>
    <w:rsid w:val="0049092B"/>
    <w:rsid w:val="0049570E"/>
    <w:rsid w:val="004965A6"/>
    <w:rsid w:val="004A3B06"/>
    <w:rsid w:val="004B0F60"/>
    <w:rsid w:val="004B2027"/>
    <w:rsid w:val="004C33FB"/>
    <w:rsid w:val="004C4A01"/>
    <w:rsid w:val="004D4F18"/>
    <w:rsid w:val="004D53EC"/>
    <w:rsid w:val="004D7963"/>
    <w:rsid w:val="004E3733"/>
    <w:rsid w:val="004F4EAB"/>
    <w:rsid w:val="004F68AE"/>
    <w:rsid w:val="00504640"/>
    <w:rsid w:val="00510D76"/>
    <w:rsid w:val="00516E88"/>
    <w:rsid w:val="00517212"/>
    <w:rsid w:val="00522BBC"/>
    <w:rsid w:val="005349AE"/>
    <w:rsid w:val="00535991"/>
    <w:rsid w:val="00536534"/>
    <w:rsid w:val="00541359"/>
    <w:rsid w:val="00542EC5"/>
    <w:rsid w:val="00552131"/>
    <w:rsid w:val="00556D5F"/>
    <w:rsid w:val="005674D6"/>
    <w:rsid w:val="00573DB3"/>
    <w:rsid w:val="00576962"/>
    <w:rsid w:val="00582914"/>
    <w:rsid w:val="00582B8B"/>
    <w:rsid w:val="00583C09"/>
    <w:rsid w:val="005849D9"/>
    <w:rsid w:val="00594C21"/>
    <w:rsid w:val="005959C0"/>
    <w:rsid w:val="00595BE5"/>
    <w:rsid w:val="005A12EB"/>
    <w:rsid w:val="005A147E"/>
    <w:rsid w:val="005C2D54"/>
    <w:rsid w:val="005D1774"/>
    <w:rsid w:val="005D740B"/>
    <w:rsid w:val="005D7964"/>
    <w:rsid w:val="005D7E07"/>
    <w:rsid w:val="005E19CF"/>
    <w:rsid w:val="005E42A5"/>
    <w:rsid w:val="005F2DE0"/>
    <w:rsid w:val="00601BBB"/>
    <w:rsid w:val="00602FB8"/>
    <w:rsid w:val="00607D42"/>
    <w:rsid w:val="00613BA6"/>
    <w:rsid w:val="00623298"/>
    <w:rsid w:val="00631415"/>
    <w:rsid w:val="006314D6"/>
    <w:rsid w:val="00633917"/>
    <w:rsid w:val="00645154"/>
    <w:rsid w:val="0066183F"/>
    <w:rsid w:val="00664925"/>
    <w:rsid w:val="0066655D"/>
    <w:rsid w:val="00666691"/>
    <w:rsid w:val="00677D50"/>
    <w:rsid w:val="00683628"/>
    <w:rsid w:val="00686148"/>
    <w:rsid w:val="006919DF"/>
    <w:rsid w:val="006A1B31"/>
    <w:rsid w:val="006A4E1D"/>
    <w:rsid w:val="006B54E5"/>
    <w:rsid w:val="006C5743"/>
    <w:rsid w:val="006E1CF7"/>
    <w:rsid w:val="006F2668"/>
    <w:rsid w:val="00705053"/>
    <w:rsid w:val="00706BBD"/>
    <w:rsid w:val="007222E7"/>
    <w:rsid w:val="007316CB"/>
    <w:rsid w:val="0073460C"/>
    <w:rsid w:val="0073650A"/>
    <w:rsid w:val="007429CE"/>
    <w:rsid w:val="007436A4"/>
    <w:rsid w:val="007450D3"/>
    <w:rsid w:val="00767230"/>
    <w:rsid w:val="00767B56"/>
    <w:rsid w:val="00774176"/>
    <w:rsid w:val="00776A30"/>
    <w:rsid w:val="007802F6"/>
    <w:rsid w:val="00780A1F"/>
    <w:rsid w:val="00797872"/>
    <w:rsid w:val="007A2500"/>
    <w:rsid w:val="007A3BB0"/>
    <w:rsid w:val="007A6C2C"/>
    <w:rsid w:val="007A7538"/>
    <w:rsid w:val="007B1E21"/>
    <w:rsid w:val="007B3DD1"/>
    <w:rsid w:val="007B4C69"/>
    <w:rsid w:val="007C622D"/>
    <w:rsid w:val="007E5715"/>
    <w:rsid w:val="007E590A"/>
    <w:rsid w:val="007F12FE"/>
    <w:rsid w:val="008001E7"/>
    <w:rsid w:val="0080521A"/>
    <w:rsid w:val="0081370E"/>
    <w:rsid w:val="00813F63"/>
    <w:rsid w:val="0082035D"/>
    <w:rsid w:val="00826F74"/>
    <w:rsid w:val="00836B6E"/>
    <w:rsid w:val="00844F71"/>
    <w:rsid w:val="00846AE7"/>
    <w:rsid w:val="00851336"/>
    <w:rsid w:val="00856701"/>
    <w:rsid w:val="008677D0"/>
    <w:rsid w:val="008716F1"/>
    <w:rsid w:val="00874253"/>
    <w:rsid w:val="008756D8"/>
    <w:rsid w:val="008768F3"/>
    <w:rsid w:val="00876FAC"/>
    <w:rsid w:val="00880D2E"/>
    <w:rsid w:val="008A5DEC"/>
    <w:rsid w:val="008B711C"/>
    <w:rsid w:val="008C4D8A"/>
    <w:rsid w:val="008D159A"/>
    <w:rsid w:val="008D3A3F"/>
    <w:rsid w:val="008D3F57"/>
    <w:rsid w:val="008D5B27"/>
    <w:rsid w:val="008F0D4F"/>
    <w:rsid w:val="00901EEF"/>
    <w:rsid w:val="0090296E"/>
    <w:rsid w:val="009059DA"/>
    <w:rsid w:val="00907431"/>
    <w:rsid w:val="009075AA"/>
    <w:rsid w:val="00907CC9"/>
    <w:rsid w:val="00923E9F"/>
    <w:rsid w:val="00931D0A"/>
    <w:rsid w:val="00936BFD"/>
    <w:rsid w:val="00941C43"/>
    <w:rsid w:val="0094464A"/>
    <w:rsid w:val="00947683"/>
    <w:rsid w:val="00953E28"/>
    <w:rsid w:val="00956430"/>
    <w:rsid w:val="00962A03"/>
    <w:rsid w:val="00965FCB"/>
    <w:rsid w:val="0097516C"/>
    <w:rsid w:val="00986BE0"/>
    <w:rsid w:val="00994645"/>
    <w:rsid w:val="009967CF"/>
    <w:rsid w:val="009B23B5"/>
    <w:rsid w:val="009B30D9"/>
    <w:rsid w:val="009B3D06"/>
    <w:rsid w:val="009B3D65"/>
    <w:rsid w:val="009B468A"/>
    <w:rsid w:val="009B7ADC"/>
    <w:rsid w:val="009C097B"/>
    <w:rsid w:val="009C28B4"/>
    <w:rsid w:val="009C3F98"/>
    <w:rsid w:val="009D2643"/>
    <w:rsid w:val="009E5BD5"/>
    <w:rsid w:val="00A01492"/>
    <w:rsid w:val="00A13197"/>
    <w:rsid w:val="00A1589A"/>
    <w:rsid w:val="00A20CE6"/>
    <w:rsid w:val="00A23820"/>
    <w:rsid w:val="00A277E9"/>
    <w:rsid w:val="00A30D4D"/>
    <w:rsid w:val="00A47CB5"/>
    <w:rsid w:val="00A50240"/>
    <w:rsid w:val="00A511C4"/>
    <w:rsid w:val="00A52B4B"/>
    <w:rsid w:val="00A55537"/>
    <w:rsid w:val="00A66E76"/>
    <w:rsid w:val="00A74EBB"/>
    <w:rsid w:val="00A75946"/>
    <w:rsid w:val="00A8623C"/>
    <w:rsid w:val="00A86BA9"/>
    <w:rsid w:val="00AA006D"/>
    <w:rsid w:val="00AB17E5"/>
    <w:rsid w:val="00AB25D3"/>
    <w:rsid w:val="00AC1AB9"/>
    <w:rsid w:val="00AC3BFB"/>
    <w:rsid w:val="00AC6843"/>
    <w:rsid w:val="00AD2443"/>
    <w:rsid w:val="00AD2FFA"/>
    <w:rsid w:val="00AE71AB"/>
    <w:rsid w:val="00AF6B61"/>
    <w:rsid w:val="00B009EA"/>
    <w:rsid w:val="00B01FCA"/>
    <w:rsid w:val="00B0235A"/>
    <w:rsid w:val="00B0262B"/>
    <w:rsid w:val="00B0500D"/>
    <w:rsid w:val="00B066AE"/>
    <w:rsid w:val="00B07487"/>
    <w:rsid w:val="00B1207F"/>
    <w:rsid w:val="00B146EF"/>
    <w:rsid w:val="00B15E60"/>
    <w:rsid w:val="00B21C6A"/>
    <w:rsid w:val="00B2449A"/>
    <w:rsid w:val="00B26EAF"/>
    <w:rsid w:val="00B335D5"/>
    <w:rsid w:val="00B4077B"/>
    <w:rsid w:val="00B501E3"/>
    <w:rsid w:val="00B66996"/>
    <w:rsid w:val="00B830AD"/>
    <w:rsid w:val="00B85D3B"/>
    <w:rsid w:val="00B86BF1"/>
    <w:rsid w:val="00B90AC1"/>
    <w:rsid w:val="00B92FFB"/>
    <w:rsid w:val="00B96234"/>
    <w:rsid w:val="00BA5A91"/>
    <w:rsid w:val="00BA6061"/>
    <w:rsid w:val="00BB0E99"/>
    <w:rsid w:val="00BB5BFE"/>
    <w:rsid w:val="00BB738B"/>
    <w:rsid w:val="00BE4683"/>
    <w:rsid w:val="00BF2E1D"/>
    <w:rsid w:val="00BF34E8"/>
    <w:rsid w:val="00BF7CA3"/>
    <w:rsid w:val="00C0195D"/>
    <w:rsid w:val="00C041F2"/>
    <w:rsid w:val="00C10262"/>
    <w:rsid w:val="00C34264"/>
    <w:rsid w:val="00C34BD5"/>
    <w:rsid w:val="00C37D0C"/>
    <w:rsid w:val="00C437D2"/>
    <w:rsid w:val="00C6127C"/>
    <w:rsid w:val="00C6621D"/>
    <w:rsid w:val="00C777C8"/>
    <w:rsid w:val="00C77A77"/>
    <w:rsid w:val="00C87B88"/>
    <w:rsid w:val="00C947DC"/>
    <w:rsid w:val="00C97AD9"/>
    <w:rsid w:val="00CA230F"/>
    <w:rsid w:val="00CA286A"/>
    <w:rsid w:val="00CB1046"/>
    <w:rsid w:val="00CC78AC"/>
    <w:rsid w:val="00CD1D23"/>
    <w:rsid w:val="00CD3002"/>
    <w:rsid w:val="00CF1E28"/>
    <w:rsid w:val="00CF264B"/>
    <w:rsid w:val="00D002F4"/>
    <w:rsid w:val="00D11CAD"/>
    <w:rsid w:val="00D25309"/>
    <w:rsid w:val="00D273A0"/>
    <w:rsid w:val="00D3372A"/>
    <w:rsid w:val="00D33FF0"/>
    <w:rsid w:val="00D35E6C"/>
    <w:rsid w:val="00D44361"/>
    <w:rsid w:val="00D45560"/>
    <w:rsid w:val="00D47719"/>
    <w:rsid w:val="00D51E76"/>
    <w:rsid w:val="00D554B6"/>
    <w:rsid w:val="00D71EBF"/>
    <w:rsid w:val="00D755EF"/>
    <w:rsid w:val="00D76DC6"/>
    <w:rsid w:val="00D82264"/>
    <w:rsid w:val="00D87752"/>
    <w:rsid w:val="00DA7FC7"/>
    <w:rsid w:val="00DB0D59"/>
    <w:rsid w:val="00DB3A20"/>
    <w:rsid w:val="00DC411E"/>
    <w:rsid w:val="00DC6C0E"/>
    <w:rsid w:val="00DD0AB1"/>
    <w:rsid w:val="00DD1ADE"/>
    <w:rsid w:val="00DE1016"/>
    <w:rsid w:val="00DF03DD"/>
    <w:rsid w:val="00E2255B"/>
    <w:rsid w:val="00E26CB2"/>
    <w:rsid w:val="00E3337C"/>
    <w:rsid w:val="00E432E0"/>
    <w:rsid w:val="00E45C45"/>
    <w:rsid w:val="00E51FE4"/>
    <w:rsid w:val="00E72D0D"/>
    <w:rsid w:val="00E83204"/>
    <w:rsid w:val="00E84287"/>
    <w:rsid w:val="00E85E2A"/>
    <w:rsid w:val="00E87382"/>
    <w:rsid w:val="00E95BAA"/>
    <w:rsid w:val="00EA13F3"/>
    <w:rsid w:val="00EA40B2"/>
    <w:rsid w:val="00EA5EE3"/>
    <w:rsid w:val="00EB584B"/>
    <w:rsid w:val="00ED0533"/>
    <w:rsid w:val="00ED2E4A"/>
    <w:rsid w:val="00ED41C6"/>
    <w:rsid w:val="00ED5BD9"/>
    <w:rsid w:val="00ED75D1"/>
    <w:rsid w:val="00EE0CD0"/>
    <w:rsid w:val="00EF1F4C"/>
    <w:rsid w:val="00EF3801"/>
    <w:rsid w:val="00EF446E"/>
    <w:rsid w:val="00EF7DB9"/>
    <w:rsid w:val="00F00B71"/>
    <w:rsid w:val="00F01F3C"/>
    <w:rsid w:val="00F07FF5"/>
    <w:rsid w:val="00F21D2F"/>
    <w:rsid w:val="00F2313C"/>
    <w:rsid w:val="00F243BF"/>
    <w:rsid w:val="00F25D7D"/>
    <w:rsid w:val="00F262A4"/>
    <w:rsid w:val="00F27111"/>
    <w:rsid w:val="00F3584E"/>
    <w:rsid w:val="00F4046A"/>
    <w:rsid w:val="00F4060C"/>
    <w:rsid w:val="00F46BDA"/>
    <w:rsid w:val="00F64654"/>
    <w:rsid w:val="00F6717C"/>
    <w:rsid w:val="00F67D6E"/>
    <w:rsid w:val="00F72F5F"/>
    <w:rsid w:val="00F738BD"/>
    <w:rsid w:val="00F746E6"/>
    <w:rsid w:val="00F85032"/>
    <w:rsid w:val="00F90CE5"/>
    <w:rsid w:val="00F94599"/>
    <w:rsid w:val="00FA0264"/>
    <w:rsid w:val="00FC1CFF"/>
    <w:rsid w:val="00FC1D6E"/>
    <w:rsid w:val="00FC20EB"/>
    <w:rsid w:val="00FC5718"/>
    <w:rsid w:val="00FC6608"/>
    <w:rsid w:val="00FC6B4B"/>
    <w:rsid w:val="00FC72D1"/>
    <w:rsid w:val="00FE24E9"/>
    <w:rsid w:val="00FF46EB"/>
    <w:rsid w:val="05265475"/>
    <w:rsid w:val="07D838FE"/>
    <w:rsid w:val="330A4193"/>
    <w:rsid w:val="384201F8"/>
    <w:rsid w:val="3A5122D6"/>
    <w:rsid w:val="42793AAF"/>
    <w:rsid w:val="44333DDD"/>
    <w:rsid w:val="499060E8"/>
    <w:rsid w:val="4C9007B3"/>
    <w:rsid w:val="6F433BCC"/>
    <w:rsid w:val="788D0330"/>
    <w:rsid w:val="7A232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E6AC"/>
  <w15:docId w15:val="{5347F88C-551B-4D66-B23C-271BB293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pPr>
      <w:jc w:val="left"/>
    </w:p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LineNumber">
    <w:name w:val="line number"/>
    <w:basedOn w:val="DefaultParagraphFont"/>
    <w:uiPriority w:val="99"/>
    <w:semiHidden/>
    <w:unhideWhenUsed/>
    <w:qFormat/>
  </w:style>
  <w:style w:type="character" w:styleId="Hyperlink">
    <w:name w:val="Hyperlink"/>
    <w:basedOn w:val="DefaultParagraphFont"/>
    <w:autoRedefine/>
    <w:uiPriority w:val="99"/>
    <w:unhideWhenUsed/>
    <w:qFormat/>
    <w:rPr>
      <w:color w:val="0000FF"/>
      <w:u w:val="single"/>
    </w:rPr>
  </w:style>
  <w:style w:type="character" w:styleId="CommentReference">
    <w:name w:val="annotation reference"/>
    <w:basedOn w:val="DefaultParagraphFont"/>
    <w:uiPriority w:val="99"/>
    <w:semiHidden/>
    <w:unhideWhenUsed/>
    <w:qFormat/>
    <w:rPr>
      <w:sz w:val="21"/>
      <w:szCs w:val="21"/>
    </w:rPr>
  </w:style>
  <w:style w:type="character" w:customStyle="1" w:styleId="HeaderChar">
    <w:name w:val="Header Char"/>
    <w:basedOn w:val="DefaultParagraphFont"/>
    <w:link w:val="Header"/>
    <w:autoRedefine/>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customStyle="1" w:styleId="EndNoteBibliographyTitle">
    <w:name w:val="EndNote Bibliography Title"/>
    <w:basedOn w:val="Normal"/>
    <w:link w:val="EndNoteBibliographyTitle0"/>
    <w:qFormat/>
    <w:pPr>
      <w:jc w:val="center"/>
    </w:pPr>
    <w:rPr>
      <w:rFonts w:ascii="DengXian" w:eastAsia="DengXian" w:hAnsi="DengXian"/>
      <w:sz w:val="20"/>
    </w:rPr>
  </w:style>
  <w:style w:type="character" w:customStyle="1" w:styleId="EndNoteBibliographyTitle0">
    <w:name w:val="EndNote Bibliography Title 字符"/>
    <w:basedOn w:val="DefaultParagraphFont"/>
    <w:link w:val="EndNoteBibliographyTitle"/>
    <w:qFormat/>
    <w:rPr>
      <w:rFonts w:ascii="DengXian" w:eastAsia="DengXian" w:hAnsi="DengXian"/>
      <w:kern w:val="2"/>
      <w:szCs w:val="22"/>
    </w:rPr>
  </w:style>
  <w:style w:type="paragraph" w:customStyle="1" w:styleId="EndNoteBibliography">
    <w:name w:val="EndNote Bibliography"/>
    <w:basedOn w:val="Normal"/>
    <w:link w:val="EndNoteBibliography0"/>
    <w:qFormat/>
    <w:rPr>
      <w:rFonts w:ascii="DengXian" w:eastAsia="DengXian" w:hAnsi="DengXian"/>
      <w:sz w:val="20"/>
    </w:rPr>
  </w:style>
  <w:style w:type="character" w:customStyle="1" w:styleId="EndNoteBibliography0">
    <w:name w:val="EndNote Bibliography 字符"/>
    <w:basedOn w:val="DefaultParagraphFont"/>
    <w:link w:val="EndNoteBibliography"/>
    <w:qFormat/>
    <w:rPr>
      <w:rFonts w:ascii="DengXian" w:eastAsia="DengXian" w:hAnsi="DengXian"/>
      <w:kern w:val="2"/>
      <w:szCs w:val="22"/>
    </w:rPr>
  </w:style>
  <w:style w:type="character" w:customStyle="1" w:styleId="CommentTextChar">
    <w:name w:val="Comment Text Char"/>
    <w:basedOn w:val="DefaultParagraphFont"/>
    <w:link w:val="CommentText"/>
    <w:uiPriority w:val="99"/>
    <w:qFormat/>
  </w:style>
  <w:style w:type="character" w:customStyle="1" w:styleId="1">
    <w:name w:val="未处理的提及1"/>
    <w:basedOn w:val="DefaultParagraphFont"/>
    <w:autoRedefine/>
    <w:uiPriority w:val="99"/>
    <w:semiHidden/>
    <w:unhideWhenUsed/>
    <w:qFormat/>
    <w:rPr>
      <w:color w:val="605E5C"/>
      <w:shd w:val="clear" w:color="auto" w:fill="E1DFDD"/>
    </w:rPr>
  </w:style>
  <w:style w:type="paragraph" w:styleId="ListParagraph">
    <w:name w:val="List Paragraph"/>
    <w:basedOn w:val="Normal"/>
    <w:uiPriority w:val="1"/>
    <w:qFormat/>
    <w:pPr>
      <w:autoSpaceDE w:val="0"/>
      <w:autoSpaceDN w:val="0"/>
      <w:ind w:left="882" w:hanging="722"/>
      <w:jc w:val="left"/>
    </w:pPr>
    <w:rPr>
      <w:rFonts w:ascii="Times New Roman" w:eastAsia="Times New Roman" w:hAnsi="Times New Roman" w:cs="Times New Roman"/>
      <w:kern w:val="0"/>
      <w:sz w:val="22"/>
      <w:lang w:eastAsia="en-US"/>
    </w:rPr>
  </w:style>
  <w:style w:type="table" w:customStyle="1" w:styleId="21">
    <w:name w:val="无格式表格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2">
    <w:name w:val="未处理的提及2"/>
    <w:basedOn w:val="DefaultParagraphFont"/>
    <w:uiPriority w:val="99"/>
    <w:semiHidden/>
    <w:unhideWhenUsed/>
    <w:rPr>
      <w:color w:val="605E5C"/>
      <w:shd w:val="clear" w:color="auto" w:fill="E1DFDD"/>
    </w:rPr>
  </w:style>
  <w:style w:type="character" w:customStyle="1" w:styleId="skip">
    <w:name w:val="skip"/>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664F7-E3A0-4D64-8C48-AC8C02A20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270</Words>
  <Characters>1544</Characters>
  <Application>Microsoft Office Word</Application>
  <DocSecurity>0</DocSecurity>
  <Lines>12</Lines>
  <Paragraphs>3</Paragraphs>
  <ScaleCrop>false</ScaleCrop>
  <Company>Springer Nature</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O365</dc:creator>
  <cp:lastModifiedBy>Trupti Sudge</cp:lastModifiedBy>
  <cp:revision>2</cp:revision>
  <cp:lastPrinted>2022-11-09T07:28:00Z</cp:lastPrinted>
  <dcterms:created xsi:type="dcterms:W3CDTF">2024-02-06T12:37:00Z</dcterms:created>
  <dcterms:modified xsi:type="dcterms:W3CDTF">2024-02-06T12:37:00Z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3FC46A6F6B6E458DB7987A38EC614A83_13</vt:lpwstr>
  </property>
</Properties>
</file>