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  <w:lang w:val="en" w:bidi="fa-IR"/>
        </w:rPr>
      </w:pPr>
      <w:bookmarkStart w:id="0" w:name="_GoBack"/>
      <w:bookmarkEnd w:id="0"/>
      <w:r w:rsidRPr="00C330B7">
        <w:rPr>
          <w:rFonts w:ascii="Times New Roman" w:eastAsia="Calibri" w:hAnsi="Times New Roman" w:cs="Times New Roman"/>
          <w:b/>
          <w:bCs/>
          <w:sz w:val="20"/>
          <w:szCs w:val="20"/>
          <w:lang w:val="en" w:bidi="fa-IR"/>
        </w:rPr>
        <w:t>3. Results</w:t>
      </w:r>
    </w:p>
    <w:p w:rsidR="00A40661" w:rsidRPr="00730E67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" w:bidi="fa-IR"/>
        </w:rPr>
      </w:pPr>
      <w:r w:rsidRPr="00C330B7">
        <w:rPr>
          <w:rFonts w:ascii="Times New Roman" w:eastAsia="Calibri" w:hAnsi="Times New Roman" w:cs="Times New Roman"/>
          <w:sz w:val="20"/>
          <w:szCs w:val="20"/>
          <w:lang w:val="en" w:bidi="fa-IR"/>
        </w:rPr>
        <w:t>The demographic characteristics of the groups are summarized in Table 2. There was no difference between the groups in age, height, weight, and BMI. Therefore, the data di</w:t>
      </w:r>
      <w:r>
        <w:rPr>
          <w:rFonts w:ascii="Times New Roman" w:eastAsia="Calibri" w:hAnsi="Times New Roman" w:cs="Times New Roman"/>
          <w:sz w:val="20"/>
          <w:szCs w:val="20"/>
          <w:lang w:val="en" w:bidi="fa-IR"/>
        </w:rPr>
        <w:t>stribution is normal (P &gt; 0.05)</w:t>
      </w:r>
    </w:p>
    <w:tbl>
      <w:tblPr>
        <w:tblStyle w:val="PlainTable21"/>
        <w:tblpPr w:leftFromText="180" w:rightFromText="180" w:vertAnchor="text" w:horzAnchor="margin" w:tblpY="175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701"/>
        <w:gridCol w:w="1904"/>
        <w:gridCol w:w="1904"/>
        <w:gridCol w:w="2066"/>
      </w:tblGrid>
      <w:tr w:rsidR="00A40661" w:rsidRPr="003F76A2" w:rsidTr="0008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1" w:type="dxa"/>
            <w:gridSpan w:val="5"/>
          </w:tcPr>
          <w:p w:rsidR="00A40661" w:rsidRPr="003F76A2" w:rsidRDefault="00A40661" w:rsidP="00085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Table 2:</w:t>
            </w:r>
            <w:r w:rsidRPr="003F76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Shapiro–Wilk test result</w:t>
            </w:r>
          </w:p>
        </w:tc>
      </w:tr>
      <w:tr w:rsidR="00A40661" w:rsidRPr="003F76A2" w:rsidTr="0008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center"/>
              <w:rPr>
                <w:rFonts w:ascii="Times New Roman" w:hAnsi="Times New Roman" w:cs="B Nazanin"/>
                <w:sz w:val="18"/>
                <w:szCs w:val="18"/>
              </w:rPr>
            </w:pPr>
            <w:bookmarkStart w:id="1" w:name="_Hlk154220001"/>
          </w:p>
          <w:p w:rsidR="00A40661" w:rsidRPr="003F76A2" w:rsidRDefault="00A40661" w:rsidP="000851F8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P- value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(N= 20)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OKCE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group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(N= 20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CKCE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group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(N= 20)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A40661" w:rsidRPr="003F76A2" w:rsidRDefault="00A40661" w:rsidP="00085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6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Variable    </w:t>
            </w:r>
          </w:p>
          <w:p w:rsidR="00A40661" w:rsidRPr="003F76A2" w:rsidRDefault="00A40661" w:rsidP="00085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  <w:tr w:rsidR="00A40661" w:rsidRPr="003F76A2" w:rsidTr="000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hideMark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0.226</w:t>
            </w:r>
          </w:p>
        </w:tc>
        <w:tc>
          <w:tcPr>
            <w:tcW w:w="1701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50.40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5.87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46.10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6.06</w:t>
            </w:r>
          </w:p>
        </w:tc>
        <w:tc>
          <w:tcPr>
            <w:tcW w:w="1904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47.806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5.43</w:t>
            </w:r>
          </w:p>
        </w:tc>
        <w:tc>
          <w:tcPr>
            <w:tcW w:w="2066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Age(year)</w:t>
            </w:r>
          </w:p>
        </w:tc>
      </w:tr>
      <w:tr w:rsidR="00A40661" w:rsidRPr="003F76A2" w:rsidTr="0008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0.419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176.10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4.69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174.98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6.47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172.12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8.34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Times New Roman"/>
                <w:sz w:val="18"/>
                <w:szCs w:val="18"/>
                <w:lang w:val="en"/>
              </w:rPr>
              <w:t>Height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(cm)</w:t>
            </w:r>
          </w:p>
        </w:tc>
      </w:tr>
      <w:tr w:rsidR="00A40661" w:rsidRPr="003F76A2" w:rsidTr="000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hideMark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0.657</w:t>
            </w:r>
          </w:p>
        </w:tc>
        <w:tc>
          <w:tcPr>
            <w:tcW w:w="1701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76.79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4.69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78.70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11.61</w:t>
            </w:r>
          </w:p>
        </w:tc>
        <w:tc>
          <w:tcPr>
            <w:tcW w:w="1904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84.83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10.21</w:t>
            </w:r>
          </w:p>
        </w:tc>
        <w:tc>
          <w:tcPr>
            <w:tcW w:w="2066" w:type="dxa"/>
            <w:hideMark/>
          </w:tcPr>
          <w:p w:rsidR="00A40661" w:rsidRPr="003F76A2" w:rsidRDefault="00A40661" w:rsidP="000851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Times New Roman"/>
                <w:sz w:val="18"/>
                <w:szCs w:val="18"/>
                <w:lang w:val="en"/>
              </w:rPr>
              <w:t>Weight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(kg)</w:t>
            </w:r>
          </w:p>
        </w:tc>
      </w:tr>
      <w:tr w:rsidR="00A40661" w:rsidRPr="003F76A2" w:rsidTr="0008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0.374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24.77 ± 1.88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28.32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11.4726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28.24 </w:t>
            </w: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3F76A2">
              <w:rPr>
                <w:rFonts w:ascii="Times New Roman" w:hAnsi="Times New Roman" w:cs="B Nazanin"/>
                <w:sz w:val="18"/>
                <w:szCs w:val="18"/>
              </w:rPr>
              <w:t xml:space="preserve"> 3.46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40661" w:rsidRPr="003F76A2" w:rsidRDefault="00A40661" w:rsidP="000851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Times New Roman"/>
                <w:sz w:val="18"/>
                <w:szCs w:val="18"/>
              </w:rPr>
              <w:t>BMI (kg/m2)</w:t>
            </w:r>
          </w:p>
        </w:tc>
      </w:tr>
      <w:tr w:rsidR="00A40661" w:rsidRPr="003F76A2" w:rsidTr="000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0.209</w:t>
            </w:r>
          </w:p>
        </w:tc>
        <w:tc>
          <w:tcPr>
            <w:tcW w:w="1701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6.30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0.978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5.95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0.60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6.50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1.46</w:t>
            </w:r>
          </w:p>
        </w:tc>
        <w:tc>
          <w:tcPr>
            <w:tcW w:w="2066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>PAIN</w:t>
            </w:r>
          </w:p>
        </w:tc>
      </w:tr>
      <w:tr w:rsidR="00A40661" w:rsidRPr="003F76A2" w:rsidTr="0008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0.604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35.9 ± 45.9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9.40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6.76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5.30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8.15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>KLAT(mmHg)</w:t>
            </w:r>
          </w:p>
        </w:tc>
      </w:tr>
      <w:tr w:rsidR="00A40661" w:rsidRPr="003F76A2" w:rsidTr="000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0.125</w:t>
            </w:r>
          </w:p>
        </w:tc>
        <w:tc>
          <w:tcPr>
            <w:tcW w:w="1701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28.15 ± 50.1-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-10.05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8.53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-2.55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13.51</w:t>
            </w:r>
          </w:p>
        </w:tc>
        <w:tc>
          <w:tcPr>
            <w:tcW w:w="2066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>BKFO(mmHg)</w:t>
            </w:r>
          </w:p>
        </w:tc>
      </w:tr>
      <w:tr w:rsidR="00A40661" w:rsidRPr="003F76A2" w:rsidTr="00085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0.554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61.9  ± 40.10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7.60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8.58</w:t>
            </w:r>
          </w:p>
        </w:tc>
        <w:tc>
          <w:tcPr>
            <w:tcW w:w="1904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7.90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7.86</w:t>
            </w:r>
          </w:p>
        </w:tc>
        <w:tc>
          <w:tcPr>
            <w:tcW w:w="2066" w:type="dxa"/>
            <w:tcBorders>
              <w:top w:val="none" w:sz="0" w:space="0" w:color="auto"/>
              <w:bottom w:val="none" w:sz="0" w:space="0" w:color="auto"/>
            </w:tcBorders>
          </w:tcPr>
          <w:p w:rsidR="00A40661" w:rsidRPr="003F76A2" w:rsidRDefault="00A40661" w:rsidP="000851F8">
            <w:pPr>
              <w:ind w:right="-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>ASLR(mmHg)</w:t>
            </w:r>
          </w:p>
        </w:tc>
      </w:tr>
      <w:tr w:rsidR="00A40661" w:rsidRPr="003F76A2" w:rsidTr="000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:rsidR="00A40661" w:rsidRPr="003F76A2" w:rsidRDefault="00A40661" w:rsidP="000851F8">
            <w:pPr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3F76A2">
              <w:rPr>
                <w:rFonts w:ascii="Times New Roman" w:hAnsi="Times New Roman" w:cs="B Nazanin"/>
                <w:sz w:val="18"/>
                <w:szCs w:val="18"/>
              </w:rPr>
              <w:t>0.598</w:t>
            </w:r>
          </w:p>
        </w:tc>
        <w:tc>
          <w:tcPr>
            <w:tcW w:w="1701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67.5  ±  30.16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15.85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4.28</w:t>
            </w:r>
          </w:p>
        </w:tc>
        <w:tc>
          <w:tcPr>
            <w:tcW w:w="1904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14.20 </w:t>
            </w:r>
            <w:r w:rsidRPr="003F76A2">
              <w:rPr>
                <w:rFonts w:asciiTheme="majorBidi" w:hAnsiTheme="majorBidi" w:cstheme="majorBidi"/>
                <w:sz w:val="18"/>
                <w:szCs w:val="18"/>
                <w:rtl/>
              </w:rPr>
              <w:t>±</w:t>
            </w:r>
            <w:r w:rsidRPr="003F76A2">
              <w:rPr>
                <w:rFonts w:asciiTheme="majorBidi" w:hAnsiTheme="majorBidi" w:cstheme="majorBidi"/>
                <w:sz w:val="18"/>
                <w:szCs w:val="18"/>
              </w:rPr>
              <w:t xml:space="preserve"> 6.12</w:t>
            </w:r>
          </w:p>
        </w:tc>
        <w:tc>
          <w:tcPr>
            <w:tcW w:w="2066" w:type="dxa"/>
          </w:tcPr>
          <w:p w:rsidR="00A40661" w:rsidRPr="003F76A2" w:rsidRDefault="00A40661" w:rsidP="000851F8">
            <w:pPr>
              <w:ind w:right="-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F76A2">
              <w:rPr>
                <w:rFonts w:asciiTheme="majorBidi" w:hAnsiTheme="majorBidi" w:cstheme="majorBidi"/>
                <w:sz w:val="18"/>
                <w:szCs w:val="18"/>
              </w:rPr>
              <w:t>PRONE(mmHg)</w:t>
            </w:r>
          </w:p>
        </w:tc>
      </w:tr>
    </w:tbl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  <w:lang w:bidi="fa-IR"/>
        </w:rPr>
      </w:pPr>
    </w:p>
    <w:p w:rsidR="00A40661" w:rsidRPr="00730E67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4"/>
          <w:szCs w:val="4"/>
          <w:u w:val="single"/>
          <w:lang w:bidi="fa-IR"/>
        </w:rPr>
      </w:pPr>
    </w:p>
    <w:p w:rsidR="00A40661" w:rsidRPr="003F76A2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rtl/>
          <w:lang w:bidi="fa-IR"/>
        </w:rPr>
      </w:pPr>
      <w:r w:rsidRPr="003F76A2">
        <w:rPr>
          <w:rFonts w:ascii="Times New Roman" w:eastAsia="Calibri" w:hAnsi="Times New Roman" w:cs="Times New Roman"/>
          <w:sz w:val="20"/>
          <w:szCs w:val="20"/>
          <w:lang w:bidi="fa-IR"/>
        </w:rPr>
        <w:t>The results showed that there is a significant difference between the variables in the pre-test and post-test(Table 3). Also, the experimental groups CKCE and OKCE with a large effect size had a significant difference in reducing pain (p=0.000, Î·2=0.801)(Table 3), and greater results showed that the experimental groups CKCE and OKCEwith a medium effect size had a significant difference in KLAT(P=0.004,η2.207), BKFO(P=0.048,η2.102), SLR(P=0.035,η2.113) and PRONE(P=0.000, η2.444) the lumbo pelvic control compared to the control group (Table 4).</w:t>
      </w:r>
    </w:p>
    <w:tbl>
      <w:tblPr>
        <w:tblStyle w:val="TableGrid"/>
        <w:bidiVisual/>
        <w:tblW w:w="10909" w:type="dxa"/>
        <w:tblInd w:w="-842" w:type="dxa"/>
        <w:tblLook w:val="04A0" w:firstRow="1" w:lastRow="0" w:firstColumn="1" w:lastColumn="0" w:noHBand="0" w:noVBand="1"/>
      </w:tblPr>
      <w:tblGrid>
        <w:gridCol w:w="700"/>
        <w:gridCol w:w="1079"/>
        <w:gridCol w:w="1094"/>
        <w:gridCol w:w="663"/>
        <w:gridCol w:w="1207"/>
        <w:gridCol w:w="1216"/>
        <w:gridCol w:w="702"/>
        <w:gridCol w:w="1215"/>
        <w:gridCol w:w="1472"/>
        <w:gridCol w:w="1561"/>
      </w:tblGrid>
      <w:tr w:rsidR="00A40661" w:rsidRPr="00730E67" w:rsidTr="000851F8">
        <w:trPr>
          <w:trHeight w:val="641"/>
        </w:trPr>
        <w:tc>
          <w:tcPr>
            <w:tcW w:w="10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1" w:rsidRPr="00730E67" w:rsidRDefault="00A40661" w:rsidP="00085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3:</w:t>
            </w:r>
            <w:r w:rsidRPr="00730E6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Intra-group comparison results for outcome measuring</w:t>
            </w:r>
          </w:p>
        </w:tc>
      </w:tr>
      <w:tr w:rsidR="00A40661" w:rsidRPr="00730E67" w:rsidTr="000851F8">
        <w:trPr>
          <w:trHeight w:val="641"/>
        </w:trPr>
        <w:tc>
          <w:tcPr>
            <w:tcW w:w="29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CKCE group</w:t>
            </w: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(N= 20)</w:t>
            </w:r>
          </w:p>
        </w:tc>
        <w:tc>
          <w:tcPr>
            <w:tcW w:w="31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OKCE</w:t>
            </w: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group</w:t>
            </w: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(N= 20</w:t>
            </w:r>
          </w:p>
        </w:tc>
        <w:tc>
          <w:tcPr>
            <w:tcW w:w="3507" w:type="dxa"/>
            <w:gridSpan w:val="3"/>
            <w:tcBorders>
              <w:left w:val="single" w:sz="4" w:space="0" w:color="auto"/>
              <w:right w:val="nil"/>
            </w:tcBorders>
          </w:tcPr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Control group</w:t>
            </w: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(N= 20)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40661" w:rsidRPr="00730E67" w:rsidRDefault="00A40661" w:rsidP="000851F8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30E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Variable</w:t>
            </w:r>
          </w:p>
        </w:tc>
      </w:tr>
      <w:tr w:rsidR="00A40661" w:rsidRPr="00730E67" w:rsidTr="000851F8">
        <w:trPr>
          <w:trHeight w:val="298"/>
        </w:trPr>
        <w:tc>
          <w:tcPr>
            <w:tcW w:w="707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 value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Post test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Pre test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 value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Post test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Pre test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 value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Post test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Pre test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661" w:rsidRPr="00730E67" w:rsidRDefault="00A40661" w:rsidP="000851F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</w:tr>
      <w:tr w:rsidR="00A40661" w:rsidRPr="00730E67" w:rsidTr="000851F8">
        <w:trPr>
          <w:trHeight w:val="247"/>
        </w:trPr>
        <w:tc>
          <w:tcPr>
            <w:tcW w:w="707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2.07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1.23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6.50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1.46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1.65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1.22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5.95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0.60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0.214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6.50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1.00</w:t>
            </w:r>
          </w:p>
        </w:tc>
        <w:tc>
          <w:tcPr>
            <w:tcW w:w="153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6.30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0.978</w:t>
            </w:r>
          </w:p>
        </w:tc>
        <w:tc>
          <w:tcPr>
            <w:tcW w:w="1263" w:type="dxa"/>
          </w:tcPr>
          <w:p w:rsidR="00A40661" w:rsidRPr="00C330B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PAIN</w:t>
            </w:r>
          </w:p>
        </w:tc>
      </w:tr>
      <w:tr w:rsidR="00A40661" w:rsidRPr="00730E67" w:rsidTr="000851F8">
        <w:trPr>
          <w:trHeight w:val="238"/>
        </w:trPr>
        <w:tc>
          <w:tcPr>
            <w:tcW w:w="707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0.044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1.300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1.28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5.30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8.15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2.60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4.00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9.40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6.76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0.249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32.10 ± 55.6</w:t>
            </w:r>
          </w:p>
        </w:tc>
        <w:tc>
          <w:tcPr>
            <w:tcW w:w="153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35.9 ± 45.9</w:t>
            </w:r>
          </w:p>
        </w:tc>
        <w:tc>
          <w:tcPr>
            <w:tcW w:w="1263" w:type="dxa"/>
          </w:tcPr>
          <w:p w:rsidR="00A40661" w:rsidRPr="00C330B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KLAT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rPr>
          <w:trHeight w:val="247"/>
        </w:trPr>
        <w:tc>
          <w:tcPr>
            <w:tcW w:w="707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0.184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1.70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1.78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-2.55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13.51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-2.30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4.47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-10.05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8.53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0.273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-2.00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14.85</w:t>
            </w:r>
          </w:p>
        </w:tc>
        <w:tc>
          <w:tcPr>
            <w:tcW w:w="1538" w:type="dxa"/>
          </w:tcPr>
          <w:p w:rsidR="00A40661" w:rsidRPr="00730E67" w:rsidRDefault="00A40661" w:rsidP="000851F8">
            <w:pPr>
              <w:ind w:right="-426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-1.50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15.28</w:t>
            </w:r>
          </w:p>
        </w:tc>
        <w:tc>
          <w:tcPr>
            <w:tcW w:w="1263" w:type="dxa"/>
          </w:tcPr>
          <w:p w:rsidR="00A40661" w:rsidRPr="00C330B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BKFO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rPr>
          <w:trHeight w:val="247"/>
        </w:trPr>
        <w:tc>
          <w:tcPr>
            <w:tcW w:w="707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0.015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2.50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1.41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7.90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7.86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0.029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2.35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5.87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7.60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8.58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0.330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07.9  ± 55.10</w:t>
            </w:r>
          </w:p>
        </w:tc>
        <w:tc>
          <w:tcPr>
            <w:tcW w:w="153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61.9  ± 40.10</w:t>
            </w:r>
          </w:p>
        </w:tc>
        <w:tc>
          <w:tcPr>
            <w:tcW w:w="1263" w:type="dxa"/>
          </w:tcPr>
          <w:p w:rsidR="00A40661" w:rsidRPr="00C330B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ASLR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rPr>
          <w:trHeight w:val="247"/>
        </w:trPr>
        <w:tc>
          <w:tcPr>
            <w:tcW w:w="707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114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6.90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4.70</w:t>
            </w:r>
          </w:p>
        </w:tc>
        <w:tc>
          <w:tcPr>
            <w:tcW w:w="113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14.20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6.12</w:t>
            </w:r>
          </w:p>
        </w:tc>
        <w:tc>
          <w:tcPr>
            <w:tcW w:w="666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>.0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001</w:t>
            </w:r>
          </w:p>
        </w:tc>
        <w:tc>
          <w:tcPr>
            <w:tcW w:w="1259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5.30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4.60</w:t>
            </w:r>
          </w:p>
        </w:tc>
        <w:tc>
          <w:tcPr>
            <w:tcW w:w="1262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15.85 </w:t>
            </w: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±</w:t>
            </w: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4.28</w:t>
            </w:r>
          </w:p>
        </w:tc>
        <w:tc>
          <w:tcPr>
            <w:tcW w:w="70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0.128</w:t>
            </w:r>
          </w:p>
        </w:tc>
        <w:tc>
          <w:tcPr>
            <w:tcW w:w="1261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72.5  ± 25.15</w:t>
            </w:r>
          </w:p>
        </w:tc>
        <w:tc>
          <w:tcPr>
            <w:tcW w:w="1538" w:type="dxa"/>
          </w:tcPr>
          <w:p w:rsidR="00A40661" w:rsidRPr="00730E6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730E67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67.5  ±  30.16</w:t>
            </w:r>
          </w:p>
        </w:tc>
        <w:tc>
          <w:tcPr>
            <w:tcW w:w="1263" w:type="dxa"/>
          </w:tcPr>
          <w:p w:rsidR="00A40661" w:rsidRPr="00C330B7" w:rsidRDefault="00A40661" w:rsidP="000851F8">
            <w:pPr>
              <w:ind w:right="-426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PRONE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</w:tbl>
    <w:tbl>
      <w:tblPr>
        <w:tblStyle w:val="TableGrid2"/>
        <w:tblpPr w:leftFromText="180" w:rightFromText="180" w:vertAnchor="text" w:horzAnchor="margin" w:tblpXSpec="center" w:tblpY="291"/>
        <w:bidiVisual/>
        <w:tblW w:w="10265" w:type="dxa"/>
        <w:tblInd w:w="0" w:type="dxa"/>
        <w:tblLook w:val="04A0" w:firstRow="1" w:lastRow="0" w:firstColumn="1" w:lastColumn="0" w:noHBand="0" w:noVBand="1"/>
      </w:tblPr>
      <w:tblGrid>
        <w:gridCol w:w="1124"/>
        <w:gridCol w:w="1332"/>
        <w:gridCol w:w="988"/>
        <w:gridCol w:w="1547"/>
        <w:gridCol w:w="1547"/>
        <w:gridCol w:w="566"/>
        <w:gridCol w:w="931"/>
        <w:gridCol w:w="2230"/>
      </w:tblGrid>
      <w:tr w:rsidR="00A40661" w:rsidRPr="00730E67" w:rsidTr="000851F8">
        <w:trPr>
          <w:trHeight w:val="436"/>
        </w:trPr>
        <w:tc>
          <w:tcPr>
            <w:tcW w:w="10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4:</w:t>
            </w:r>
            <w:r w:rsidRPr="00730E6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30E67">
              <w:rPr>
                <w:b/>
                <w:bCs/>
                <w:sz w:val="18"/>
                <w:szCs w:val="18"/>
              </w:rPr>
              <w:t xml:space="preserve"> </w:t>
            </w: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ANCOVA results for outcome measuring</w:t>
            </w:r>
          </w:p>
        </w:tc>
      </w:tr>
      <w:tr w:rsidR="00A40661" w:rsidRPr="00730E67" w:rsidTr="000851F8">
        <w:trPr>
          <w:trHeight w:val="4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P- value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Partial eta squared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Power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Sum of Squares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Men Squares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DF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</w:tr>
      <w:tr w:rsidR="00A40661" w:rsidRPr="00730E67" w:rsidTr="000851F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0.000*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0.801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264.013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132.386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112.386</w:t>
            </w:r>
          </w:p>
        </w:tc>
        <w:tc>
          <w:tcPr>
            <w:tcW w:w="2230" w:type="dxa"/>
            <w:hideMark/>
          </w:tcPr>
          <w:p w:rsidR="00A40661" w:rsidRPr="00C330B7" w:rsidRDefault="00A40661" w:rsidP="000851F8">
            <w:pPr>
              <w:ind w:right="-426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PAIN</w:t>
            </w:r>
          </w:p>
        </w:tc>
      </w:tr>
      <w:tr w:rsidR="00A40661" w:rsidRPr="00730E67" w:rsidTr="000851F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0.004*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0.207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0.874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692.556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346.278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6.158</w:t>
            </w:r>
          </w:p>
        </w:tc>
        <w:tc>
          <w:tcPr>
            <w:tcW w:w="2230" w:type="dxa"/>
            <w:hideMark/>
          </w:tcPr>
          <w:p w:rsidR="00A40661" w:rsidRPr="00C330B7" w:rsidRDefault="00A40661" w:rsidP="000851F8">
            <w:pPr>
              <w:ind w:right="-426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KLAT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0.048*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0.102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302.448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151.224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3.198</w:t>
            </w:r>
          </w:p>
        </w:tc>
        <w:tc>
          <w:tcPr>
            <w:tcW w:w="2230" w:type="dxa"/>
            <w:hideMark/>
          </w:tcPr>
          <w:p w:rsidR="00A40661" w:rsidRPr="00C330B7" w:rsidRDefault="00A40661" w:rsidP="000851F8">
            <w:pPr>
              <w:ind w:right="-426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BKFO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0.035*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0.113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0.639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236.829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118.414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3.568</w:t>
            </w:r>
          </w:p>
        </w:tc>
        <w:tc>
          <w:tcPr>
            <w:tcW w:w="2230" w:type="dxa"/>
            <w:hideMark/>
          </w:tcPr>
          <w:p w:rsidR="00A40661" w:rsidRPr="00C330B7" w:rsidRDefault="00A40661" w:rsidP="000851F8">
            <w:pPr>
              <w:ind w:right="-426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ASLR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  <w:tr w:rsidR="00A40661" w:rsidRPr="00730E67" w:rsidTr="000851F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0.000*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0.444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10710.360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535.680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1" w:rsidRPr="00730E67" w:rsidRDefault="00A40661" w:rsidP="000851F8">
            <w:pPr>
              <w:bidi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730E67">
              <w:rPr>
                <w:rFonts w:ascii="Times New Roman" w:hAnsi="Times New Roman" w:cs="B Nazanin"/>
                <w:sz w:val="18"/>
                <w:szCs w:val="18"/>
              </w:rPr>
              <w:t>22.327</w:t>
            </w:r>
          </w:p>
        </w:tc>
        <w:tc>
          <w:tcPr>
            <w:tcW w:w="2230" w:type="dxa"/>
            <w:hideMark/>
          </w:tcPr>
          <w:p w:rsidR="00A40661" w:rsidRPr="00C330B7" w:rsidRDefault="00A40661" w:rsidP="000851F8">
            <w:pPr>
              <w:ind w:right="-426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0B7">
              <w:rPr>
                <w:rFonts w:asciiTheme="majorBidi" w:hAnsiTheme="majorBidi" w:cstheme="majorBidi"/>
                <w:sz w:val="20"/>
                <w:szCs w:val="20"/>
              </w:rPr>
              <w:t>PRONE</w:t>
            </w:r>
            <w:r w:rsidRPr="004F4FDD">
              <w:rPr>
                <w:rFonts w:asciiTheme="majorBidi" w:hAnsiTheme="majorBidi" w:cstheme="majorBidi"/>
                <w:sz w:val="20"/>
                <w:szCs w:val="20"/>
              </w:rPr>
              <w:t>(mmHg)</w:t>
            </w:r>
          </w:p>
        </w:tc>
      </w:tr>
    </w:tbl>
    <w:p w:rsidR="00A40661" w:rsidRPr="00730E67" w:rsidRDefault="00A40661" w:rsidP="00A406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4"/>
          <w:szCs w:val="4"/>
        </w:rPr>
      </w:pPr>
    </w:p>
    <w:p w:rsidR="00C92F23" w:rsidRPr="00A40661" w:rsidRDefault="00A40661" w:rsidP="00A4066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730E67">
        <w:rPr>
          <w:rFonts w:ascii="Times New Roman" w:eastAsia="Calibri" w:hAnsi="Times New Roman" w:cs="Times New Roman"/>
          <w:sz w:val="20"/>
          <w:szCs w:val="20"/>
          <w:lang w:bidi="fa-IR"/>
        </w:rPr>
        <w:t>* Significant difference between groups (P &lt;0.05)</w:t>
      </w:r>
    </w:p>
    <w:sectPr w:rsidR="00C92F23" w:rsidRPr="00A4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AB"/>
    <w:rsid w:val="00070568"/>
    <w:rsid w:val="00A40661"/>
    <w:rsid w:val="00B85FAB"/>
    <w:rsid w:val="00B93764"/>
    <w:rsid w:val="00C92F23"/>
    <w:rsid w:val="00D0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2F681-3825-4B48-921B-96B005C7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A40661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A40661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406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i-Gadget</dc:creator>
  <cp:keywords/>
  <dc:description/>
  <cp:lastModifiedBy>i-Gadget</cp:lastModifiedBy>
  <cp:revision>2</cp:revision>
  <dcterms:created xsi:type="dcterms:W3CDTF">2024-01-03T08:31:00Z</dcterms:created>
  <dcterms:modified xsi:type="dcterms:W3CDTF">2024-01-03T08:31:00Z</dcterms:modified>
</cp:coreProperties>
</file>