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8"/>
          <w:szCs w:val="28"/>
          <w:lang w:val="en-US" w:eastAsia="zh-CN" w:bidi="ar"/>
        </w:rPr>
        <w:t xml:space="preserve">Supplemental </w:t>
      </w:r>
      <w:r>
        <w:rPr>
          <w:rFonts w:hint="eastAsia" w:ascii="Times New Roman" w:hAnsi="Times New Roman" w:eastAsia="宋体" w:cs="Times New Roman"/>
          <w:b/>
          <w:bCs/>
          <w:kern w:val="2"/>
          <w:sz w:val="28"/>
          <w:szCs w:val="28"/>
          <w:lang w:val="en-US" w:eastAsia="zh-CN" w:bidi="ar"/>
        </w:rPr>
        <w:t>figures</w:t>
      </w:r>
    </w:p>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2"/>
          <w:szCs w:val="22"/>
          <w:lang w:val="en-US" w:eastAsia="zh-CN" w:bidi="ar"/>
        </w:rPr>
        <w:t>Supplement figure 1</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8"/>
          <w:szCs w:val="28"/>
          <w:lang w:val="en-US" w:eastAsia="zh-CN" w:bidi="ar"/>
        </w:rPr>
        <w:drawing>
          <wp:inline distT="0" distB="0" distL="114300" distR="114300">
            <wp:extent cx="5484495" cy="3170555"/>
            <wp:effectExtent l="0" t="0" r="1905" b="4445"/>
            <wp:docPr id="1" name="图片 1" descr="S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I-1"/>
                    <pic:cNvPicPr>
                      <a:picLocks noChangeAspect="1"/>
                    </pic:cNvPicPr>
                  </pic:nvPicPr>
                  <pic:blipFill>
                    <a:blip r:embed="rId4"/>
                    <a:stretch>
                      <a:fillRect/>
                    </a:stretch>
                  </pic:blipFill>
                  <pic:spPr>
                    <a:xfrm>
                      <a:off x="0" y="0"/>
                      <a:ext cx="5484495" cy="3170555"/>
                    </a:xfrm>
                    <a:prstGeom prst="rect">
                      <a:avLst/>
                    </a:prstGeom>
                  </pic:spPr>
                </pic:pic>
              </a:graphicData>
            </a:graphic>
          </wp:inline>
        </w:drawing>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2"/>
          <w:szCs w:val="22"/>
          <w:lang w:val="en-US" w:eastAsia="zh-CN" w:bidi="ar"/>
        </w:rPr>
        <w:t>Supplement figure 2</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8"/>
          <w:szCs w:val="28"/>
          <w:lang w:val="en-US" w:eastAsia="zh-CN" w:bidi="ar"/>
        </w:rPr>
        <w:drawing>
          <wp:inline distT="0" distB="0" distL="114300" distR="114300">
            <wp:extent cx="5476240" cy="4803140"/>
            <wp:effectExtent l="0" t="0" r="10160" b="10160"/>
            <wp:docPr id="2" name="图片 2" descr="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I-2"/>
                    <pic:cNvPicPr>
                      <a:picLocks noChangeAspect="1"/>
                    </pic:cNvPicPr>
                  </pic:nvPicPr>
                  <pic:blipFill>
                    <a:blip r:embed="rId5"/>
                    <a:stretch>
                      <a:fillRect/>
                    </a:stretch>
                  </pic:blipFill>
                  <pic:spPr>
                    <a:xfrm>
                      <a:off x="0" y="0"/>
                      <a:ext cx="5476240" cy="4803140"/>
                    </a:xfrm>
                    <a:prstGeom prst="rect">
                      <a:avLst/>
                    </a:prstGeom>
                  </pic:spPr>
                </pic:pic>
              </a:graphicData>
            </a:graphic>
          </wp:inline>
        </w:drawing>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r>
        <w:rPr>
          <w:rFonts w:hint="default" w:ascii="Times New Roman" w:hAnsi="Times New Roman" w:eastAsia="宋体" w:cs="Times New Roman"/>
          <w:b/>
          <w:bCs/>
          <w:kern w:val="2"/>
          <w:sz w:val="22"/>
          <w:szCs w:val="22"/>
          <w:lang w:val="en-US" w:eastAsia="zh-CN" w:bidi="ar"/>
        </w:rPr>
        <w:t>Supplement figure 3</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r>
        <w:rPr>
          <w:rFonts w:hint="default" w:ascii="Times New Roman" w:hAnsi="Times New Roman" w:eastAsia="宋体" w:cs="Times New Roman"/>
          <w:b/>
          <w:bCs/>
          <w:kern w:val="2"/>
          <w:sz w:val="22"/>
          <w:szCs w:val="22"/>
          <w:lang w:val="en-US" w:eastAsia="zh-CN" w:bidi="ar"/>
        </w:rPr>
        <w:drawing>
          <wp:inline distT="0" distB="0" distL="114300" distR="114300">
            <wp:extent cx="5475605" cy="8194040"/>
            <wp:effectExtent l="0" t="0" r="10795" b="10160"/>
            <wp:docPr id="3" name="图片 3" descr="SI-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I-3"/>
                    <pic:cNvPicPr>
                      <a:picLocks noChangeAspect="1"/>
                    </pic:cNvPicPr>
                  </pic:nvPicPr>
                  <pic:blipFill>
                    <a:blip r:embed="rId6"/>
                    <a:stretch>
                      <a:fillRect/>
                    </a:stretch>
                  </pic:blipFill>
                  <pic:spPr>
                    <a:xfrm>
                      <a:off x="0" y="0"/>
                      <a:ext cx="5475605" cy="8194040"/>
                    </a:xfrm>
                    <a:prstGeom prst="rect">
                      <a:avLst/>
                    </a:prstGeom>
                  </pic:spPr>
                </pic:pic>
              </a:graphicData>
            </a:graphic>
          </wp:inline>
        </w:drawing>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r>
        <w:rPr>
          <w:rFonts w:hint="default" w:ascii="Times New Roman" w:hAnsi="Times New Roman" w:eastAsia="宋体" w:cs="Times New Roman"/>
          <w:b/>
          <w:bCs/>
          <w:kern w:val="2"/>
          <w:sz w:val="22"/>
          <w:szCs w:val="22"/>
          <w:lang w:val="en-US" w:eastAsia="zh-CN" w:bidi="ar"/>
        </w:rPr>
        <w:t>Supplement figure 4</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8"/>
          <w:szCs w:val="28"/>
          <w:lang w:val="en-US" w:eastAsia="zh-CN" w:bidi="ar"/>
        </w:rPr>
      </w:pPr>
      <w:r>
        <w:rPr>
          <w:rFonts w:hint="default" w:ascii="Times New Roman" w:hAnsi="Times New Roman" w:eastAsia="宋体" w:cs="Times New Roman"/>
          <w:b/>
          <w:bCs/>
          <w:kern w:val="2"/>
          <w:sz w:val="22"/>
          <w:szCs w:val="22"/>
          <w:lang w:val="en-US" w:eastAsia="zh-CN" w:bidi="ar"/>
        </w:rPr>
        <w:drawing>
          <wp:inline distT="0" distB="0" distL="114300" distR="114300">
            <wp:extent cx="5483860" cy="7200900"/>
            <wp:effectExtent l="0" t="0" r="2540" b="0"/>
            <wp:docPr id="4" name="图片 4" descr="SI-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I-4"/>
                    <pic:cNvPicPr>
                      <a:picLocks noChangeAspect="1"/>
                    </pic:cNvPicPr>
                  </pic:nvPicPr>
                  <pic:blipFill>
                    <a:blip r:embed="rId7"/>
                    <a:stretch>
                      <a:fillRect/>
                    </a:stretch>
                  </pic:blipFill>
                  <pic:spPr>
                    <a:xfrm>
                      <a:off x="0" y="0"/>
                      <a:ext cx="5483860" cy="7200900"/>
                    </a:xfrm>
                    <a:prstGeom prst="rect">
                      <a:avLst/>
                    </a:prstGeom>
                  </pic:spPr>
                </pic:pic>
              </a:graphicData>
            </a:graphic>
          </wp:inline>
        </w:drawing>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kern w:val="2"/>
          <w:sz w:val="22"/>
          <w:szCs w:val="22"/>
          <w:lang w:val="en-US" w:eastAsia="zh-CN" w:bidi="ar"/>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sz w:val="28"/>
          <w:szCs w:val="28"/>
          <w:lang w:val="en-US"/>
        </w:rPr>
      </w:pPr>
      <w:bookmarkStart w:id="0" w:name="OLE_LINK3"/>
      <w:r>
        <w:rPr>
          <w:rFonts w:hint="default" w:ascii="Times New Roman" w:hAnsi="Times New Roman" w:eastAsia="宋体" w:cs="Times New Roman"/>
          <w:b/>
          <w:bCs/>
          <w:kern w:val="2"/>
          <w:sz w:val="28"/>
          <w:szCs w:val="28"/>
          <w:lang w:val="en-US" w:eastAsia="zh-CN" w:bidi="ar"/>
        </w:rPr>
        <w:t xml:space="preserve">Supplemental </w:t>
      </w:r>
      <w:r>
        <w:rPr>
          <w:rFonts w:hint="eastAsia" w:ascii="Times New Roman" w:hAnsi="Times New Roman" w:eastAsia="宋体" w:cs="Times New Roman"/>
          <w:b/>
          <w:bCs/>
          <w:kern w:val="2"/>
          <w:sz w:val="28"/>
          <w:szCs w:val="28"/>
          <w:lang w:val="en-US" w:eastAsia="zh-CN" w:bidi="ar"/>
        </w:rPr>
        <w:t xml:space="preserve">figure </w:t>
      </w:r>
      <w:bookmarkStart w:id="4" w:name="_GoBack"/>
      <w:bookmarkEnd w:id="4"/>
      <w:r>
        <w:rPr>
          <w:rFonts w:hint="eastAsia" w:ascii="Times New Roman" w:hAnsi="Times New Roman" w:eastAsia="宋体" w:cs="Times New Roman"/>
          <w:b/>
          <w:bCs/>
          <w:kern w:val="2"/>
          <w:sz w:val="28"/>
          <w:szCs w:val="28"/>
          <w:lang w:val="en-US" w:eastAsia="zh-CN" w:bidi="ar"/>
        </w:rPr>
        <w:t>legends</w:t>
      </w:r>
    </w:p>
    <w:bookmarkEnd w:id="0"/>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sz w:val="22"/>
          <w:szCs w:val="22"/>
          <w:lang w:val="en-US"/>
        </w:rPr>
      </w:pPr>
      <w:r>
        <w:rPr>
          <w:rFonts w:hint="default" w:ascii="Times New Roman" w:hAnsi="Times New Roman" w:eastAsia="宋体" w:cs="Times New Roman"/>
          <w:b/>
          <w:bCs/>
          <w:kern w:val="2"/>
          <w:sz w:val="22"/>
          <w:szCs w:val="22"/>
          <w:lang w:val="en-US" w:eastAsia="zh-CN" w:bidi="ar"/>
        </w:rPr>
        <w:t xml:space="preserve">Supplement figure 1: </w:t>
      </w:r>
      <w:r>
        <w:rPr>
          <w:rFonts w:hint="default" w:ascii="Times New Roman" w:hAnsi="Times New Roman" w:eastAsia="宋体" w:cs="Times New Roman"/>
          <w:kern w:val="2"/>
          <w:sz w:val="22"/>
          <w:szCs w:val="22"/>
          <w:lang w:val="en-US" w:eastAsia="zh-CN" w:bidi="ar"/>
        </w:rPr>
        <w:t>Pim-2 kinase highly expressed in MM patients than healthy donors by using single-cell RNA sequencing.</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sz w:val="22"/>
          <w:szCs w:val="22"/>
          <w:lang w:val="en-US"/>
        </w:rPr>
      </w:pPr>
      <w:r>
        <w:rPr>
          <w:rFonts w:hint="default" w:ascii="Times New Roman" w:hAnsi="Times New Roman" w:eastAsia="宋体" w:cs="Times New Roman"/>
          <w:b/>
          <w:bCs/>
          <w:kern w:val="2"/>
          <w:sz w:val="22"/>
          <w:szCs w:val="22"/>
          <w:lang w:val="en-US" w:eastAsia="zh-CN" w:bidi="ar"/>
        </w:rPr>
        <w:t xml:space="preserve">Supplement figure 2 </w:t>
      </w:r>
      <w:r>
        <w:rPr>
          <w:rFonts w:hint="default" w:ascii="Times New Roman" w:hAnsi="Times New Roman" w:eastAsia="宋体" w:cs="Times New Roman"/>
          <w:kern w:val="2"/>
          <w:sz w:val="22"/>
          <w:szCs w:val="22"/>
          <w:lang w:val="en-US" w:eastAsia="zh-CN" w:bidi="ar"/>
        </w:rPr>
        <w:t>Changes in other immune checkpoints on NK cells besides TIGIT after addition of PIM2 kinase inhibitors Smi-16a.</w:t>
      </w:r>
      <w:r>
        <w:rPr>
          <w:rFonts w:hint="default" w:ascii="Times New Roman" w:hAnsi="Times New Roman" w:eastAsia="宋体" w:cs="Times New Roman"/>
          <w:b/>
          <w:bCs/>
          <w:kern w:val="2"/>
          <w:sz w:val="22"/>
          <w:szCs w:val="22"/>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sz w:val="22"/>
          <w:szCs w:val="22"/>
          <w:lang w:val="en-US"/>
        </w:rPr>
      </w:pPr>
      <w:bookmarkStart w:id="1" w:name="OLE_LINK1"/>
      <w:r>
        <w:rPr>
          <w:rFonts w:hint="default" w:ascii="Times New Roman" w:hAnsi="Times New Roman" w:eastAsia="宋体" w:cs="Times New Roman"/>
          <w:b/>
          <w:bCs/>
          <w:kern w:val="2"/>
          <w:sz w:val="22"/>
          <w:szCs w:val="22"/>
          <w:lang w:val="en-US" w:eastAsia="zh-CN" w:bidi="ar"/>
        </w:rPr>
        <w:t>Supplement figure 3</w:t>
      </w:r>
      <w:bookmarkEnd w:id="1"/>
      <w:r>
        <w:rPr>
          <w:rFonts w:hint="default" w:ascii="Times New Roman" w:hAnsi="Times New Roman" w:eastAsia="宋体" w:cs="Times New Roman"/>
          <w:b/>
          <w:bCs/>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The expression of immune checkpoints on NK cells from MM patients with or without Kaempferol and Quercetin dihydrate.</w:t>
      </w:r>
      <w:r>
        <w:rPr>
          <w:rFonts w:hint="default" w:ascii="Times New Roman" w:hAnsi="Times New Roman" w:eastAsia="宋体" w:cs="Times New Roman"/>
          <w:b/>
          <w:bCs/>
          <w:kern w:val="2"/>
          <w:sz w:val="22"/>
          <w:szCs w:val="22"/>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sz w:val="22"/>
          <w:szCs w:val="22"/>
          <w:lang w:val="en-US"/>
        </w:rPr>
      </w:pPr>
      <w:bookmarkStart w:id="2" w:name="OLE_LINK2"/>
      <w:r>
        <w:rPr>
          <w:rFonts w:hint="default" w:ascii="Times New Roman" w:hAnsi="Times New Roman" w:eastAsia="宋体" w:cs="Times New Roman"/>
          <w:b/>
          <w:bCs/>
          <w:kern w:val="2"/>
          <w:sz w:val="22"/>
          <w:szCs w:val="22"/>
          <w:lang w:val="en-US" w:eastAsia="zh-CN" w:bidi="ar"/>
        </w:rPr>
        <w:t>Supplement figure 4</w:t>
      </w:r>
      <w:bookmarkEnd w:id="2"/>
      <w:bookmarkStart w:id="3" w:name="OLE_LINK6"/>
      <w:r>
        <w:rPr>
          <w:rFonts w:hint="default" w:ascii="Times New Roman" w:hAnsi="Times New Roman" w:eastAsia="宋体" w:cs="Times New Roman"/>
          <w:b/>
          <w:bCs/>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(A)</w:t>
      </w:r>
      <w:r>
        <w:rPr>
          <w:rFonts w:hint="default" w:ascii="Calibri" w:hAnsi="Calibri" w:eastAsia="宋体" w:cs="Times New Roman"/>
          <w:kern w:val="2"/>
          <w:sz w:val="21"/>
          <w:szCs w:val="21"/>
          <w:lang w:val="en-US" w:eastAsia="zh-CN" w:bidi="ar"/>
        </w:rPr>
        <w:t xml:space="preserve"> </w:t>
      </w:r>
      <w:r>
        <w:rPr>
          <w:rFonts w:hint="default" w:ascii="Times New Roman" w:hAnsi="Times New Roman" w:eastAsia="宋体" w:cs="Times New Roman"/>
          <w:kern w:val="2"/>
          <w:sz w:val="22"/>
          <w:szCs w:val="22"/>
          <w:lang w:val="en-US" w:eastAsia="zh-CN" w:bidi="ar"/>
        </w:rPr>
        <w:t>The Cytotoxicity of kaempferol,Quercetin dihydrate, Smi-16a and AZD1208 on U266 and OPM-2 cells by CKK-8 assay. (B) Detection of apoptotic in U266 and OPM-2 cells after administration by flow cytometric assay. (n=3).</w:t>
      </w:r>
      <w:r>
        <w:rPr>
          <w:rFonts w:hint="default" w:ascii="Calibri" w:hAnsi="Calibri" w:eastAsia="宋体" w:cs="Times New Roman"/>
          <w:kern w:val="2"/>
          <w:sz w:val="21"/>
          <w:szCs w:val="21"/>
          <w:lang w:val="en-US" w:eastAsia="zh-CN" w:bidi="ar"/>
        </w:rPr>
        <w:t xml:space="preserve"> </w:t>
      </w:r>
      <w:r>
        <w:rPr>
          <w:rFonts w:hint="default" w:ascii="Times New Roman" w:hAnsi="Times New Roman" w:eastAsia="宋体" w:cs="Times New Roman"/>
          <w:kern w:val="2"/>
          <w:sz w:val="21"/>
          <w:szCs w:val="21"/>
          <w:lang w:val="en-US" w:eastAsia="zh-CN" w:bidi="ar"/>
        </w:rPr>
        <w:t>(C) OPM-2 and U266 cells were treated with kaempferol and quercetin dihydrate at the IC50 concentration for 48 h, PIM1, PIM2, PIM3 and NK-κB expression was measured by Western blot (n=3).</w:t>
      </w:r>
      <w:r>
        <w:rPr>
          <w:rFonts w:hint="default" w:ascii="Calibri" w:hAnsi="Calibri" w:eastAsia="宋体" w:cs="Times New Roman"/>
          <w:kern w:val="2"/>
          <w:sz w:val="21"/>
          <w:szCs w:val="21"/>
          <w:lang w:val="en-US" w:eastAsia="zh-CN" w:bidi="ar"/>
        </w:rPr>
        <w:t xml:space="preserve"> </w:t>
      </w:r>
      <w:r>
        <w:rPr>
          <w:rFonts w:hint="default" w:ascii="Times New Roman" w:hAnsi="Times New Roman" w:eastAsia="宋体" w:cs="Times New Roman"/>
          <w:kern w:val="2"/>
          <w:sz w:val="22"/>
          <w:szCs w:val="22"/>
          <w:lang w:val="en-US" w:eastAsia="zh-CN" w:bidi="ar"/>
        </w:rPr>
        <w:t xml:space="preserve">(D) The expression of PIM2 and NK-κB in PIM2 knockdown U266 cells with or without kaempferol was measured by Western blot. Kaempferol inhibited the expression of NF-KB depend on PIM2 kinase (n=3).  (E) The transcript of OPM-2 cells treated with kaempferol at the IC50 concentration for 48 h. (F) The transcript of U266 cells treated with quercetin dihydrate at the IC50 concentration for 48 h. In all figures, K represents kaempferol and Q represents quercetin dihydrate. Results are shown as mean ± SD (n=3). * P &lt; 0.05, ** P &lt; 0.01, *** P &lt; 0.001. </w:t>
      </w:r>
    </w:p>
    <w:bookmarkEnd w:id="3"/>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sz w:val="22"/>
          <w:szCs w:val="22"/>
          <w:lang w:val="en-US"/>
        </w:rPr>
      </w:pPr>
      <w:r>
        <w:rPr>
          <w:rFonts w:hint="default" w:ascii="Times New Roman" w:hAnsi="Times New Roman" w:eastAsia="宋体" w:cs="Times New Roman"/>
          <w:b/>
          <w:bCs/>
          <w:kern w:val="2"/>
          <w:sz w:val="22"/>
          <w:szCs w:val="22"/>
          <w:lang w:val="en-US" w:eastAsia="zh-CN" w:bidi="ar"/>
        </w:rPr>
        <w:t xml:space="preserve">Supplement table1  </w:t>
      </w:r>
      <w:r>
        <w:rPr>
          <w:rFonts w:hint="default" w:ascii="Times New Roman" w:hAnsi="Times New Roman" w:eastAsia="宋体" w:cs="Times New Roman"/>
          <w:kern w:val="2"/>
          <w:sz w:val="22"/>
          <w:szCs w:val="22"/>
          <w:lang w:val="en-US" w:eastAsia="zh-CN" w:bidi="ar"/>
        </w:rPr>
        <w:t>The inhibition rate of 160 flavonoids to PIM2 kinase.</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wMGFmOTUxNjBhMDAwZTUxMWRmOTMxNjJkY2JiNjQifQ=="/>
  </w:docVars>
  <w:rsids>
    <w:rsidRoot w:val="00000000"/>
    <w:rsid w:val="08EC1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2024-01-03T13:15:03Z</dcterms:created>
  <dc:creator>皓皓</dc:creator>
  <cp:lastModifiedBy>Al</cp:lastModifiedBy>
  <dcterms:modified xsi:type="dcterms:W3CDTF">2024-01-03T13:49:59Z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5473146C8BD54F33AFAE86BDCC049385_12</vt:lpwstr>
  </property>
</Properties>
</file>