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F13833" w14:textId="77777777" w:rsidR="0072400A" w:rsidRDefault="0072400A" w:rsidP="0072400A">
      <w:pPr>
        <w:spacing w:before="280" w:after="280" w:line="480" w:lineRule="auto"/>
        <w:jc w:val="both"/>
        <w:rPr>
          <w:rFonts w:ascii="Times New Roman" w:eastAsia="Times New Roman" w:hAnsi="Times New Roman" w:cs="Times New Roman"/>
        </w:rPr>
      </w:pPr>
      <w:r>
        <w:rPr>
          <w:rFonts w:ascii="Times New Roman" w:eastAsia="Times New Roman" w:hAnsi="Times New Roman" w:cs="Times New Roman"/>
          <w:b/>
        </w:rPr>
        <w:t xml:space="preserve">Supplementary Material 1: </w:t>
      </w:r>
      <w:r>
        <w:rPr>
          <w:rFonts w:ascii="Times New Roman" w:eastAsia="Times New Roman" w:hAnsi="Times New Roman" w:cs="Times New Roman"/>
        </w:rPr>
        <w:t>Description of the procedure used for collecting and describing cost data in the InvaCost database (adapted from Diagne et al. 2020).</w:t>
      </w:r>
    </w:p>
    <w:p w14:paraId="7A05A3F0"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rPr>
        <w:t>Cost data were collated as they appear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rPr>
        <w:t>year</w:t>
      </w:r>
      <w:r>
        <w:rPr>
          <w:rFonts w:ascii="Times New Roman" w:eastAsia="Times New Roman" w:hAnsi="Times New Roman" w:cs="Times New Roman"/>
        </w:rPr>
        <w:t xml:space="preserve"> if the estimate is given yearly or for a period up to one year, </w:t>
      </w:r>
      <w:r>
        <w:rPr>
          <w:rFonts w:ascii="Times New Roman" w:eastAsia="Times New Roman" w:hAnsi="Times New Roman" w:cs="Times New Roman"/>
          <w:i/>
        </w:rPr>
        <w:t>period</w:t>
      </w:r>
      <w:r>
        <w:rPr>
          <w:rFonts w:ascii="Times New Roman" w:eastAsia="Times New Roman" w:hAnsi="Times New Roman" w:cs="Times New Roman"/>
        </w:rPr>
        <w:t xml:space="preserve"> if the estimate is given for a period exceeding a year). </w:t>
      </w:r>
    </w:p>
    <w:p w14:paraId="456F1CDB"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rPr>
        <w:t xml:space="preserve">For each cost estimate recorded, we provided information on including </w:t>
      </w:r>
      <w:r>
        <w:rPr>
          <w:rFonts w:ascii="Times New Roman" w:eastAsia="Times New Roman" w:hAnsi="Times New Roman" w:cs="Times New Roman"/>
          <w:i/>
        </w:rPr>
        <w:t>(a)</w:t>
      </w:r>
      <w:r>
        <w:rPr>
          <w:rFonts w:ascii="Times New Roman" w:eastAsia="Times New Roman" w:hAnsi="Times New Roman" w:cs="Times New Roman"/>
        </w:rPr>
        <w:t xml:space="preserve"> the reference from which the cost was extracted, </w:t>
      </w:r>
      <w:r>
        <w:rPr>
          <w:rFonts w:ascii="Times New Roman" w:eastAsia="Times New Roman" w:hAnsi="Times New Roman" w:cs="Times New Roman"/>
          <w:i/>
        </w:rPr>
        <w:t>(b)</w:t>
      </w:r>
      <w:r>
        <w:rPr>
          <w:rFonts w:ascii="Times New Roman" w:eastAsia="Times New Roman" w:hAnsi="Times New Roman" w:cs="Times New Roman"/>
        </w:rPr>
        <w:t xml:space="preserve"> the taxonomy of the associated species, </w:t>
      </w:r>
      <w:r>
        <w:rPr>
          <w:rFonts w:ascii="Times New Roman" w:eastAsia="Times New Roman" w:hAnsi="Times New Roman" w:cs="Times New Roman"/>
          <w:i/>
        </w:rPr>
        <w:t>(c)</w:t>
      </w:r>
      <w:r>
        <w:rPr>
          <w:rFonts w:ascii="Times New Roman" w:eastAsia="Times New Roman" w:hAnsi="Times New Roman" w:cs="Times New Roman"/>
        </w:rPr>
        <w:t xml:space="preserve"> the spatial and temporal coverage of the study, </w:t>
      </w:r>
      <w:r>
        <w:rPr>
          <w:rFonts w:ascii="Times New Roman" w:eastAsia="Times New Roman" w:hAnsi="Times New Roman" w:cs="Times New Roman"/>
          <w:i/>
        </w:rPr>
        <w:t>(d)</w:t>
      </w:r>
      <w:r>
        <w:rPr>
          <w:rFonts w:ascii="Times New Roman" w:eastAsia="Times New Roman" w:hAnsi="Times New Roman" w:cs="Times New Roman"/>
        </w:rPr>
        <w:t xml:space="preserve"> the typology of each cost estimate and </w:t>
      </w:r>
      <w:r>
        <w:rPr>
          <w:rFonts w:ascii="Times New Roman" w:eastAsia="Times New Roman" w:hAnsi="Times New Roman" w:cs="Times New Roman"/>
          <w:i/>
        </w:rPr>
        <w:t>(e)</w:t>
      </w:r>
      <w:r>
        <w:rPr>
          <w:rFonts w:ascii="Times New Roman" w:eastAsia="Times New Roman" w:hAnsi="Times New Roman" w:cs="Times New Roman"/>
        </w:rPr>
        <w:t xml:space="preserve"> the evaluation of the reliability of the estimation method(s). Using the World Bank Open Data and the Organisation for Economic Cooperation and Development (OECD), we expressed all retrieved costs (raw costs and costs per year) in US dollars (US$) for the year 2017 using the following formula to convert and standardise each cost estimate:</w:t>
      </w:r>
    </w:p>
    <w:p w14:paraId="52B2E256" w14:textId="77777777" w:rsidR="0072400A" w:rsidRDefault="0072400A" w:rsidP="0072400A">
      <w:pPr>
        <w:spacing w:before="240" w:after="240" w:line="480" w:lineRule="auto"/>
        <w:jc w:val="both"/>
        <w:rPr>
          <w:rFonts w:ascii="Times New Roman" w:eastAsia="Times New Roman" w:hAnsi="Times New Roman" w:cs="Times New Roman"/>
          <w:i/>
          <w:vertAlign w:val="subscript"/>
        </w:rPr>
      </w:pPr>
      <w:r>
        <w:rPr>
          <w:rFonts w:ascii="Times New Roman" w:eastAsia="Times New Roman" w:hAnsi="Times New Roman" w:cs="Times New Roman"/>
          <w:i/>
        </w:rPr>
        <w:t>C</w:t>
      </w:r>
      <w:r>
        <w:rPr>
          <w:rFonts w:ascii="Times New Roman" w:eastAsia="Times New Roman" w:hAnsi="Times New Roman" w:cs="Times New Roman"/>
          <w:i/>
          <w:vertAlign w:val="subscript"/>
        </w:rPr>
        <w:t>e</w:t>
      </w:r>
      <w:r>
        <w:rPr>
          <w:rFonts w:ascii="Times New Roman" w:eastAsia="Times New Roman" w:hAnsi="Times New Roman" w:cs="Times New Roman"/>
          <w:i/>
        </w:rPr>
        <w:t xml:space="preserve"> = (M</w:t>
      </w:r>
      <w:r>
        <w:rPr>
          <w:rFonts w:ascii="Times New Roman" w:eastAsia="Times New Roman" w:hAnsi="Times New Roman" w:cs="Times New Roman"/>
          <w:i/>
          <w:vertAlign w:val="subscript"/>
        </w:rPr>
        <w:t>V</w:t>
      </w:r>
      <w:r>
        <w:rPr>
          <w:rFonts w:ascii="Times New Roman" w:eastAsia="Times New Roman" w:hAnsi="Times New Roman" w:cs="Times New Roman"/>
          <w:i/>
        </w:rPr>
        <w:t>/C</w:t>
      </w:r>
      <w:r>
        <w:rPr>
          <w:rFonts w:ascii="Times New Roman" w:eastAsia="Times New Roman" w:hAnsi="Times New Roman" w:cs="Times New Roman"/>
          <w:i/>
          <w:vertAlign w:val="subscript"/>
        </w:rPr>
        <w:t>F</w:t>
      </w:r>
      <w:r>
        <w:rPr>
          <w:rFonts w:ascii="Times New Roman" w:eastAsia="Times New Roman" w:hAnsi="Times New Roman" w:cs="Times New Roman"/>
          <w:i/>
        </w:rPr>
        <w:t>) x I</w:t>
      </w:r>
      <w:r>
        <w:rPr>
          <w:rFonts w:ascii="Times New Roman" w:eastAsia="Times New Roman" w:hAnsi="Times New Roman" w:cs="Times New Roman"/>
          <w:i/>
          <w:vertAlign w:val="subscript"/>
        </w:rPr>
        <w:t>F</w:t>
      </w:r>
    </w:p>
    <w:p w14:paraId="33A1E2D9"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rPr>
        <w:t xml:space="preserve">with </w:t>
      </w:r>
      <w:r>
        <w:rPr>
          <w:rFonts w:ascii="Times New Roman" w:eastAsia="Times New Roman" w:hAnsi="Times New Roman" w:cs="Times New Roman"/>
          <w:i/>
        </w:rPr>
        <w:t>Ce</w:t>
      </w:r>
      <w:r>
        <w:rPr>
          <w:rFonts w:ascii="Times New Roman" w:eastAsia="Times New Roman" w:hAnsi="Times New Roman" w:cs="Times New Roman"/>
        </w:rPr>
        <w:t xml:space="preserve"> = Converted cost estimate (to 2017 US dollars based on exchange rate or PPP)</w:t>
      </w:r>
    </w:p>
    <w:p w14:paraId="64885DFF"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i/>
        </w:rPr>
        <w:t>M</w:t>
      </w:r>
      <w:r>
        <w:rPr>
          <w:rFonts w:ascii="Times New Roman" w:eastAsia="Times New Roman" w:hAnsi="Times New Roman" w:cs="Times New Roman"/>
          <w:i/>
          <w:vertAlign w:val="subscript"/>
        </w:rPr>
        <w:t>V</w:t>
      </w:r>
      <w:r>
        <w:rPr>
          <w:rFonts w:ascii="Times New Roman" w:eastAsia="Times New Roman" w:hAnsi="Times New Roman" w:cs="Times New Roman"/>
        </w:rPr>
        <w:t xml:space="preserve"> = Cost estimate (either the ‘Raw cost estimate local currency’ extracted from analysed paper or the ‘Cost per year local currency’ transformed by us)</w:t>
      </w:r>
    </w:p>
    <w:p w14:paraId="5E8ADE32"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i/>
        </w:rPr>
        <w:t>C</w:t>
      </w:r>
      <w:r>
        <w:rPr>
          <w:rFonts w:ascii="Times New Roman" w:eastAsia="Times New Roman" w:hAnsi="Times New Roman" w:cs="Times New Roman"/>
          <w:i/>
          <w:vertAlign w:val="subscript"/>
        </w:rPr>
        <w:t>F</w:t>
      </w:r>
      <w:r>
        <w:rPr>
          <w:rFonts w:ascii="Times New Roman" w:eastAsia="Times New Roman" w:hAnsi="Times New Roman" w:cs="Times New Roman"/>
        </w:rPr>
        <w:t xml:space="preserve"> = Conversion factor (either the official market exchange rate or the purchasing power parity, in US dollars)</w:t>
      </w:r>
    </w:p>
    <w:p w14:paraId="107B06D9"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i/>
        </w:rPr>
        <w:t>I</w:t>
      </w:r>
      <w:r>
        <w:rPr>
          <w:rFonts w:ascii="Times New Roman" w:eastAsia="Times New Roman" w:hAnsi="Times New Roman" w:cs="Times New Roman"/>
          <w:i/>
          <w:vertAlign w:val="subscript"/>
        </w:rPr>
        <w:t>F</w:t>
      </w:r>
      <w:r>
        <w:rPr>
          <w:rFonts w:ascii="Times New Roman" w:eastAsia="Times New Roman" w:hAnsi="Times New Roman" w:cs="Times New Roman"/>
        </w:rPr>
        <w:t xml:space="preserve"> = Inflation factor since the year of cost estimation, calculated as CPI</w:t>
      </w:r>
      <w:r>
        <w:rPr>
          <w:rFonts w:ascii="Times New Roman" w:eastAsia="Times New Roman" w:hAnsi="Times New Roman" w:cs="Times New Roman"/>
          <w:vertAlign w:val="subscript"/>
        </w:rPr>
        <w:t>2017</w:t>
      </w:r>
      <w:r>
        <w:rPr>
          <w:rFonts w:ascii="Times New Roman" w:eastAsia="Times New Roman" w:hAnsi="Times New Roman" w:cs="Times New Roman"/>
        </w:rPr>
        <w:t>/CPIy with CPI corresponding to the Consumer Price Index and y the year of the cost estimation (‘Applicable year’).</w:t>
      </w:r>
    </w:p>
    <w:p w14:paraId="5AC26EC6" w14:textId="77777777" w:rsidR="0072400A" w:rsidRDefault="0072400A" w:rsidP="0072400A">
      <w:pPr>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702087C1"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rPr>
        <w:t>The categories used for each descriptive variable that corresponds to a specific column in the InvaCost database are listed in Table 1.</w:t>
      </w:r>
    </w:p>
    <w:p w14:paraId="2B04F18C" w14:textId="77777777" w:rsidR="0072400A" w:rsidRDefault="0072400A" w:rsidP="0072400A">
      <w:pPr>
        <w:spacing w:before="240" w:after="240" w:line="480" w:lineRule="auto"/>
        <w:jc w:val="both"/>
        <w:rPr>
          <w:rFonts w:ascii="Times New Roman" w:eastAsia="Times New Roman" w:hAnsi="Times New Roman" w:cs="Times New Roman"/>
        </w:rPr>
      </w:pPr>
      <w:r>
        <w:rPr>
          <w:rFonts w:ascii="Times New Roman" w:eastAsia="Times New Roman" w:hAnsi="Times New Roman" w:cs="Times New Roman"/>
          <w:b/>
        </w:rPr>
        <w:lastRenderedPageBreak/>
        <w:t>Table 1:</w:t>
      </w:r>
      <w:r>
        <w:rPr>
          <w:rFonts w:ascii="Times New Roman" w:eastAsia="Times New Roman" w:hAnsi="Times New Roman" w:cs="Times New Roman"/>
        </w:rPr>
        <w:t xml:space="preserve"> </w:t>
      </w:r>
      <w:r>
        <w:rPr>
          <w:rFonts w:ascii="Times New Roman" w:eastAsia="Times New Roman" w:hAnsi="Times New Roman" w:cs="Times New Roman"/>
          <w:color w:val="222222"/>
        </w:rPr>
        <w:t>Description of each type of information (by alphabetical order) provided for each cost estimate recorded in InvaCost. The categories used for each descriptive variable are italicised. Except for ‘Taxonomy’ that groups several columns, each row corresponds to a specific column in the database.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1891"/>
        <w:gridCol w:w="7180"/>
      </w:tblGrid>
      <w:tr w:rsidR="0072400A" w14:paraId="10D90C81" w14:textId="77777777" w:rsidTr="00232DC4">
        <w:trPr>
          <w:trHeight w:val="690"/>
        </w:trPr>
        <w:tc>
          <w:tcPr>
            <w:tcW w:w="1891" w:type="dxa"/>
            <w:tcBorders>
              <w:top w:val="single" w:sz="8" w:space="0" w:color="000000"/>
              <w:bottom w:val="single" w:sz="8" w:space="0" w:color="000000"/>
            </w:tcBorders>
            <w:tcMar>
              <w:top w:w="100" w:type="dxa"/>
              <w:left w:w="100" w:type="dxa"/>
              <w:bottom w:w="100" w:type="dxa"/>
              <w:right w:w="100" w:type="dxa"/>
            </w:tcMar>
          </w:tcPr>
          <w:p w14:paraId="77B35A34" w14:textId="77777777" w:rsidR="0072400A" w:rsidRDefault="0072400A" w:rsidP="00232DC4">
            <w:pPr>
              <w:spacing w:after="0" w:line="480" w:lineRule="auto"/>
              <w:jc w:val="both"/>
              <w:rPr>
                <w:rFonts w:ascii="Times New Roman" w:eastAsia="Times New Roman" w:hAnsi="Times New Roman" w:cs="Times New Roman"/>
                <w:b/>
              </w:rPr>
            </w:pPr>
            <w:r>
              <w:rPr>
                <w:rFonts w:ascii="Times New Roman" w:eastAsia="Times New Roman" w:hAnsi="Times New Roman" w:cs="Times New Roman"/>
                <w:b/>
              </w:rPr>
              <w:t>Column title</w:t>
            </w:r>
          </w:p>
        </w:tc>
        <w:tc>
          <w:tcPr>
            <w:tcW w:w="7179" w:type="dxa"/>
            <w:tcBorders>
              <w:top w:val="single" w:sz="8" w:space="0" w:color="000000"/>
              <w:bottom w:val="single" w:sz="8" w:space="0" w:color="000000"/>
            </w:tcBorders>
            <w:tcMar>
              <w:top w:w="100" w:type="dxa"/>
              <w:left w:w="100" w:type="dxa"/>
              <w:bottom w:w="100" w:type="dxa"/>
              <w:right w:w="100" w:type="dxa"/>
            </w:tcMar>
          </w:tcPr>
          <w:p w14:paraId="36986EA2" w14:textId="77777777" w:rsidR="0072400A" w:rsidRDefault="0072400A" w:rsidP="00232DC4">
            <w:pPr>
              <w:spacing w:after="0" w:line="480" w:lineRule="auto"/>
              <w:jc w:val="both"/>
              <w:rPr>
                <w:rFonts w:ascii="Times New Roman" w:eastAsia="Times New Roman" w:hAnsi="Times New Roman" w:cs="Times New Roman"/>
                <w:b/>
              </w:rPr>
            </w:pPr>
            <w:r>
              <w:rPr>
                <w:rFonts w:ascii="Times New Roman" w:eastAsia="Times New Roman" w:hAnsi="Times New Roman" w:cs="Times New Roman"/>
                <w:b/>
              </w:rPr>
              <w:t>Description</w:t>
            </w:r>
          </w:p>
        </w:tc>
      </w:tr>
      <w:tr w:rsidR="0072400A" w14:paraId="037D598F" w14:textId="77777777" w:rsidTr="00232DC4">
        <w:trPr>
          <w:trHeight w:val="1635"/>
        </w:trPr>
        <w:tc>
          <w:tcPr>
            <w:tcW w:w="1891" w:type="dxa"/>
            <w:shd w:val="clear" w:color="auto" w:fill="C0C0C0"/>
            <w:tcMar>
              <w:top w:w="100" w:type="dxa"/>
              <w:left w:w="100" w:type="dxa"/>
              <w:bottom w:w="100" w:type="dxa"/>
              <w:right w:w="100" w:type="dxa"/>
            </w:tcMar>
          </w:tcPr>
          <w:p w14:paraId="71C1678F"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Acquisition method</w:t>
            </w:r>
          </w:p>
        </w:tc>
        <w:tc>
          <w:tcPr>
            <w:tcW w:w="7179" w:type="dxa"/>
            <w:shd w:val="clear" w:color="auto" w:fill="C0C0C0"/>
            <w:tcMar>
              <w:top w:w="100" w:type="dxa"/>
              <w:left w:w="100" w:type="dxa"/>
              <w:bottom w:w="100" w:type="dxa"/>
              <w:right w:w="100" w:type="dxa"/>
            </w:tcMar>
          </w:tcPr>
          <w:p w14:paraId="23AEC9B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method used to provide the cost estimate as a </w:t>
            </w:r>
            <w:r>
              <w:rPr>
                <w:rFonts w:ascii="Times New Roman" w:eastAsia="Times New Roman" w:hAnsi="Times New Roman" w:cs="Times New Roman"/>
                <w:i/>
              </w:rPr>
              <w:t>report/estimation</w:t>
            </w:r>
            <w:r>
              <w:rPr>
                <w:rFonts w:ascii="Times New Roman" w:eastAsia="Times New Roman" w:hAnsi="Times New Roman" w:cs="Times New Roman"/>
              </w:rPr>
              <w:t xml:space="preserve"> (gathered or derived from field-based information) or </w:t>
            </w:r>
            <w:r>
              <w:rPr>
                <w:rFonts w:ascii="Times New Roman" w:eastAsia="Times New Roman" w:hAnsi="Times New Roman" w:cs="Times New Roman"/>
                <w:i/>
              </w:rPr>
              <w:t>extrapolation</w:t>
            </w:r>
            <w:r>
              <w:rPr>
                <w:rFonts w:ascii="Times New Roman" w:eastAsia="Times New Roman" w:hAnsi="Times New Roman" w:cs="Times New Roman"/>
              </w:rPr>
              <w:t xml:space="preserve"> (cost modelled beyond the original spatial and/or temporal observation range)</w:t>
            </w:r>
          </w:p>
        </w:tc>
      </w:tr>
      <w:tr w:rsidR="0072400A" w14:paraId="29B14ACE" w14:textId="77777777" w:rsidTr="00232DC4">
        <w:trPr>
          <w:trHeight w:val="1155"/>
        </w:trPr>
        <w:tc>
          <w:tcPr>
            <w:tcW w:w="1891" w:type="dxa"/>
            <w:shd w:val="clear" w:color="auto" w:fill="C0C0C0"/>
            <w:tcMar>
              <w:top w:w="100" w:type="dxa"/>
              <w:left w:w="100" w:type="dxa"/>
              <w:bottom w:w="100" w:type="dxa"/>
              <w:right w:w="100" w:type="dxa"/>
            </w:tcMar>
          </w:tcPr>
          <w:p w14:paraId="7AE181E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Applicable year</w:t>
            </w:r>
          </w:p>
        </w:tc>
        <w:tc>
          <w:tcPr>
            <w:tcW w:w="7179" w:type="dxa"/>
            <w:shd w:val="clear" w:color="auto" w:fill="C0C0C0"/>
            <w:tcMar>
              <w:top w:w="100" w:type="dxa"/>
              <w:left w:w="100" w:type="dxa"/>
              <w:bottom w:w="100" w:type="dxa"/>
              <w:right w:w="100" w:type="dxa"/>
            </w:tcMar>
          </w:tcPr>
          <w:p w14:paraId="3840D17C"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year of the ‘Currency’ value (not the year of the cost occurrence) considered for the conversion/standardization of the cost estimate</w:t>
            </w:r>
          </w:p>
        </w:tc>
      </w:tr>
      <w:tr w:rsidR="0072400A" w14:paraId="268EF0CE" w14:textId="77777777" w:rsidTr="00232DC4">
        <w:trPr>
          <w:trHeight w:val="675"/>
        </w:trPr>
        <w:tc>
          <w:tcPr>
            <w:tcW w:w="1891" w:type="dxa"/>
            <w:tcMar>
              <w:top w:w="100" w:type="dxa"/>
              <w:left w:w="100" w:type="dxa"/>
              <w:bottom w:w="100" w:type="dxa"/>
              <w:right w:w="100" w:type="dxa"/>
            </w:tcMar>
          </w:tcPr>
          <w:p w14:paraId="118F82A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Authors</w:t>
            </w:r>
          </w:p>
        </w:tc>
        <w:tc>
          <w:tcPr>
            <w:tcW w:w="7179" w:type="dxa"/>
            <w:tcMar>
              <w:top w:w="100" w:type="dxa"/>
              <w:left w:w="100" w:type="dxa"/>
              <w:bottom w:w="100" w:type="dxa"/>
              <w:right w:w="100" w:type="dxa"/>
            </w:tcMar>
          </w:tcPr>
          <w:p w14:paraId="4992FA0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authors of the material analysed</w:t>
            </w:r>
          </w:p>
        </w:tc>
      </w:tr>
      <w:tr w:rsidR="0072400A" w14:paraId="5B414E32" w14:textId="77777777" w:rsidTr="00232DC4">
        <w:trPr>
          <w:trHeight w:val="675"/>
        </w:trPr>
        <w:tc>
          <w:tcPr>
            <w:tcW w:w="1891" w:type="dxa"/>
            <w:shd w:val="clear" w:color="auto" w:fill="C0C0C0"/>
            <w:tcMar>
              <w:top w:w="100" w:type="dxa"/>
              <w:left w:w="100" w:type="dxa"/>
              <w:bottom w:w="100" w:type="dxa"/>
              <w:right w:w="100" w:type="dxa"/>
            </w:tcMar>
          </w:tcPr>
          <w:p w14:paraId="54B8D7E4"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Availability</w:t>
            </w:r>
          </w:p>
        </w:tc>
        <w:tc>
          <w:tcPr>
            <w:tcW w:w="7179" w:type="dxa"/>
            <w:shd w:val="clear" w:color="auto" w:fill="C0C0C0"/>
            <w:tcMar>
              <w:top w:w="100" w:type="dxa"/>
              <w:left w:w="100" w:type="dxa"/>
              <w:bottom w:w="100" w:type="dxa"/>
              <w:right w:w="100" w:type="dxa"/>
            </w:tcMar>
          </w:tcPr>
          <w:p w14:paraId="523F237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accessibility of the material as a searchable document (</w:t>
            </w:r>
            <w:r>
              <w:rPr>
                <w:rFonts w:ascii="Times New Roman" w:eastAsia="Times New Roman" w:hAnsi="Times New Roman" w:cs="Times New Roman"/>
                <w:i/>
              </w:rPr>
              <w:t>yes</w:t>
            </w:r>
            <w:r>
              <w:rPr>
                <w:rFonts w:ascii="Times New Roman" w:eastAsia="Times New Roman" w:hAnsi="Times New Roman" w:cs="Times New Roman"/>
              </w:rPr>
              <w:t>/</w:t>
            </w:r>
            <w:r>
              <w:rPr>
                <w:rFonts w:ascii="Times New Roman" w:eastAsia="Times New Roman" w:hAnsi="Times New Roman" w:cs="Times New Roman"/>
                <w:i/>
              </w:rPr>
              <w:t>no</w:t>
            </w:r>
            <w:r>
              <w:rPr>
                <w:rFonts w:ascii="Times New Roman" w:eastAsia="Times New Roman" w:hAnsi="Times New Roman" w:cs="Times New Roman"/>
              </w:rPr>
              <w:t>)</w:t>
            </w:r>
          </w:p>
        </w:tc>
      </w:tr>
      <w:tr w:rsidR="0072400A" w14:paraId="5085DE32" w14:textId="77777777" w:rsidTr="00232DC4">
        <w:trPr>
          <w:trHeight w:val="2595"/>
        </w:trPr>
        <w:tc>
          <w:tcPr>
            <w:tcW w:w="1891" w:type="dxa"/>
            <w:tcMar>
              <w:top w:w="100" w:type="dxa"/>
              <w:left w:w="100" w:type="dxa"/>
              <w:bottom w:w="100" w:type="dxa"/>
              <w:right w:w="100" w:type="dxa"/>
            </w:tcMar>
          </w:tcPr>
          <w:p w14:paraId="7361C18E"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Benefit value(s)</w:t>
            </w:r>
          </w:p>
        </w:tc>
        <w:tc>
          <w:tcPr>
            <w:tcW w:w="7179" w:type="dxa"/>
            <w:tcMar>
              <w:top w:w="100" w:type="dxa"/>
              <w:left w:w="100" w:type="dxa"/>
              <w:bottom w:w="100" w:type="dxa"/>
              <w:right w:w="100" w:type="dxa"/>
            </w:tcMar>
          </w:tcPr>
          <w:p w14:paraId="084B6C49"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mention of if any benefit value was found in the analysed material; this might cover different types of benefits (</w:t>
            </w:r>
            <w:r>
              <w:rPr>
                <w:rFonts w:ascii="Times New Roman" w:eastAsia="Times New Roman" w:hAnsi="Times New Roman" w:cs="Times New Roman"/>
                <w:i/>
              </w:rPr>
              <w:t>e.g.</w:t>
            </w:r>
            <w:r>
              <w:rPr>
                <w:rFonts w:ascii="Times New Roman" w:eastAsia="Times New Roman" w:hAnsi="Times New Roman" w:cs="Times New Roman"/>
              </w:rPr>
              <w:t xml:space="preserve"> real benefits provided by direct use or exploitation of invasive species or benefits that are actually avoided costs) - the figure was not recorded or described as being out of the scope of INVACOST</w:t>
            </w:r>
          </w:p>
        </w:tc>
      </w:tr>
      <w:tr w:rsidR="0072400A" w14:paraId="43CF4EB7" w14:textId="77777777" w:rsidTr="00232DC4">
        <w:trPr>
          <w:trHeight w:val="1635"/>
        </w:trPr>
        <w:tc>
          <w:tcPr>
            <w:tcW w:w="1891" w:type="dxa"/>
            <w:shd w:val="clear" w:color="auto" w:fill="C0C0C0"/>
            <w:tcMar>
              <w:top w:w="100" w:type="dxa"/>
              <w:left w:w="100" w:type="dxa"/>
              <w:bottom w:w="100" w:type="dxa"/>
              <w:right w:w="100" w:type="dxa"/>
            </w:tcMar>
          </w:tcPr>
          <w:p w14:paraId="3AAA0E6A"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Common name</w:t>
            </w:r>
          </w:p>
        </w:tc>
        <w:tc>
          <w:tcPr>
            <w:tcW w:w="7179" w:type="dxa"/>
            <w:shd w:val="clear" w:color="auto" w:fill="C0C0C0"/>
            <w:tcMar>
              <w:top w:w="100" w:type="dxa"/>
              <w:left w:w="100" w:type="dxa"/>
              <w:bottom w:w="100" w:type="dxa"/>
              <w:right w:w="100" w:type="dxa"/>
            </w:tcMar>
          </w:tcPr>
          <w:p w14:paraId="28F7C1B7"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non-scientific (or vernacular) name(s) provided by the authors, or by the International Union for Conservation of Nature (UICN) when not provided</w:t>
            </w:r>
          </w:p>
        </w:tc>
      </w:tr>
      <w:tr w:rsidR="0072400A" w14:paraId="586E1471" w14:textId="77777777" w:rsidTr="00232DC4">
        <w:trPr>
          <w:trHeight w:val="1635"/>
        </w:trPr>
        <w:tc>
          <w:tcPr>
            <w:tcW w:w="1891" w:type="dxa"/>
            <w:tcMar>
              <w:top w:w="100" w:type="dxa"/>
              <w:left w:w="100" w:type="dxa"/>
              <w:bottom w:w="100" w:type="dxa"/>
              <w:right w:w="100" w:type="dxa"/>
            </w:tcMar>
          </w:tcPr>
          <w:p w14:paraId="030B960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Contributors</w:t>
            </w:r>
          </w:p>
        </w:tc>
        <w:tc>
          <w:tcPr>
            <w:tcW w:w="7179" w:type="dxa"/>
            <w:tcMar>
              <w:top w:w="100" w:type="dxa"/>
              <w:left w:w="100" w:type="dxa"/>
              <w:bottom w:w="100" w:type="dxa"/>
              <w:right w:w="100" w:type="dxa"/>
            </w:tcMar>
          </w:tcPr>
          <w:p w14:paraId="6E875252"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name of collaborator(s) having recorded the cost estimate; currently, it is only the initials of the authors, but each future contributor will be consistently acknowledged here</w:t>
            </w:r>
          </w:p>
        </w:tc>
      </w:tr>
      <w:tr w:rsidR="0072400A" w14:paraId="4486ED36" w14:textId="77777777" w:rsidTr="00232DC4">
        <w:trPr>
          <w:trHeight w:val="1635"/>
        </w:trPr>
        <w:tc>
          <w:tcPr>
            <w:tcW w:w="1891" w:type="dxa"/>
            <w:tcMar>
              <w:top w:w="100" w:type="dxa"/>
              <w:left w:w="100" w:type="dxa"/>
              <w:bottom w:w="100" w:type="dxa"/>
              <w:right w:w="100" w:type="dxa"/>
            </w:tcMar>
          </w:tcPr>
          <w:p w14:paraId="12131F2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Cost estimate per year local currency</w:t>
            </w:r>
          </w:p>
        </w:tc>
        <w:tc>
          <w:tcPr>
            <w:tcW w:w="7179" w:type="dxa"/>
            <w:tcMar>
              <w:top w:w="100" w:type="dxa"/>
              <w:left w:w="100" w:type="dxa"/>
              <w:bottom w:w="100" w:type="dxa"/>
              <w:right w:w="100" w:type="dxa"/>
            </w:tcMar>
          </w:tcPr>
          <w:p w14:paraId="029FB8F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‘Raw cost estimate local currency’ transformed to a cost estimate per year of the ‘Period of estimation’ (obtained by dividing the raw cost estimate by the number of years* of the ‘Period of estimation’)</w:t>
            </w:r>
          </w:p>
        </w:tc>
      </w:tr>
      <w:tr w:rsidR="0072400A" w14:paraId="4258918D" w14:textId="77777777" w:rsidTr="00232DC4">
        <w:trPr>
          <w:trHeight w:val="1635"/>
        </w:trPr>
        <w:tc>
          <w:tcPr>
            <w:tcW w:w="1891" w:type="dxa"/>
            <w:shd w:val="clear" w:color="auto" w:fill="C0C0C0"/>
            <w:tcMar>
              <w:top w:w="100" w:type="dxa"/>
              <w:left w:w="100" w:type="dxa"/>
              <w:bottom w:w="100" w:type="dxa"/>
              <w:right w:w="100" w:type="dxa"/>
            </w:tcMar>
          </w:tcPr>
          <w:p w14:paraId="07470D89"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Cost estimate per year 2017 USD exchange rate</w:t>
            </w:r>
          </w:p>
        </w:tc>
        <w:tc>
          <w:tcPr>
            <w:tcW w:w="7179" w:type="dxa"/>
            <w:shd w:val="clear" w:color="auto" w:fill="C0C0C0"/>
            <w:tcMar>
              <w:top w:w="100" w:type="dxa"/>
              <w:left w:w="100" w:type="dxa"/>
              <w:bottom w:w="100" w:type="dxa"/>
              <w:right w:w="100" w:type="dxa"/>
            </w:tcMar>
          </w:tcPr>
          <w:p w14:paraId="4BDEEDE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‘Cost estimate per year local currency’ standardised from local ‘Currency’ and ‘Applicable year’ to 2017 USD based on ER** (See the formula in the ‘Standardisation of cost data’ section)</w:t>
            </w:r>
          </w:p>
        </w:tc>
      </w:tr>
      <w:tr w:rsidR="0072400A" w14:paraId="21978CC5" w14:textId="77777777" w:rsidTr="00232DC4">
        <w:trPr>
          <w:trHeight w:val="1635"/>
        </w:trPr>
        <w:tc>
          <w:tcPr>
            <w:tcW w:w="1891" w:type="dxa"/>
            <w:tcMar>
              <w:top w:w="100" w:type="dxa"/>
              <w:left w:w="100" w:type="dxa"/>
              <w:bottom w:w="100" w:type="dxa"/>
              <w:right w:w="100" w:type="dxa"/>
            </w:tcMar>
          </w:tcPr>
          <w:p w14:paraId="5AD4ACA2"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Cost estimate per year 2017 USD PPP</w:t>
            </w:r>
          </w:p>
        </w:tc>
        <w:tc>
          <w:tcPr>
            <w:tcW w:w="7179" w:type="dxa"/>
            <w:tcMar>
              <w:top w:w="100" w:type="dxa"/>
              <w:left w:w="100" w:type="dxa"/>
              <w:bottom w:w="100" w:type="dxa"/>
              <w:right w:w="100" w:type="dxa"/>
            </w:tcMar>
          </w:tcPr>
          <w:p w14:paraId="2BEF9799"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‘Cost estimate per year local currency’ standardised from local ‘Currency’ and ‘Applicable year’ to 2017 USD based on PPP*** (See the formula in the ‘Standardisation of cost data’ section)</w:t>
            </w:r>
          </w:p>
        </w:tc>
      </w:tr>
      <w:tr w:rsidR="0072400A" w14:paraId="2AE53D1D" w14:textId="77777777" w:rsidTr="00232DC4">
        <w:trPr>
          <w:trHeight w:val="675"/>
        </w:trPr>
        <w:tc>
          <w:tcPr>
            <w:tcW w:w="1891" w:type="dxa"/>
            <w:shd w:val="clear" w:color="auto" w:fill="C0C0C0"/>
            <w:tcMar>
              <w:top w:w="100" w:type="dxa"/>
              <w:left w:w="100" w:type="dxa"/>
              <w:bottom w:w="100" w:type="dxa"/>
              <w:right w:w="100" w:type="dxa"/>
            </w:tcMar>
          </w:tcPr>
          <w:p w14:paraId="4E00204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Cost ID</w:t>
            </w:r>
          </w:p>
        </w:tc>
        <w:tc>
          <w:tcPr>
            <w:tcW w:w="7179" w:type="dxa"/>
            <w:shd w:val="clear" w:color="auto" w:fill="C0C0C0"/>
            <w:tcMar>
              <w:top w:w="100" w:type="dxa"/>
              <w:left w:w="100" w:type="dxa"/>
              <w:bottom w:w="100" w:type="dxa"/>
              <w:right w:w="100" w:type="dxa"/>
            </w:tcMar>
          </w:tcPr>
          <w:p w14:paraId="75E34544"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 unique numerical identifier for the cost estimate</w:t>
            </w:r>
          </w:p>
        </w:tc>
      </w:tr>
      <w:tr w:rsidR="0072400A" w14:paraId="158F220C" w14:textId="77777777" w:rsidTr="00232DC4">
        <w:trPr>
          <w:trHeight w:val="1155"/>
        </w:trPr>
        <w:tc>
          <w:tcPr>
            <w:tcW w:w="1891" w:type="dxa"/>
            <w:tcMar>
              <w:top w:w="100" w:type="dxa"/>
              <w:left w:w="100" w:type="dxa"/>
              <w:bottom w:w="100" w:type="dxa"/>
              <w:right w:w="100" w:type="dxa"/>
            </w:tcMar>
          </w:tcPr>
          <w:p w14:paraId="37663B4E"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Currency</w:t>
            </w:r>
          </w:p>
        </w:tc>
        <w:tc>
          <w:tcPr>
            <w:tcW w:w="7179" w:type="dxa"/>
            <w:tcMar>
              <w:top w:w="100" w:type="dxa"/>
              <w:left w:w="100" w:type="dxa"/>
              <w:bottom w:w="100" w:type="dxa"/>
              <w:right w:w="100" w:type="dxa"/>
            </w:tcMar>
          </w:tcPr>
          <w:p w14:paraId="67FDFAE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currency of the ‘Raw cost estimate local currency’ as extracted from the material</w:t>
            </w:r>
          </w:p>
        </w:tc>
      </w:tr>
      <w:tr w:rsidR="0072400A" w14:paraId="428130EC" w14:textId="77777777" w:rsidTr="00232DC4">
        <w:trPr>
          <w:trHeight w:val="2115"/>
        </w:trPr>
        <w:tc>
          <w:tcPr>
            <w:tcW w:w="1891" w:type="dxa"/>
            <w:shd w:val="clear" w:color="auto" w:fill="C0C0C0"/>
            <w:tcMar>
              <w:top w:w="100" w:type="dxa"/>
              <w:left w:w="100" w:type="dxa"/>
              <w:bottom w:w="100" w:type="dxa"/>
              <w:right w:w="100" w:type="dxa"/>
            </w:tcMar>
          </w:tcPr>
          <w:p w14:paraId="2F19EDB1"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Details</w:t>
            </w:r>
          </w:p>
        </w:tc>
        <w:tc>
          <w:tcPr>
            <w:tcW w:w="7179" w:type="dxa"/>
            <w:shd w:val="clear" w:color="auto" w:fill="C0C0C0"/>
            <w:tcMar>
              <w:top w:w="100" w:type="dxa"/>
              <w:left w:w="100" w:type="dxa"/>
              <w:bottom w:w="100" w:type="dxa"/>
              <w:right w:w="100" w:type="dxa"/>
            </w:tcMar>
          </w:tcPr>
          <w:p w14:paraId="10C0762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When necessary, narrative elements deemed important either to understand the cost estimate or to support choices made for completing the database; this column was left unchanged from the original entries in order to allow trace-back investigations</w:t>
            </w:r>
          </w:p>
        </w:tc>
      </w:tr>
      <w:tr w:rsidR="0072400A" w14:paraId="4B930A54" w14:textId="77777777" w:rsidTr="00232DC4">
        <w:trPr>
          <w:trHeight w:val="1155"/>
        </w:trPr>
        <w:tc>
          <w:tcPr>
            <w:tcW w:w="1891" w:type="dxa"/>
            <w:tcMar>
              <w:top w:w="100" w:type="dxa"/>
              <w:left w:w="100" w:type="dxa"/>
              <w:bottom w:w="100" w:type="dxa"/>
              <w:right w:w="100" w:type="dxa"/>
            </w:tcMar>
          </w:tcPr>
          <w:p w14:paraId="713EB28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Environment</w:t>
            </w:r>
          </w:p>
        </w:tc>
        <w:tc>
          <w:tcPr>
            <w:tcW w:w="7179" w:type="dxa"/>
            <w:tcMar>
              <w:top w:w="100" w:type="dxa"/>
              <w:left w:w="100" w:type="dxa"/>
              <w:bottom w:w="100" w:type="dxa"/>
              <w:right w:w="100" w:type="dxa"/>
            </w:tcMar>
          </w:tcPr>
          <w:p w14:paraId="0D533132"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type of habitat (</w:t>
            </w:r>
            <w:r>
              <w:rPr>
                <w:rFonts w:ascii="Times New Roman" w:eastAsia="Times New Roman" w:hAnsi="Times New Roman" w:cs="Times New Roman"/>
                <w:i/>
              </w:rPr>
              <w:t>aquatic</w:t>
            </w:r>
            <w:r>
              <w:rPr>
                <w:rFonts w:ascii="Times New Roman" w:eastAsia="Times New Roman" w:hAnsi="Times New Roman" w:cs="Times New Roman"/>
              </w:rPr>
              <w:t xml:space="preserve">, </w:t>
            </w:r>
            <w:r>
              <w:rPr>
                <w:rFonts w:ascii="Times New Roman" w:eastAsia="Times New Roman" w:hAnsi="Times New Roman" w:cs="Times New Roman"/>
                <w:i/>
              </w:rPr>
              <w:t>terrestrial</w:t>
            </w:r>
            <w:r>
              <w:rPr>
                <w:rFonts w:ascii="Times New Roman" w:eastAsia="Times New Roman" w:hAnsi="Times New Roman" w:cs="Times New Roman"/>
              </w:rPr>
              <w:t xml:space="preserve">, </w:t>
            </w:r>
            <w:r>
              <w:rPr>
                <w:rFonts w:ascii="Times New Roman" w:eastAsia="Times New Roman" w:hAnsi="Times New Roman" w:cs="Times New Roman"/>
                <w:i/>
              </w:rPr>
              <w:t>semi-aquatic</w:t>
            </w:r>
            <w:r>
              <w:rPr>
                <w:rFonts w:ascii="Times New Roman" w:eastAsia="Times New Roman" w:hAnsi="Times New Roman" w:cs="Times New Roman"/>
              </w:rPr>
              <w:t>) where the cost estimate occurred</w:t>
            </w:r>
          </w:p>
        </w:tc>
      </w:tr>
      <w:tr w:rsidR="0072400A" w14:paraId="3AA9346F" w14:textId="77777777" w:rsidTr="00232DC4">
        <w:trPr>
          <w:trHeight w:val="1635"/>
        </w:trPr>
        <w:tc>
          <w:tcPr>
            <w:tcW w:w="1891" w:type="dxa"/>
            <w:shd w:val="clear" w:color="auto" w:fill="C0C0C0"/>
            <w:tcMar>
              <w:top w:w="100" w:type="dxa"/>
              <w:left w:w="100" w:type="dxa"/>
              <w:bottom w:w="100" w:type="dxa"/>
              <w:right w:w="100" w:type="dxa"/>
            </w:tcMar>
          </w:tcPr>
          <w:p w14:paraId="6300171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Geographic region</w:t>
            </w:r>
          </w:p>
        </w:tc>
        <w:tc>
          <w:tcPr>
            <w:tcW w:w="7179" w:type="dxa"/>
            <w:shd w:val="clear" w:color="auto" w:fill="C0C0C0"/>
            <w:tcMar>
              <w:top w:w="100" w:type="dxa"/>
              <w:left w:w="100" w:type="dxa"/>
              <w:bottom w:w="100" w:type="dxa"/>
              <w:right w:w="100" w:type="dxa"/>
            </w:tcMar>
          </w:tcPr>
          <w:p w14:paraId="1582169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geographical region(s) where the cost estimate occurred (</w:t>
            </w:r>
            <w:r>
              <w:rPr>
                <w:rFonts w:ascii="Times New Roman" w:eastAsia="Times New Roman" w:hAnsi="Times New Roman" w:cs="Times New Roman"/>
                <w:i/>
              </w:rPr>
              <w:t>Africa</w:t>
            </w:r>
            <w:r>
              <w:rPr>
                <w:rFonts w:ascii="Times New Roman" w:eastAsia="Times New Roman" w:hAnsi="Times New Roman" w:cs="Times New Roman"/>
              </w:rPr>
              <w:t xml:space="preserve">, </w:t>
            </w:r>
            <w:r>
              <w:rPr>
                <w:rFonts w:ascii="Times New Roman" w:eastAsia="Times New Roman" w:hAnsi="Times New Roman" w:cs="Times New Roman"/>
                <w:i/>
              </w:rPr>
              <w:t>Asia</w:t>
            </w:r>
            <w:r>
              <w:rPr>
                <w:rFonts w:ascii="Times New Roman" w:eastAsia="Times New Roman" w:hAnsi="Times New Roman" w:cs="Times New Roman"/>
              </w:rPr>
              <w:t xml:space="preserve">, </w:t>
            </w:r>
            <w:r>
              <w:rPr>
                <w:rFonts w:ascii="Times New Roman" w:eastAsia="Times New Roman" w:hAnsi="Times New Roman" w:cs="Times New Roman"/>
                <w:i/>
              </w:rPr>
              <w:t>Central America</w:t>
            </w:r>
            <w:r>
              <w:rPr>
                <w:rFonts w:ascii="Times New Roman" w:eastAsia="Times New Roman" w:hAnsi="Times New Roman" w:cs="Times New Roman"/>
              </w:rPr>
              <w:t xml:space="preserve">, </w:t>
            </w:r>
            <w:r>
              <w:rPr>
                <w:rFonts w:ascii="Times New Roman" w:eastAsia="Times New Roman" w:hAnsi="Times New Roman" w:cs="Times New Roman"/>
                <w:i/>
              </w:rPr>
              <w:t>Europa</w:t>
            </w:r>
            <w:r>
              <w:rPr>
                <w:rFonts w:ascii="Times New Roman" w:eastAsia="Times New Roman" w:hAnsi="Times New Roman" w:cs="Times New Roman"/>
              </w:rPr>
              <w:t xml:space="preserve">, </w:t>
            </w:r>
            <w:r>
              <w:rPr>
                <w:rFonts w:ascii="Times New Roman" w:eastAsia="Times New Roman" w:hAnsi="Times New Roman" w:cs="Times New Roman"/>
                <w:i/>
              </w:rPr>
              <w:t>North America</w:t>
            </w:r>
            <w:r>
              <w:rPr>
                <w:rFonts w:ascii="Times New Roman" w:eastAsia="Times New Roman" w:hAnsi="Times New Roman" w:cs="Times New Roman"/>
              </w:rPr>
              <w:t xml:space="preserve">, </w:t>
            </w:r>
            <w:r>
              <w:rPr>
                <w:rFonts w:ascii="Times New Roman" w:eastAsia="Times New Roman" w:hAnsi="Times New Roman" w:cs="Times New Roman"/>
                <w:i/>
              </w:rPr>
              <w:t>Oceania-Pacific islands</w:t>
            </w:r>
            <w:r>
              <w:rPr>
                <w:rFonts w:ascii="Times New Roman" w:eastAsia="Times New Roman" w:hAnsi="Times New Roman" w:cs="Times New Roman"/>
              </w:rPr>
              <w:t xml:space="preserve">, </w:t>
            </w:r>
            <w:r>
              <w:rPr>
                <w:rFonts w:ascii="Times New Roman" w:eastAsia="Times New Roman" w:hAnsi="Times New Roman" w:cs="Times New Roman"/>
                <w:i/>
              </w:rPr>
              <w:t>South America</w:t>
            </w:r>
            <w:r>
              <w:rPr>
                <w:rFonts w:ascii="Times New Roman" w:eastAsia="Times New Roman" w:hAnsi="Times New Roman" w:cs="Times New Roman"/>
              </w:rPr>
              <w:t>)</w:t>
            </w:r>
          </w:p>
        </w:tc>
      </w:tr>
      <w:tr w:rsidR="0072400A" w14:paraId="77EC3E5A" w14:textId="77777777" w:rsidTr="00232DC4">
        <w:trPr>
          <w:trHeight w:val="1635"/>
        </w:trPr>
        <w:tc>
          <w:tcPr>
            <w:tcW w:w="1891" w:type="dxa"/>
            <w:tcMar>
              <w:top w:w="100" w:type="dxa"/>
              <w:left w:w="100" w:type="dxa"/>
              <w:bottom w:w="100" w:type="dxa"/>
              <w:right w:w="100" w:type="dxa"/>
            </w:tcMar>
          </w:tcPr>
          <w:p w14:paraId="084D6C2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Impacted sector</w:t>
            </w:r>
          </w:p>
        </w:tc>
        <w:tc>
          <w:tcPr>
            <w:tcW w:w="7179" w:type="dxa"/>
            <w:tcMar>
              <w:top w:w="100" w:type="dxa"/>
              <w:left w:w="100" w:type="dxa"/>
              <w:bottom w:w="100" w:type="dxa"/>
              <w:right w:w="100" w:type="dxa"/>
            </w:tcMar>
          </w:tcPr>
          <w:p w14:paraId="1D3AE83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sector impacted by the cost estimate in our socio-ecosystems (e.g. </w:t>
            </w:r>
            <w:r>
              <w:rPr>
                <w:rFonts w:ascii="Times New Roman" w:eastAsia="Times New Roman" w:hAnsi="Times New Roman" w:cs="Times New Roman"/>
                <w:i/>
              </w:rPr>
              <w:t>agriculture</w:t>
            </w:r>
            <w:r>
              <w:rPr>
                <w:rFonts w:ascii="Times New Roman" w:eastAsia="Times New Roman" w:hAnsi="Times New Roman" w:cs="Times New Roman"/>
              </w:rPr>
              <w:t xml:space="preserve">, </w:t>
            </w:r>
            <w:r>
              <w:rPr>
                <w:rFonts w:ascii="Times New Roman" w:eastAsia="Times New Roman" w:hAnsi="Times New Roman" w:cs="Times New Roman"/>
                <w:i/>
              </w:rPr>
              <w:t>health</w:t>
            </w:r>
            <w:r>
              <w:rPr>
                <w:rFonts w:ascii="Times New Roman" w:eastAsia="Times New Roman" w:hAnsi="Times New Roman" w:cs="Times New Roman"/>
              </w:rPr>
              <w:t xml:space="preserve">, </w:t>
            </w:r>
            <w:r>
              <w:rPr>
                <w:rFonts w:ascii="Times New Roman" w:eastAsia="Times New Roman" w:hAnsi="Times New Roman" w:cs="Times New Roman"/>
                <w:i/>
              </w:rPr>
              <w:t>public</w:t>
            </w:r>
            <w:r>
              <w:rPr>
                <w:rFonts w:ascii="Times New Roman" w:eastAsia="Times New Roman" w:hAnsi="Times New Roman" w:cs="Times New Roman"/>
              </w:rPr>
              <w:t xml:space="preserve"> </w:t>
            </w:r>
            <w:r>
              <w:rPr>
                <w:rFonts w:ascii="Times New Roman" w:eastAsia="Times New Roman" w:hAnsi="Times New Roman" w:cs="Times New Roman"/>
                <w:i/>
              </w:rPr>
              <w:t>and social welfare</w:t>
            </w:r>
            <w:r>
              <w:rPr>
                <w:rFonts w:ascii="Times New Roman" w:eastAsia="Times New Roman" w:hAnsi="Times New Roman" w:cs="Times New Roman"/>
              </w:rPr>
              <w:t>; see Table 3 for details on each category)</w:t>
            </w:r>
          </w:p>
        </w:tc>
      </w:tr>
      <w:tr w:rsidR="0072400A" w14:paraId="2612A4EB" w14:textId="77777777" w:rsidTr="00232DC4">
        <w:trPr>
          <w:trHeight w:val="1635"/>
        </w:trPr>
        <w:tc>
          <w:tcPr>
            <w:tcW w:w="1891" w:type="dxa"/>
            <w:shd w:val="clear" w:color="auto" w:fill="C0C0C0"/>
            <w:tcMar>
              <w:top w:w="100" w:type="dxa"/>
              <w:left w:w="100" w:type="dxa"/>
              <w:bottom w:w="100" w:type="dxa"/>
              <w:right w:w="100" w:type="dxa"/>
            </w:tcMar>
          </w:tcPr>
          <w:p w14:paraId="3D210CD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Implementation</w:t>
            </w:r>
          </w:p>
        </w:tc>
        <w:tc>
          <w:tcPr>
            <w:tcW w:w="7179" w:type="dxa"/>
            <w:shd w:val="clear" w:color="auto" w:fill="C0C0C0"/>
            <w:tcMar>
              <w:top w:w="100" w:type="dxa"/>
              <w:left w:w="100" w:type="dxa"/>
              <w:bottom w:w="100" w:type="dxa"/>
              <w:right w:w="100" w:type="dxa"/>
            </w:tcMar>
          </w:tcPr>
          <w:p w14:paraId="37F75207"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This states – at the time of the estimation – whether the reported cost was actually </w:t>
            </w:r>
            <w:r>
              <w:rPr>
                <w:rFonts w:ascii="Times New Roman" w:eastAsia="Times New Roman" w:hAnsi="Times New Roman" w:cs="Times New Roman"/>
                <w:i/>
              </w:rPr>
              <w:t>observed</w:t>
            </w:r>
            <w:r>
              <w:rPr>
                <w:rFonts w:ascii="Times New Roman" w:eastAsia="Times New Roman" w:hAnsi="Times New Roman" w:cs="Times New Roman"/>
              </w:rPr>
              <w:t xml:space="preserve"> (i.e. cost actually incurred) or </w:t>
            </w:r>
            <w:r>
              <w:rPr>
                <w:rFonts w:ascii="Times New Roman" w:eastAsia="Times New Roman" w:hAnsi="Times New Roman" w:cs="Times New Roman"/>
                <w:i/>
              </w:rPr>
              <w:t>potential</w:t>
            </w:r>
            <w:r>
              <w:rPr>
                <w:rFonts w:ascii="Times New Roman" w:eastAsia="Times New Roman" w:hAnsi="Times New Roman" w:cs="Times New Roman"/>
              </w:rPr>
              <w:t xml:space="preserve"> (i.e. not incurred but expected cost)</w:t>
            </w:r>
          </w:p>
        </w:tc>
      </w:tr>
      <w:tr w:rsidR="0072400A" w14:paraId="2E814E7E" w14:textId="77777777" w:rsidTr="00232DC4">
        <w:trPr>
          <w:trHeight w:val="1155"/>
        </w:trPr>
        <w:tc>
          <w:tcPr>
            <w:tcW w:w="1891" w:type="dxa"/>
            <w:tcMar>
              <w:top w:w="100" w:type="dxa"/>
              <w:left w:w="100" w:type="dxa"/>
              <w:bottom w:w="100" w:type="dxa"/>
              <w:right w:w="100" w:type="dxa"/>
            </w:tcMar>
          </w:tcPr>
          <w:p w14:paraId="344DA51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Location</w:t>
            </w:r>
          </w:p>
        </w:tc>
        <w:tc>
          <w:tcPr>
            <w:tcW w:w="7179" w:type="dxa"/>
            <w:tcMar>
              <w:top w:w="100" w:type="dxa"/>
              <w:left w:w="100" w:type="dxa"/>
              <w:bottom w:w="100" w:type="dxa"/>
              <w:right w:w="100" w:type="dxa"/>
            </w:tcMar>
          </w:tcPr>
          <w:p w14:paraId="21C21A8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When provided, the precise location (e.g., region, city, area) where the cost estimate occurred</w:t>
            </w:r>
          </w:p>
        </w:tc>
      </w:tr>
      <w:tr w:rsidR="0072400A" w14:paraId="3E790A2F" w14:textId="77777777" w:rsidTr="00232DC4">
        <w:trPr>
          <w:trHeight w:val="1635"/>
        </w:trPr>
        <w:tc>
          <w:tcPr>
            <w:tcW w:w="1891" w:type="dxa"/>
            <w:shd w:val="clear" w:color="auto" w:fill="C0C0C0"/>
            <w:tcMar>
              <w:top w:w="100" w:type="dxa"/>
              <w:left w:w="100" w:type="dxa"/>
              <w:bottom w:w="100" w:type="dxa"/>
              <w:right w:w="100" w:type="dxa"/>
            </w:tcMar>
          </w:tcPr>
          <w:p w14:paraId="31AD054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Max Raw cost estimate local currency</w:t>
            </w:r>
          </w:p>
        </w:tc>
        <w:tc>
          <w:tcPr>
            <w:tcW w:w="7179" w:type="dxa"/>
            <w:shd w:val="clear" w:color="auto" w:fill="C0C0C0"/>
            <w:tcMar>
              <w:top w:w="100" w:type="dxa"/>
              <w:left w:w="100" w:type="dxa"/>
              <w:bottom w:w="100" w:type="dxa"/>
              <w:right w:w="100" w:type="dxa"/>
            </w:tcMar>
          </w:tcPr>
          <w:p w14:paraId="55AF3B0B"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higher boundary of the ‘Raw cost estimate local currency’ (if a range of estimates was provided by the authors)</w:t>
            </w:r>
          </w:p>
        </w:tc>
      </w:tr>
      <w:tr w:rsidR="0072400A" w14:paraId="1F516FCB" w14:textId="77777777" w:rsidTr="00232DC4">
        <w:trPr>
          <w:trHeight w:val="3075"/>
        </w:trPr>
        <w:tc>
          <w:tcPr>
            <w:tcW w:w="1891" w:type="dxa"/>
            <w:tcMar>
              <w:top w:w="100" w:type="dxa"/>
              <w:left w:w="100" w:type="dxa"/>
              <w:bottom w:w="100" w:type="dxa"/>
              <w:right w:w="100" w:type="dxa"/>
            </w:tcMar>
          </w:tcPr>
          <w:p w14:paraId="44888A3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Method reliability</w:t>
            </w:r>
          </w:p>
        </w:tc>
        <w:tc>
          <w:tcPr>
            <w:tcW w:w="7179" w:type="dxa"/>
            <w:tcMar>
              <w:top w:w="100" w:type="dxa"/>
              <w:left w:w="100" w:type="dxa"/>
              <w:bottom w:w="100" w:type="dxa"/>
              <w:right w:w="100" w:type="dxa"/>
            </w:tcMar>
          </w:tcPr>
          <w:p w14:paraId="452B0AF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assessment of the methodological approach used for cost estimation as of </w:t>
            </w:r>
            <w:r>
              <w:rPr>
                <w:rFonts w:ascii="Times New Roman" w:eastAsia="Times New Roman" w:hAnsi="Times New Roman" w:cs="Times New Roman"/>
                <w:i/>
              </w:rPr>
              <w:t>(i)</w:t>
            </w:r>
            <w:r>
              <w:rPr>
                <w:rFonts w:ascii="Times New Roman" w:eastAsia="Times New Roman" w:hAnsi="Times New Roman" w:cs="Times New Roman"/>
              </w:rPr>
              <w:t xml:space="preserve"> </w:t>
            </w:r>
            <w:r>
              <w:rPr>
                <w:rFonts w:ascii="Times New Roman" w:eastAsia="Times New Roman" w:hAnsi="Times New Roman" w:cs="Times New Roman"/>
                <w:i/>
              </w:rPr>
              <w:t>high</w:t>
            </w:r>
            <w:r>
              <w:rPr>
                <w:rFonts w:ascii="Times New Roman" w:eastAsia="Times New Roman" w:hAnsi="Times New Roman" w:cs="Times New Roman"/>
              </w:rPr>
              <w:t xml:space="preserve"> reliability if either provided by officially pre-assessed materials (peer-reviewed articles and official reports) or the estimation method was documented, repeatable and/or traceable if provided by other grey materials, or </w:t>
            </w:r>
            <w:r>
              <w:rPr>
                <w:rFonts w:ascii="Times New Roman" w:eastAsia="Times New Roman" w:hAnsi="Times New Roman" w:cs="Times New Roman"/>
                <w:i/>
              </w:rPr>
              <w:t>(ii) low</w:t>
            </w:r>
            <w:r>
              <w:rPr>
                <w:rFonts w:ascii="Times New Roman" w:eastAsia="Times New Roman" w:hAnsi="Times New Roman" w:cs="Times New Roman"/>
              </w:rPr>
              <w:t xml:space="preserve"> reliability if not (see Figure 2 for more details)</w:t>
            </w:r>
          </w:p>
        </w:tc>
      </w:tr>
      <w:tr w:rsidR="0072400A" w14:paraId="21743386" w14:textId="77777777" w:rsidTr="00232DC4">
        <w:trPr>
          <w:trHeight w:val="1635"/>
        </w:trPr>
        <w:tc>
          <w:tcPr>
            <w:tcW w:w="1891" w:type="dxa"/>
            <w:shd w:val="clear" w:color="auto" w:fill="C0C0C0"/>
            <w:tcMar>
              <w:top w:w="100" w:type="dxa"/>
              <w:left w:w="100" w:type="dxa"/>
              <w:bottom w:w="100" w:type="dxa"/>
              <w:right w:w="100" w:type="dxa"/>
            </w:tcMar>
          </w:tcPr>
          <w:p w14:paraId="123A771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Min Raw cost estimate local currency</w:t>
            </w:r>
          </w:p>
        </w:tc>
        <w:tc>
          <w:tcPr>
            <w:tcW w:w="7179" w:type="dxa"/>
            <w:shd w:val="clear" w:color="auto" w:fill="C0C0C0"/>
            <w:tcMar>
              <w:top w:w="100" w:type="dxa"/>
              <w:left w:w="100" w:type="dxa"/>
              <w:bottom w:w="100" w:type="dxa"/>
              <w:right w:w="100" w:type="dxa"/>
            </w:tcMar>
          </w:tcPr>
          <w:p w14:paraId="67F79DF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lower boundary of the ‘Raw cost estimate local currency’ (if a range of estimates was provided by the authors)</w:t>
            </w:r>
          </w:p>
        </w:tc>
      </w:tr>
      <w:tr w:rsidR="0072400A" w14:paraId="270E8CB2" w14:textId="77777777" w:rsidTr="00232DC4">
        <w:trPr>
          <w:trHeight w:val="1635"/>
        </w:trPr>
        <w:tc>
          <w:tcPr>
            <w:tcW w:w="1891" w:type="dxa"/>
            <w:tcMar>
              <w:top w:w="100" w:type="dxa"/>
              <w:left w:w="100" w:type="dxa"/>
              <w:bottom w:w="100" w:type="dxa"/>
              <w:right w:w="100" w:type="dxa"/>
            </w:tcMar>
          </w:tcPr>
          <w:p w14:paraId="01E95BE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Occurrence</w:t>
            </w:r>
          </w:p>
        </w:tc>
        <w:tc>
          <w:tcPr>
            <w:tcW w:w="7179" w:type="dxa"/>
            <w:tcMar>
              <w:top w:w="100" w:type="dxa"/>
              <w:left w:w="100" w:type="dxa"/>
              <w:bottom w:w="100" w:type="dxa"/>
              <w:right w:w="100" w:type="dxa"/>
            </w:tcMar>
          </w:tcPr>
          <w:p w14:paraId="70772D37"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status of the cost estimate as </w:t>
            </w:r>
            <w:r>
              <w:rPr>
                <w:rFonts w:ascii="Times New Roman" w:eastAsia="Times New Roman" w:hAnsi="Times New Roman" w:cs="Times New Roman"/>
                <w:i/>
              </w:rPr>
              <w:t>potentially ongoing</w:t>
            </w:r>
            <w:r>
              <w:rPr>
                <w:rFonts w:ascii="Times New Roman" w:eastAsia="Times New Roman" w:hAnsi="Times New Roman" w:cs="Times New Roman"/>
              </w:rPr>
              <w:t xml:space="preserve"> (if the cost can be expected to continue over time) or </w:t>
            </w:r>
            <w:r>
              <w:rPr>
                <w:rFonts w:ascii="Times New Roman" w:eastAsia="Times New Roman" w:hAnsi="Times New Roman" w:cs="Times New Roman"/>
                <w:i/>
              </w:rPr>
              <w:t>one-time</w:t>
            </w:r>
            <w:r>
              <w:rPr>
                <w:rFonts w:ascii="Times New Roman" w:eastAsia="Times New Roman" w:hAnsi="Times New Roman" w:cs="Times New Roman"/>
              </w:rPr>
              <w:t xml:space="preserve"> (if the cost was explicitly considered as over by the authors)</w:t>
            </w:r>
          </w:p>
        </w:tc>
      </w:tr>
      <w:tr w:rsidR="0072400A" w14:paraId="40050791" w14:textId="77777777" w:rsidTr="00232DC4">
        <w:trPr>
          <w:trHeight w:val="2115"/>
        </w:trPr>
        <w:tc>
          <w:tcPr>
            <w:tcW w:w="1891" w:type="dxa"/>
            <w:shd w:val="clear" w:color="auto" w:fill="C0C0C0"/>
            <w:tcMar>
              <w:top w:w="100" w:type="dxa"/>
              <w:left w:w="100" w:type="dxa"/>
              <w:bottom w:w="100" w:type="dxa"/>
              <w:right w:w="100" w:type="dxa"/>
            </w:tcMar>
          </w:tcPr>
          <w:p w14:paraId="743860DA"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Official country</w:t>
            </w:r>
          </w:p>
        </w:tc>
        <w:tc>
          <w:tcPr>
            <w:tcW w:w="7179" w:type="dxa"/>
            <w:shd w:val="clear" w:color="auto" w:fill="C0C0C0"/>
            <w:tcMar>
              <w:top w:w="100" w:type="dxa"/>
              <w:left w:w="100" w:type="dxa"/>
              <w:bottom w:w="100" w:type="dxa"/>
              <w:right w:w="100" w:type="dxa"/>
            </w:tcMar>
          </w:tcPr>
          <w:p w14:paraId="31E88362"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country or official territory where the cost is incurred; sometimes, this is not congruent with the geographic regions as some territories (e.g. Overseas areas) are situated on other continents than their country of attachment</w:t>
            </w:r>
          </w:p>
        </w:tc>
      </w:tr>
      <w:tr w:rsidR="0072400A" w14:paraId="59CA227D" w14:textId="77777777" w:rsidTr="00232DC4">
        <w:trPr>
          <w:trHeight w:val="1155"/>
        </w:trPr>
        <w:tc>
          <w:tcPr>
            <w:tcW w:w="1891" w:type="dxa"/>
            <w:tcMar>
              <w:top w:w="100" w:type="dxa"/>
              <w:left w:w="100" w:type="dxa"/>
              <w:bottom w:w="100" w:type="dxa"/>
              <w:right w:w="100" w:type="dxa"/>
            </w:tcMar>
          </w:tcPr>
          <w:p w14:paraId="1C000BA9"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Period of estimation</w:t>
            </w:r>
          </w:p>
        </w:tc>
        <w:tc>
          <w:tcPr>
            <w:tcW w:w="7179" w:type="dxa"/>
            <w:tcMar>
              <w:top w:w="100" w:type="dxa"/>
              <w:left w:w="100" w:type="dxa"/>
              <w:bottom w:w="100" w:type="dxa"/>
              <w:right w:w="100" w:type="dxa"/>
            </w:tcMar>
          </w:tcPr>
          <w:p w14:paraId="48CC1EE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If provided, the exact period of time covered by the costs estimated, otherwise the raw formulation (e.g. late 90’s, during 5 years)</w:t>
            </w:r>
          </w:p>
        </w:tc>
      </w:tr>
      <w:tr w:rsidR="0072400A" w14:paraId="5E7AD000" w14:textId="77777777" w:rsidTr="00232DC4">
        <w:trPr>
          <w:trHeight w:val="1155"/>
        </w:trPr>
        <w:tc>
          <w:tcPr>
            <w:tcW w:w="1891" w:type="dxa"/>
            <w:shd w:val="clear" w:color="auto" w:fill="C0C0C0"/>
            <w:tcMar>
              <w:top w:w="100" w:type="dxa"/>
              <w:left w:w="100" w:type="dxa"/>
              <w:bottom w:w="100" w:type="dxa"/>
              <w:right w:w="100" w:type="dxa"/>
            </w:tcMar>
          </w:tcPr>
          <w:p w14:paraId="3A99F372"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Previous materials</w:t>
            </w:r>
          </w:p>
        </w:tc>
        <w:tc>
          <w:tcPr>
            <w:tcW w:w="7179" w:type="dxa"/>
            <w:shd w:val="clear" w:color="auto" w:fill="C0C0C0"/>
            <w:tcMar>
              <w:top w:w="100" w:type="dxa"/>
              <w:left w:w="100" w:type="dxa"/>
              <w:bottom w:w="100" w:type="dxa"/>
              <w:right w:w="100" w:type="dxa"/>
            </w:tcMar>
          </w:tcPr>
          <w:p w14:paraId="3F1D34AE"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If any, the list of successive materials checked before reaching the material originally providing the cost estimate</w:t>
            </w:r>
          </w:p>
        </w:tc>
      </w:tr>
      <w:tr w:rsidR="0072400A" w14:paraId="5D701604" w14:textId="77777777" w:rsidTr="00232DC4">
        <w:trPr>
          <w:trHeight w:val="2985"/>
        </w:trPr>
        <w:tc>
          <w:tcPr>
            <w:tcW w:w="1891" w:type="dxa"/>
            <w:tcMar>
              <w:top w:w="100" w:type="dxa"/>
              <w:left w:w="100" w:type="dxa"/>
              <w:bottom w:w="100" w:type="dxa"/>
              <w:right w:w="100" w:type="dxa"/>
            </w:tcMar>
          </w:tcPr>
          <w:p w14:paraId="288A733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Probable starting year</w:t>
            </w:r>
          </w:p>
        </w:tc>
        <w:tc>
          <w:tcPr>
            <w:tcW w:w="7179" w:type="dxa"/>
            <w:vMerge w:val="restart"/>
            <w:tcMar>
              <w:top w:w="100" w:type="dxa"/>
              <w:left w:w="100" w:type="dxa"/>
              <w:bottom w:w="100" w:type="dxa"/>
              <w:right w:w="100" w:type="dxa"/>
            </w:tcMar>
          </w:tcPr>
          <w:p w14:paraId="62727E9C"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(e.g. early 90’s), we still translated them in probable ending/starting year (e.g. 1990-1995). We will harmonise the way these specific cases are dealt with when reviewing and validating new lines proposed by new contributors.</w:t>
            </w:r>
          </w:p>
        </w:tc>
      </w:tr>
      <w:tr w:rsidR="0072400A" w14:paraId="6C4A805A" w14:textId="77777777" w:rsidTr="00232DC4">
        <w:trPr>
          <w:trHeight w:val="2985"/>
        </w:trPr>
        <w:tc>
          <w:tcPr>
            <w:tcW w:w="1891" w:type="dxa"/>
            <w:shd w:val="clear" w:color="auto" w:fill="C0C0C0"/>
            <w:tcMar>
              <w:top w:w="100" w:type="dxa"/>
              <w:left w:w="100" w:type="dxa"/>
              <w:bottom w:w="100" w:type="dxa"/>
              <w:right w:w="100" w:type="dxa"/>
            </w:tcMar>
          </w:tcPr>
          <w:p w14:paraId="30096E2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Probable ending year</w:t>
            </w:r>
          </w:p>
        </w:tc>
        <w:tc>
          <w:tcPr>
            <w:tcW w:w="7179" w:type="dxa"/>
            <w:vMerge/>
            <w:shd w:val="clear" w:color="auto" w:fill="auto"/>
            <w:tcMar>
              <w:top w:w="100" w:type="dxa"/>
              <w:left w:w="100" w:type="dxa"/>
              <w:bottom w:w="100" w:type="dxa"/>
              <w:right w:w="100" w:type="dxa"/>
            </w:tcMar>
          </w:tcPr>
          <w:p w14:paraId="74D36159" w14:textId="77777777" w:rsidR="0072400A" w:rsidRDefault="0072400A" w:rsidP="00232DC4">
            <w:pPr>
              <w:spacing w:line="480" w:lineRule="auto"/>
              <w:jc w:val="both"/>
              <w:rPr>
                <w:rFonts w:ascii="Times New Roman" w:eastAsia="Times New Roman" w:hAnsi="Times New Roman" w:cs="Times New Roman"/>
              </w:rPr>
            </w:pPr>
          </w:p>
        </w:tc>
      </w:tr>
      <w:tr w:rsidR="0072400A" w14:paraId="5EC93B21" w14:textId="77777777" w:rsidTr="00232DC4">
        <w:trPr>
          <w:trHeight w:val="675"/>
        </w:trPr>
        <w:tc>
          <w:tcPr>
            <w:tcW w:w="1891" w:type="dxa"/>
            <w:shd w:val="clear" w:color="auto" w:fill="auto"/>
            <w:tcMar>
              <w:top w:w="100" w:type="dxa"/>
              <w:left w:w="100" w:type="dxa"/>
              <w:bottom w:w="100" w:type="dxa"/>
              <w:right w:w="100" w:type="dxa"/>
            </w:tcMar>
          </w:tcPr>
          <w:p w14:paraId="012AE1A1"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Publication year</w:t>
            </w:r>
          </w:p>
        </w:tc>
        <w:tc>
          <w:tcPr>
            <w:tcW w:w="7179" w:type="dxa"/>
            <w:shd w:val="clear" w:color="auto" w:fill="auto"/>
            <w:tcMar>
              <w:top w:w="100" w:type="dxa"/>
              <w:left w:w="100" w:type="dxa"/>
              <w:bottom w:w="100" w:type="dxa"/>
              <w:right w:w="100" w:type="dxa"/>
            </w:tcMar>
          </w:tcPr>
          <w:p w14:paraId="651E846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publication year of the material analysed</w:t>
            </w:r>
          </w:p>
        </w:tc>
      </w:tr>
      <w:tr w:rsidR="0072400A" w14:paraId="4B83FCA1" w14:textId="77777777" w:rsidTr="00232DC4">
        <w:trPr>
          <w:trHeight w:val="1635"/>
        </w:trPr>
        <w:tc>
          <w:tcPr>
            <w:tcW w:w="1891" w:type="dxa"/>
            <w:shd w:val="clear" w:color="auto" w:fill="C0C0C0"/>
            <w:tcMar>
              <w:top w:w="100" w:type="dxa"/>
              <w:left w:w="100" w:type="dxa"/>
              <w:bottom w:w="100" w:type="dxa"/>
              <w:right w:w="100" w:type="dxa"/>
            </w:tcMar>
          </w:tcPr>
          <w:p w14:paraId="68EE47A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Raw cost estimate local currency</w:t>
            </w:r>
          </w:p>
        </w:tc>
        <w:tc>
          <w:tcPr>
            <w:tcW w:w="7179" w:type="dxa"/>
            <w:shd w:val="clear" w:color="auto" w:fill="C0C0C0"/>
            <w:tcMar>
              <w:top w:w="100" w:type="dxa"/>
              <w:left w:w="100" w:type="dxa"/>
              <w:bottom w:w="100" w:type="dxa"/>
              <w:right w:w="100" w:type="dxa"/>
            </w:tcMar>
          </w:tcPr>
          <w:p w14:paraId="183F329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cost estimate directly retrieved from the analysed materials</w:t>
            </w:r>
          </w:p>
        </w:tc>
      </w:tr>
      <w:tr w:rsidR="0072400A" w14:paraId="2182CC46" w14:textId="77777777" w:rsidTr="00232DC4">
        <w:trPr>
          <w:trHeight w:val="2115"/>
        </w:trPr>
        <w:tc>
          <w:tcPr>
            <w:tcW w:w="1891" w:type="dxa"/>
            <w:shd w:val="clear" w:color="auto" w:fill="auto"/>
            <w:tcMar>
              <w:top w:w="100" w:type="dxa"/>
              <w:left w:w="100" w:type="dxa"/>
              <w:bottom w:w="100" w:type="dxa"/>
              <w:right w:w="100" w:type="dxa"/>
            </w:tcMar>
          </w:tcPr>
          <w:p w14:paraId="217F946A"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Raw cost estimate 2017 USD exchange rate</w:t>
            </w:r>
          </w:p>
        </w:tc>
        <w:tc>
          <w:tcPr>
            <w:tcW w:w="7179" w:type="dxa"/>
            <w:shd w:val="clear" w:color="auto" w:fill="auto"/>
            <w:tcMar>
              <w:top w:w="100" w:type="dxa"/>
              <w:left w:w="100" w:type="dxa"/>
              <w:bottom w:w="100" w:type="dxa"/>
              <w:right w:w="100" w:type="dxa"/>
            </w:tcMar>
          </w:tcPr>
          <w:p w14:paraId="366D7DE0"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‘Raw cost estimate local currency’ standardised from local ‘Currency’ and ‘Applicable year’ to 2017 US$ based on ER** See the formula in the Standardisation of cost data section</w:t>
            </w:r>
          </w:p>
        </w:tc>
      </w:tr>
      <w:tr w:rsidR="0072400A" w14:paraId="5342232E" w14:textId="77777777" w:rsidTr="00232DC4">
        <w:trPr>
          <w:trHeight w:val="1635"/>
        </w:trPr>
        <w:tc>
          <w:tcPr>
            <w:tcW w:w="1891" w:type="dxa"/>
            <w:shd w:val="clear" w:color="auto" w:fill="C0C0C0"/>
            <w:tcMar>
              <w:top w:w="100" w:type="dxa"/>
              <w:left w:w="100" w:type="dxa"/>
              <w:bottom w:w="100" w:type="dxa"/>
              <w:right w:w="100" w:type="dxa"/>
            </w:tcMar>
          </w:tcPr>
          <w:p w14:paraId="31E3615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Raw cost estimate 2017 USD PPP</w:t>
            </w:r>
          </w:p>
        </w:tc>
        <w:tc>
          <w:tcPr>
            <w:tcW w:w="7179" w:type="dxa"/>
            <w:shd w:val="clear" w:color="auto" w:fill="C0C0C0"/>
            <w:tcMar>
              <w:top w:w="100" w:type="dxa"/>
              <w:left w:w="100" w:type="dxa"/>
              <w:bottom w:w="100" w:type="dxa"/>
              <w:right w:w="100" w:type="dxa"/>
            </w:tcMar>
          </w:tcPr>
          <w:p w14:paraId="7B1AEEA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‘Raw cost estimate local currency’ standardised to 2017 US$ based on PPP*** See the formula in the Standardisation of cost data section</w:t>
            </w:r>
          </w:p>
        </w:tc>
      </w:tr>
      <w:tr w:rsidR="0072400A" w14:paraId="388EB507" w14:textId="77777777" w:rsidTr="00232DC4">
        <w:trPr>
          <w:trHeight w:val="1155"/>
        </w:trPr>
        <w:tc>
          <w:tcPr>
            <w:tcW w:w="1891" w:type="dxa"/>
            <w:shd w:val="clear" w:color="auto" w:fill="auto"/>
            <w:tcMar>
              <w:top w:w="100" w:type="dxa"/>
              <w:left w:w="100" w:type="dxa"/>
              <w:bottom w:w="100" w:type="dxa"/>
              <w:right w:w="100" w:type="dxa"/>
            </w:tcMar>
          </w:tcPr>
          <w:p w14:paraId="2B4C83A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Reference ID</w:t>
            </w:r>
          </w:p>
        </w:tc>
        <w:tc>
          <w:tcPr>
            <w:tcW w:w="7179" w:type="dxa"/>
            <w:shd w:val="clear" w:color="auto" w:fill="auto"/>
            <w:tcMar>
              <w:top w:w="100" w:type="dxa"/>
              <w:left w:w="100" w:type="dxa"/>
              <w:bottom w:w="100" w:type="dxa"/>
              <w:right w:w="100" w:type="dxa"/>
            </w:tcMar>
          </w:tcPr>
          <w:p w14:paraId="3162DB95"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numerical identifier of the material analysed, which allows correspondence with Data citation 1 that provides bibliographic details</w:t>
            </w:r>
          </w:p>
        </w:tc>
      </w:tr>
      <w:tr w:rsidR="0072400A" w14:paraId="776776F3" w14:textId="77777777" w:rsidTr="00232DC4">
        <w:trPr>
          <w:trHeight w:val="675"/>
        </w:trPr>
        <w:tc>
          <w:tcPr>
            <w:tcW w:w="1891" w:type="dxa"/>
            <w:shd w:val="clear" w:color="auto" w:fill="C0C0C0"/>
            <w:tcMar>
              <w:top w:w="100" w:type="dxa"/>
              <w:left w:w="100" w:type="dxa"/>
              <w:bottom w:w="100" w:type="dxa"/>
              <w:right w:w="100" w:type="dxa"/>
            </w:tcMar>
          </w:tcPr>
          <w:p w14:paraId="55C39579"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Reference title</w:t>
            </w:r>
          </w:p>
        </w:tc>
        <w:tc>
          <w:tcPr>
            <w:tcW w:w="7179" w:type="dxa"/>
            <w:shd w:val="clear" w:color="auto" w:fill="C0C0C0"/>
            <w:tcMar>
              <w:top w:w="100" w:type="dxa"/>
              <w:left w:w="100" w:type="dxa"/>
              <w:bottom w:w="100" w:type="dxa"/>
              <w:right w:w="100" w:type="dxa"/>
            </w:tcMar>
          </w:tcPr>
          <w:p w14:paraId="4B4A2B2F"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title of the material analysed</w:t>
            </w:r>
          </w:p>
        </w:tc>
      </w:tr>
      <w:tr w:rsidR="0072400A" w14:paraId="01904BF7" w14:textId="77777777" w:rsidTr="00232DC4">
        <w:trPr>
          <w:trHeight w:val="1155"/>
        </w:trPr>
        <w:tc>
          <w:tcPr>
            <w:tcW w:w="1891" w:type="dxa"/>
            <w:shd w:val="clear" w:color="auto" w:fill="auto"/>
            <w:tcMar>
              <w:top w:w="100" w:type="dxa"/>
              <w:left w:w="100" w:type="dxa"/>
              <w:bottom w:w="100" w:type="dxa"/>
              <w:right w:w="100" w:type="dxa"/>
            </w:tcMar>
          </w:tcPr>
          <w:p w14:paraId="574B300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Repository</w:t>
            </w:r>
          </w:p>
        </w:tc>
        <w:tc>
          <w:tcPr>
            <w:tcW w:w="7179" w:type="dxa"/>
            <w:shd w:val="clear" w:color="auto" w:fill="auto"/>
            <w:tcMar>
              <w:top w:w="100" w:type="dxa"/>
              <w:left w:w="100" w:type="dxa"/>
              <w:bottom w:w="100" w:type="dxa"/>
              <w:right w:w="100" w:type="dxa"/>
            </w:tcMar>
          </w:tcPr>
          <w:p w14:paraId="7A7F529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original source of each material: 'Web of Science (</w:t>
            </w:r>
            <w:r>
              <w:rPr>
                <w:rFonts w:ascii="Times New Roman" w:eastAsia="Times New Roman" w:hAnsi="Times New Roman" w:cs="Times New Roman"/>
                <w:i/>
              </w:rPr>
              <w:t>WoS</w:t>
            </w:r>
            <w:r>
              <w:rPr>
                <w:rFonts w:ascii="Times New Roman" w:eastAsia="Times New Roman" w:hAnsi="Times New Roman" w:cs="Times New Roman"/>
              </w:rPr>
              <w:t>)', 'Google Scholar (</w:t>
            </w:r>
            <w:r>
              <w:rPr>
                <w:rFonts w:ascii="Times New Roman" w:eastAsia="Times New Roman" w:hAnsi="Times New Roman" w:cs="Times New Roman"/>
                <w:i/>
              </w:rPr>
              <w:t>GS</w:t>
            </w:r>
            <w:r>
              <w:rPr>
                <w:rFonts w:ascii="Times New Roman" w:eastAsia="Times New Roman" w:hAnsi="Times New Roman" w:cs="Times New Roman"/>
              </w:rPr>
              <w:t>)', 'Google search engine (</w:t>
            </w:r>
            <w:r>
              <w:rPr>
                <w:rFonts w:ascii="Times New Roman" w:eastAsia="Times New Roman" w:hAnsi="Times New Roman" w:cs="Times New Roman"/>
                <w:i/>
              </w:rPr>
              <w:t>Go</w:t>
            </w:r>
            <w:r>
              <w:rPr>
                <w:rFonts w:ascii="Times New Roman" w:eastAsia="Times New Roman" w:hAnsi="Times New Roman" w:cs="Times New Roman"/>
              </w:rPr>
              <w:t>)' or ‘Targeted collection (</w:t>
            </w:r>
            <w:r>
              <w:rPr>
                <w:rFonts w:ascii="Times New Roman" w:eastAsia="Times New Roman" w:hAnsi="Times New Roman" w:cs="Times New Roman"/>
                <w:i/>
              </w:rPr>
              <w:t>TC</w:t>
            </w:r>
            <w:r>
              <w:rPr>
                <w:rFonts w:ascii="Times New Roman" w:eastAsia="Times New Roman" w:hAnsi="Times New Roman" w:cs="Times New Roman"/>
              </w:rPr>
              <w:t>)'</w:t>
            </w:r>
          </w:p>
        </w:tc>
      </w:tr>
      <w:tr w:rsidR="0072400A" w14:paraId="4A4A123F" w14:textId="77777777" w:rsidTr="00232DC4">
        <w:trPr>
          <w:trHeight w:val="3075"/>
        </w:trPr>
        <w:tc>
          <w:tcPr>
            <w:tcW w:w="1891" w:type="dxa"/>
            <w:shd w:val="clear" w:color="auto" w:fill="C0C0C0"/>
            <w:tcMar>
              <w:top w:w="100" w:type="dxa"/>
              <w:left w:w="100" w:type="dxa"/>
              <w:bottom w:w="100" w:type="dxa"/>
              <w:right w:w="100" w:type="dxa"/>
            </w:tcMar>
          </w:tcPr>
          <w:p w14:paraId="17BF05CB"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Spatial scale</w:t>
            </w:r>
          </w:p>
        </w:tc>
        <w:tc>
          <w:tcPr>
            <w:tcW w:w="7179" w:type="dxa"/>
            <w:shd w:val="clear" w:color="auto" w:fill="C0C0C0"/>
            <w:tcMar>
              <w:top w:w="100" w:type="dxa"/>
              <w:left w:w="100" w:type="dxa"/>
              <w:bottom w:w="100" w:type="dxa"/>
              <w:right w:w="100" w:type="dxa"/>
            </w:tcMar>
          </w:tcPr>
          <w:p w14:paraId="164E060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spatial scale considered for estimating the cost: global (worldwide-scale), intercontinental (sites from two or more geographic regions) continental ('geographic region' level), regional (several countries within a single geographic region), country, site (for cost evaluated at intra-country level, including USA states) and unit (for costs evaluated for a well-defined surface area or entity)</w:t>
            </w:r>
          </w:p>
        </w:tc>
      </w:tr>
      <w:tr w:rsidR="0072400A" w14:paraId="7051D3CC" w14:textId="77777777" w:rsidTr="00232DC4">
        <w:trPr>
          <w:trHeight w:val="1635"/>
        </w:trPr>
        <w:tc>
          <w:tcPr>
            <w:tcW w:w="1891" w:type="dxa"/>
            <w:shd w:val="clear" w:color="auto" w:fill="auto"/>
            <w:tcMar>
              <w:top w:w="100" w:type="dxa"/>
              <w:left w:w="100" w:type="dxa"/>
              <w:bottom w:w="100" w:type="dxa"/>
              <w:right w:w="100" w:type="dxa"/>
            </w:tcMar>
          </w:tcPr>
          <w:p w14:paraId="16AAD8F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Taxonomy</w:t>
            </w:r>
          </w:p>
        </w:tc>
        <w:tc>
          <w:tcPr>
            <w:tcW w:w="7179" w:type="dxa"/>
            <w:shd w:val="clear" w:color="auto" w:fill="auto"/>
            <w:tcMar>
              <w:top w:w="100" w:type="dxa"/>
              <w:left w:w="100" w:type="dxa"/>
              <w:bottom w:w="100" w:type="dxa"/>
              <w:right w:w="100" w:type="dxa"/>
            </w:tcMar>
          </w:tcPr>
          <w:p w14:paraId="33521DE6"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For each species recorded, the taxonomic information from kingdom to species level using the Global Biodiversity Information Facility (GBIF) as a reference</w:t>
            </w:r>
          </w:p>
        </w:tc>
      </w:tr>
      <w:tr w:rsidR="0072400A" w14:paraId="156E9579" w14:textId="77777777" w:rsidTr="00232DC4">
        <w:trPr>
          <w:trHeight w:val="2115"/>
        </w:trPr>
        <w:tc>
          <w:tcPr>
            <w:tcW w:w="1891" w:type="dxa"/>
            <w:shd w:val="clear" w:color="auto" w:fill="C0C0C0"/>
            <w:tcMar>
              <w:top w:w="100" w:type="dxa"/>
              <w:left w:w="100" w:type="dxa"/>
              <w:bottom w:w="100" w:type="dxa"/>
              <w:right w:w="100" w:type="dxa"/>
            </w:tcMar>
          </w:tcPr>
          <w:p w14:paraId="0E3731BF"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Time range</w:t>
            </w:r>
          </w:p>
        </w:tc>
        <w:tc>
          <w:tcPr>
            <w:tcW w:w="7179" w:type="dxa"/>
            <w:shd w:val="clear" w:color="auto" w:fill="C0C0C0"/>
            <w:tcMar>
              <w:top w:w="100" w:type="dxa"/>
              <w:left w:w="100" w:type="dxa"/>
              <w:bottom w:w="100" w:type="dxa"/>
              <w:right w:w="100" w:type="dxa"/>
            </w:tcMar>
          </w:tcPr>
          <w:p w14:paraId="767C30F1"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time range considered by the authors for providing the cost estimate: </w:t>
            </w:r>
            <w:r>
              <w:rPr>
                <w:rFonts w:ascii="Times New Roman" w:eastAsia="Times New Roman" w:hAnsi="Times New Roman" w:cs="Times New Roman"/>
                <w:i/>
              </w:rPr>
              <w:t>year</w:t>
            </w:r>
            <w:r>
              <w:rPr>
                <w:rFonts w:ascii="Times New Roman" w:eastAsia="Times New Roman" w:hAnsi="Times New Roman" w:cs="Times New Roman"/>
              </w:rPr>
              <w:t xml:space="preserve"> (when costs were if the estimate is given yearly or for a period up to one year) or </w:t>
            </w:r>
            <w:r>
              <w:rPr>
                <w:rFonts w:ascii="Times New Roman" w:eastAsia="Times New Roman" w:hAnsi="Times New Roman" w:cs="Times New Roman"/>
                <w:i/>
              </w:rPr>
              <w:t>period</w:t>
            </w:r>
            <w:r>
              <w:rPr>
                <w:rFonts w:ascii="Times New Roman" w:eastAsia="Times New Roman" w:hAnsi="Times New Roman" w:cs="Times New Roman"/>
              </w:rPr>
              <w:t xml:space="preserve"> (when costs were provided for a period exceeding a year)</w:t>
            </w:r>
          </w:p>
        </w:tc>
      </w:tr>
      <w:tr w:rsidR="0072400A" w14:paraId="3268E109" w14:textId="77777777" w:rsidTr="00232DC4">
        <w:trPr>
          <w:trHeight w:val="2595"/>
        </w:trPr>
        <w:tc>
          <w:tcPr>
            <w:tcW w:w="1891" w:type="dxa"/>
            <w:shd w:val="clear" w:color="auto" w:fill="auto"/>
            <w:tcMar>
              <w:top w:w="100" w:type="dxa"/>
              <w:left w:w="100" w:type="dxa"/>
              <w:bottom w:w="100" w:type="dxa"/>
              <w:right w:w="100" w:type="dxa"/>
            </w:tcMar>
          </w:tcPr>
          <w:p w14:paraId="4E69099D"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Type of cost</w:t>
            </w:r>
          </w:p>
        </w:tc>
        <w:tc>
          <w:tcPr>
            <w:tcW w:w="7179" w:type="dxa"/>
            <w:shd w:val="clear" w:color="auto" w:fill="auto"/>
            <w:tcMar>
              <w:top w:w="100" w:type="dxa"/>
              <w:left w:w="100" w:type="dxa"/>
              <w:bottom w:w="100" w:type="dxa"/>
              <w:right w:w="100" w:type="dxa"/>
            </w:tcMar>
          </w:tcPr>
          <w:p w14:paraId="2EA2B0E4"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type of the cost includes: damages and losses incurred by an invasion (</w:t>
            </w:r>
            <w:r>
              <w:rPr>
                <w:rFonts w:ascii="Times New Roman" w:eastAsia="Times New Roman" w:hAnsi="Times New Roman" w:cs="Times New Roman"/>
                <w:i/>
              </w:rPr>
              <w:t>e.g.</w:t>
            </w:r>
            <w:r>
              <w:rPr>
                <w:rFonts w:ascii="Times New Roman" w:eastAsia="Times New Roman" w:hAnsi="Times New Roman" w:cs="Times New Roman"/>
              </w:rPr>
              <w:t xml:space="preserve"> damage repair, medical care, value of crop losses), or means dedicated to understand or predict (</w:t>
            </w:r>
            <w:r>
              <w:rPr>
                <w:rFonts w:ascii="Times New Roman" w:eastAsia="Times New Roman" w:hAnsi="Times New Roman" w:cs="Times New Roman"/>
                <w:i/>
              </w:rPr>
              <w:t>e.g.</w:t>
            </w:r>
            <w:r>
              <w:rPr>
                <w:rFonts w:ascii="Times New Roman" w:eastAsia="Times New Roman" w:hAnsi="Times New Roman" w:cs="Times New Roman"/>
              </w:rPr>
              <w:t xml:space="preserve"> research), prevent (</w:t>
            </w:r>
            <w:r>
              <w:rPr>
                <w:rFonts w:ascii="Times New Roman" w:eastAsia="Times New Roman" w:hAnsi="Times New Roman" w:cs="Times New Roman"/>
                <w:i/>
              </w:rPr>
              <w:t>e.g.</w:t>
            </w:r>
            <w:r>
              <w:rPr>
                <w:rFonts w:ascii="Times New Roman" w:eastAsia="Times New Roman" w:hAnsi="Times New Roman" w:cs="Times New Roman"/>
              </w:rPr>
              <w:t xml:space="preserve"> education, biosecurity), early detect (</w:t>
            </w:r>
            <w:r>
              <w:rPr>
                <w:rFonts w:ascii="Times New Roman" w:eastAsia="Times New Roman" w:hAnsi="Times New Roman" w:cs="Times New Roman"/>
                <w:i/>
              </w:rPr>
              <w:t>e.g.</w:t>
            </w:r>
            <w:r>
              <w:rPr>
                <w:rFonts w:ascii="Times New Roman" w:eastAsia="Times New Roman" w:hAnsi="Times New Roman" w:cs="Times New Roman"/>
              </w:rPr>
              <w:t xml:space="preserve"> monitoring, surveillance) and/or manage (</w:t>
            </w:r>
            <w:r>
              <w:rPr>
                <w:rFonts w:ascii="Times New Roman" w:eastAsia="Times New Roman" w:hAnsi="Times New Roman" w:cs="Times New Roman"/>
                <w:i/>
              </w:rPr>
              <w:t>e.g.</w:t>
            </w:r>
            <w:r>
              <w:rPr>
                <w:rFonts w:ascii="Times New Roman" w:eastAsia="Times New Roman" w:hAnsi="Times New Roman" w:cs="Times New Roman"/>
              </w:rPr>
              <w:t xml:space="preserve"> control, eradication) the invaders</w:t>
            </w:r>
          </w:p>
        </w:tc>
      </w:tr>
      <w:tr w:rsidR="0072400A" w14:paraId="1E3685E4" w14:textId="77777777" w:rsidTr="00232DC4">
        <w:trPr>
          <w:trHeight w:val="1155"/>
        </w:trPr>
        <w:tc>
          <w:tcPr>
            <w:tcW w:w="1891" w:type="dxa"/>
            <w:shd w:val="clear" w:color="auto" w:fill="C0C0C0"/>
            <w:tcMar>
              <w:top w:w="100" w:type="dxa"/>
              <w:left w:w="100" w:type="dxa"/>
              <w:bottom w:w="100" w:type="dxa"/>
              <w:right w:w="100" w:type="dxa"/>
            </w:tcMar>
          </w:tcPr>
          <w:p w14:paraId="7C8DF7AC"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Type of applicable year</w:t>
            </w:r>
          </w:p>
        </w:tc>
        <w:tc>
          <w:tcPr>
            <w:tcW w:w="7179" w:type="dxa"/>
            <w:shd w:val="clear" w:color="auto" w:fill="C0C0C0"/>
            <w:tcMar>
              <w:top w:w="100" w:type="dxa"/>
              <w:left w:w="100" w:type="dxa"/>
              <w:bottom w:w="100" w:type="dxa"/>
              <w:right w:w="100" w:type="dxa"/>
            </w:tcMar>
          </w:tcPr>
          <w:p w14:paraId="6D6386C8"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assessment of the applicable year as </w:t>
            </w:r>
            <w:r>
              <w:rPr>
                <w:rFonts w:ascii="Times New Roman" w:eastAsia="Times New Roman" w:hAnsi="Times New Roman" w:cs="Times New Roman"/>
                <w:i/>
              </w:rPr>
              <w:t>effective</w:t>
            </w:r>
            <w:r>
              <w:rPr>
                <w:rFonts w:ascii="Times New Roman" w:eastAsia="Times New Roman" w:hAnsi="Times New Roman" w:cs="Times New Roman"/>
              </w:rPr>
              <w:t xml:space="preserve"> if explicitly stated by the authors or </w:t>
            </w:r>
            <w:r>
              <w:rPr>
                <w:rFonts w:ascii="Times New Roman" w:eastAsia="Times New Roman" w:hAnsi="Times New Roman" w:cs="Times New Roman"/>
                <w:i/>
              </w:rPr>
              <w:t xml:space="preserve">publication year </w:t>
            </w:r>
            <w:r>
              <w:rPr>
                <w:rFonts w:ascii="Times New Roman" w:eastAsia="Times New Roman" w:hAnsi="Times New Roman" w:cs="Times New Roman"/>
              </w:rPr>
              <w:t>if no explicit information provided</w:t>
            </w:r>
          </w:p>
        </w:tc>
      </w:tr>
      <w:tr w:rsidR="0072400A" w14:paraId="3A0AEE92" w14:textId="77777777" w:rsidTr="00232DC4">
        <w:trPr>
          <w:trHeight w:val="1635"/>
        </w:trPr>
        <w:tc>
          <w:tcPr>
            <w:tcW w:w="1891" w:type="dxa"/>
            <w:shd w:val="clear" w:color="auto" w:fill="auto"/>
            <w:tcMar>
              <w:top w:w="100" w:type="dxa"/>
              <w:left w:w="100" w:type="dxa"/>
              <w:bottom w:w="100" w:type="dxa"/>
              <w:right w:w="100" w:type="dxa"/>
            </w:tcMar>
          </w:tcPr>
          <w:p w14:paraId="2CBB5093"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Type of material</w:t>
            </w:r>
          </w:p>
        </w:tc>
        <w:tc>
          <w:tcPr>
            <w:tcW w:w="7179" w:type="dxa"/>
            <w:shd w:val="clear" w:color="auto" w:fill="auto"/>
            <w:tcMar>
              <w:top w:w="100" w:type="dxa"/>
              <w:left w:w="100" w:type="dxa"/>
              <w:bottom w:w="100" w:type="dxa"/>
              <w:right w:w="100" w:type="dxa"/>
            </w:tcMar>
          </w:tcPr>
          <w:p w14:paraId="290EDB97" w14:textId="77777777" w:rsidR="0072400A" w:rsidRDefault="0072400A" w:rsidP="00232DC4">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The type of material analysed (</w:t>
            </w:r>
            <w:r>
              <w:rPr>
                <w:rFonts w:ascii="Times New Roman" w:eastAsia="Times New Roman" w:hAnsi="Times New Roman" w:cs="Times New Roman"/>
                <w:i/>
              </w:rPr>
              <w:t>i.e.</w:t>
            </w:r>
            <w:r>
              <w:rPr>
                <w:rFonts w:ascii="Times New Roman" w:eastAsia="Times New Roman" w:hAnsi="Times New Roman" w:cs="Times New Roman"/>
              </w:rPr>
              <w:t xml:space="preserve"> scientific</w:t>
            </w:r>
            <w:r>
              <w:rPr>
                <w:rFonts w:ascii="Times New Roman" w:eastAsia="Times New Roman" w:hAnsi="Times New Roman" w:cs="Times New Roman"/>
                <w:i/>
              </w:rPr>
              <w:t xml:space="preserve"> peer-reviewed article</w:t>
            </w:r>
            <w:r>
              <w:rPr>
                <w:rFonts w:ascii="Times New Roman" w:eastAsia="Times New Roman" w:hAnsi="Times New Roman" w:cs="Times New Roman"/>
              </w:rPr>
              <w:t xml:space="preserve"> or grey literature); for grey literature, the exact nature of the material was indicated (</w:t>
            </w:r>
            <w:r>
              <w:rPr>
                <w:rFonts w:ascii="Times New Roman" w:eastAsia="Times New Roman" w:hAnsi="Times New Roman" w:cs="Times New Roman"/>
                <w:i/>
              </w:rPr>
              <w:t>e.g.</w:t>
            </w:r>
            <w:r>
              <w:rPr>
                <w:rFonts w:ascii="Times New Roman" w:eastAsia="Times New Roman" w:hAnsi="Times New Roman" w:cs="Times New Roman"/>
              </w:rPr>
              <w:t xml:space="preserve">, </w:t>
            </w:r>
            <w:r>
              <w:rPr>
                <w:rFonts w:ascii="Times New Roman" w:eastAsia="Times New Roman" w:hAnsi="Times New Roman" w:cs="Times New Roman"/>
                <w:i/>
              </w:rPr>
              <w:t>official report</w:t>
            </w:r>
            <w:r>
              <w:rPr>
                <w:rFonts w:ascii="Times New Roman" w:eastAsia="Times New Roman" w:hAnsi="Times New Roman" w:cs="Times New Roman"/>
              </w:rPr>
              <w:t xml:space="preserve">, </w:t>
            </w:r>
            <w:r>
              <w:rPr>
                <w:rFonts w:ascii="Times New Roman" w:eastAsia="Times New Roman" w:hAnsi="Times New Roman" w:cs="Times New Roman"/>
                <w:i/>
              </w:rPr>
              <w:t>press release</w:t>
            </w:r>
            <w:r>
              <w:rPr>
                <w:rFonts w:ascii="Times New Roman" w:eastAsia="Times New Roman" w:hAnsi="Times New Roman" w:cs="Times New Roman"/>
              </w:rPr>
              <w:t>)</w:t>
            </w:r>
          </w:p>
        </w:tc>
      </w:tr>
    </w:tbl>
    <w:p w14:paraId="506F3227" w14:textId="77777777" w:rsidR="0072400A" w:rsidRDefault="0072400A" w:rsidP="0072400A">
      <w:pPr>
        <w:spacing w:before="240" w:after="240" w:line="276" w:lineRule="auto"/>
        <w:jc w:val="both"/>
        <w:rPr>
          <w:rFonts w:ascii="Times New Roman" w:eastAsia="Times New Roman" w:hAnsi="Times New Roman" w:cs="Times New Roman"/>
        </w:rPr>
      </w:pPr>
      <w:r>
        <w:rPr>
          <w:rFonts w:ascii="Times New Roman" w:eastAsia="Times New Roman" w:hAnsi="Times New Roman" w:cs="Times New Roman"/>
        </w:rPr>
        <w:t>* The number of years of the ‘Period of estimation’ is the difference between the ‘Probable ending year’ and the ‘Probable starting year”</w:t>
      </w:r>
    </w:p>
    <w:p w14:paraId="54E3D736" w14:textId="77777777" w:rsidR="0072400A" w:rsidRDefault="0072400A" w:rsidP="0072400A">
      <w:pPr>
        <w:spacing w:before="240" w:after="240" w:line="276" w:lineRule="auto"/>
        <w:jc w:val="both"/>
        <w:rPr>
          <w:rFonts w:ascii="Times New Roman" w:eastAsia="Times New Roman" w:hAnsi="Times New Roman" w:cs="Times New Roman"/>
        </w:rPr>
      </w:pPr>
      <w:r>
        <w:rPr>
          <w:rFonts w:ascii="Times New Roman" w:eastAsia="Times New Roman" w:hAnsi="Times New Roman" w:cs="Times New Roman"/>
        </w:rPr>
        <w:t>** Market exchange rate (local currency unit per US$) provided by the World Bank Open Data (available at</w:t>
      </w:r>
      <w:hyperlink r:id="rId4">
        <w:r>
          <w:rPr>
            <w:rFonts w:ascii="Times New Roman" w:eastAsia="Times New Roman" w:hAnsi="Times New Roman" w:cs="Times New Roman"/>
          </w:rPr>
          <w:t xml:space="preserve"> </w:t>
        </w:r>
      </w:hyperlink>
      <w:hyperlink r:id="rId5">
        <w:r>
          <w:rPr>
            <w:rFonts w:ascii="Times New Roman" w:eastAsia="Times New Roman" w:hAnsi="Times New Roman" w:cs="Times New Roman"/>
            <w:u w:val="single"/>
          </w:rPr>
          <w:t>https://data.worldbank.org/indicator/PA.NUS.FCRF?end=2017&amp;start=1960</w:t>
        </w:r>
      </w:hyperlink>
      <w:r>
        <w:rPr>
          <w:rFonts w:ascii="Times New Roman" w:eastAsia="Times New Roman" w:hAnsi="Times New Roman" w:cs="Times New Roman"/>
        </w:rPr>
        <w:t>).</w:t>
      </w:r>
    </w:p>
    <w:p w14:paraId="43C412AD" w14:textId="77777777" w:rsidR="0072400A" w:rsidRDefault="0072400A" w:rsidP="0072400A">
      <w:pPr>
        <w:spacing w:before="240" w:after="240" w:line="276" w:lineRule="auto"/>
        <w:jc w:val="both"/>
        <w:rPr>
          <w:rFonts w:ascii="Times New Roman" w:eastAsia="Times New Roman" w:hAnsi="Times New Roman" w:cs="Times New Roman"/>
        </w:rPr>
      </w:pPr>
      <w:r>
        <w:rPr>
          <w:rFonts w:ascii="Times New Roman" w:eastAsia="Times New Roman" w:hAnsi="Times New Roman" w:cs="Times New Roman"/>
        </w:rPr>
        <w:t>*** Purchase Power Parity (local currency unit per US$) provided by the World Bank Open Data (available at</w:t>
      </w:r>
      <w:hyperlink r:id="rId6">
        <w:r>
          <w:rPr>
            <w:rFonts w:ascii="Times New Roman" w:eastAsia="Times New Roman" w:hAnsi="Times New Roman" w:cs="Times New Roman"/>
          </w:rPr>
          <w:t xml:space="preserve"> </w:t>
        </w:r>
      </w:hyperlink>
      <w:hyperlink r:id="rId7">
        <w:r>
          <w:rPr>
            <w:rFonts w:ascii="Times New Roman" w:eastAsia="Times New Roman" w:hAnsi="Times New Roman" w:cs="Times New Roman"/>
            <w:u w:val="single"/>
          </w:rPr>
          <w:t>https://data.worldbank.org/indicator/PA.NUS.PPP?end=2017&amp;start=1990</w:t>
        </w:r>
      </w:hyperlink>
      <w:r>
        <w:rPr>
          <w:rFonts w:ascii="Times New Roman" w:eastAsia="Times New Roman" w:hAnsi="Times New Roman" w:cs="Times New Roman"/>
        </w:rPr>
        <w:t>) and the Organisation for Economic Cooperation and Development (available at</w:t>
      </w:r>
      <w:hyperlink r:id="rId8">
        <w:r>
          <w:rPr>
            <w:rFonts w:ascii="Times New Roman" w:eastAsia="Times New Roman" w:hAnsi="Times New Roman" w:cs="Times New Roman"/>
          </w:rPr>
          <w:t xml:space="preserve"> </w:t>
        </w:r>
      </w:hyperlink>
      <w:hyperlink r:id="rId9">
        <w:r>
          <w:rPr>
            <w:rFonts w:ascii="Times New Roman" w:eastAsia="Times New Roman" w:hAnsi="Times New Roman" w:cs="Times New Roman"/>
            <w:u w:val="single"/>
          </w:rPr>
          <w:t>https://data.oecd.org/conversion/purchasing-power-parities-ppp.htm</w:t>
        </w:r>
      </w:hyperlink>
      <w:r>
        <w:rPr>
          <w:rFonts w:ascii="Times New Roman" w:eastAsia="Times New Roman" w:hAnsi="Times New Roman" w:cs="Times New Roman"/>
        </w:rPr>
        <w:t>).</w:t>
      </w:r>
    </w:p>
    <w:p w14:paraId="540D4B71" w14:textId="77777777" w:rsidR="0072400A" w:rsidRDefault="0072400A" w:rsidP="0072400A">
      <w:pPr>
        <w:spacing w:before="240" w:after="240" w:line="276" w:lineRule="auto"/>
        <w:jc w:val="both"/>
        <w:rPr>
          <w:rFonts w:ascii="Times New Roman" w:eastAsia="Times New Roman" w:hAnsi="Times New Roman" w:cs="Times New Roman"/>
        </w:rPr>
      </w:pPr>
    </w:p>
    <w:p w14:paraId="1D140AAA" w14:textId="77777777" w:rsidR="0072400A" w:rsidRDefault="0072400A" w:rsidP="0072400A">
      <w:pPr>
        <w:spacing w:before="240" w:after="240" w:line="276" w:lineRule="auto"/>
        <w:jc w:val="both"/>
        <w:rPr>
          <w:rFonts w:ascii="Times New Roman" w:eastAsia="Times New Roman" w:hAnsi="Times New Roman" w:cs="Times New Roman"/>
          <w:b/>
        </w:rPr>
      </w:pPr>
      <w:r>
        <w:rPr>
          <w:rFonts w:ascii="Times New Roman" w:eastAsia="Times New Roman" w:hAnsi="Times New Roman" w:cs="Times New Roman"/>
          <w:b/>
        </w:rPr>
        <w:t>References</w:t>
      </w:r>
    </w:p>
    <w:p w14:paraId="24E9E2B8" w14:textId="77777777" w:rsidR="0072400A" w:rsidRDefault="0072400A" w:rsidP="0072400A">
      <w:pPr>
        <w:spacing w:before="240" w:after="240" w:line="480" w:lineRule="auto"/>
        <w:ind w:left="280"/>
        <w:rPr>
          <w:rFonts w:ascii="Times New Roman" w:eastAsia="Times New Roman" w:hAnsi="Times New Roman" w:cs="Times New Roman"/>
          <w:color w:val="1155CC"/>
          <w:u w:val="single"/>
        </w:rPr>
      </w:pPr>
      <w:r>
        <w:rPr>
          <w:rFonts w:ascii="Times New Roman" w:eastAsia="Times New Roman" w:hAnsi="Times New Roman" w:cs="Times New Roman"/>
        </w:rPr>
        <w:t>Diagne C, Leroy B, Gozlan RE et al (2020) InvaCost, a public database of the economic costs of biological invasions worldwide. Sci Data 7:277.</w:t>
      </w:r>
      <w:hyperlink r:id="rId10">
        <w:r>
          <w:rPr>
            <w:rFonts w:ascii="Times New Roman" w:eastAsia="Times New Roman" w:hAnsi="Times New Roman" w:cs="Times New Roman"/>
          </w:rPr>
          <w:t xml:space="preserve"> </w:t>
        </w:r>
      </w:hyperlink>
      <w:hyperlink r:id="rId11">
        <w:r>
          <w:rPr>
            <w:rFonts w:ascii="Times New Roman" w:eastAsia="Times New Roman" w:hAnsi="Times New Roman" w:cs="Times New Roman"/>
            <w:color w:val="1155CC"/>
            <w:u w:val="single"/>
          </w:rPr>
          <w:t>https://doi.org/10.1038/s41597-020-00586-z</w:t>
        </w:r>
      </w:hyperlink>
    </w:p>
    <w:p w14:paraId="559BBD31" w14:textId="77777777"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729"/>
    <w:rsid w:val="00201396"/>
    <w:rsid w:val="004F7314"/>
    <w:rsid w:val="0072400A"/>
    <w:rsid w:val="008F1150"/>
    <w:rsid w:val="00B52729"/>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93F433-D027-4ABF-949B-B5C3B7DB5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2400A"/>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oecd.org/conversion/purchasing-power-parities-ppp.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ata.worldbank.org/indicator/PA.NUS.PPP?end=2017&amp;start=199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worldbank.org/indicator/PA.NUS.PPP?end=2017&amp;start=1990" TargetMode="External"/><Relationship Id="rId11" Type="http://schemas.openxmlformats.org/officeDocument/2006/relationships/hyperlink" Target="https://doi.org/10.1038/s41597-020-00586-z" TargetMode="External"/><Relationship Id="rId5" Type="http://schemas.openxmlformats.org/officeDocument/2006/relationships/hyperlink" Target="https://data.worldbank.org/indicator/PA.NUS.FCRF?end=2017&amp;start=1960" TargetMode="External"/><Relationship Id="rId10" Type="http://schemas.openxmlformats.org/officeDocument/2006/relationships/hyperlink" Target="https://doi.org/10.1038/s41597-020-00586-z" TargetMode="External"/><Relationship Id="rId4" Type="http://schemas.openxmlformats.org/officeDocument/2006/relationships/hyperlink" Target="https://data.worldbank.org/indicator/PA.NUS.FCRF?end=2017&amp;start=1960" TargetMode="External"/><Relationship Id="rId9" Type="http://schemas.openxmlformats.org/officeDocument/2006/relationships/hyperlink" Target="https://data.oecd.org/conversion/purchasing-power-parities-ppp.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1732</Words>
  <Characters>9878</Characters>
  <Application>Microsoft Office Word</Application>
  <DocSecurity>0</DocSecurity>
  <Lines>82</Lines>
  <Paragraphs>23</Paragraphs>
  <ScaleCrop>false</ScaleCrop>
  <Company/>
  <LinksUpToDate>false</LinksUpToDate>
  <CharactersWithSpaces>11587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2020-12-15T21:25:00Z</dcterms:created>
  <dcterms:modified xsi:type="dcterms:W3CDTF">2020-12-15T21:25:00Z</dcterms:modified>
</cp:coreProperties>
</file>