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hint="default" w:ascii="Times New Roman" w:hAnsi="Times New Roman" w:cs="Times New Roman"/>
          <w:b/>
          <w:bCs w:val="0"/>
          <w:color w:val="auto"/>
        </w:rPr>
      </w:pPr>
      <w:r>
        <w:rPr>
          <w:rFonts w:hint="default" w:ascii="Times New Roman" w:hAnsi="Times New Roman" w:eastAsia="Times New Roman" w:cs="Times New Roman"/>
          <w:b/>
          <w:bCs w:val="0"/>
          <w:color w:val="auto"/>
          <w:kern w:val="0"/>
        </w:rPr>
        <w:t>Appendix</w:t>
      </w:r>
      <w:r>
        <w:rPr>
          <w:rFonts w:hint="default" w:ascii="Times New Roman" w:hAnsi="Times New Roman" w:eastAsia="Times New Roman" w:cs="Times New Roman"/>
          <w:b/>
          <w:bCs w:val="0"/>
          <w:color w:val="auto"/>
          <w:kern w:val="0"/>
        </w:rPr>
        <w:t xml:space="preserve"> 8</w:t>
      </w:r>
      <w:r>
        <w:rPr>
          <w:rFonts w:hint="default" w:ascii="Times New Roman" w:hAnsi="Times New Roman" w:cs="Times New Roman"/>
          <w:b/>
          <w:bCs w:val="0"/>
          <w:color w:val="auto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 w:val="0"/>
          <w:color w:val="auto"/>
        </w:rPr>
        <w:t xml:space="preserve">Characteristics of </w:t>
      </w:r>
      <w:r>
        <w:rPr>
          <w:rFonts w:hint="default" w:ascii="Times New Roman" w:hAnsi="Times New Roman" w:eastAsia="Times New Roman" w:cs="Times New Roman"/>
          <w:b/>
          <w:bCs w:val="0"/>
          <w:color w:val="auto"/>
        </w:rPr>
        <w:t>existing</w:t>
      </w:r>
      <w:r>
        <w:rPr>
          <w:rFonts w:hint="default" w:ascii="Times New Roman" w:hAnsi="Times New Roman" w:eastAsia="Times New Roman" w:cs="Times New Roman"/>
          <w:b/>
          <w:bCs w:val="0"/>
          <w:color w:val="auto"/>
        </w:rPr>
        <w:t xml:space="preserve"> instruments</w:t>
      </w:r>
      <w:r>
        <w:rPr>
          <w:rFonts w:hint="default" w:ascii="Times New Roman" w:hAnsi="Times New Roman" w:eastAsia="Times New Roman" w:cs="Times New Roman"/>
          <w:b/>
          <w:bCs w:val="0"/>
          <w:color w:val="auto"/>
          <w:kern w:val="0"/>
        </w:rPr>
        <w:t>*</w:t>
      </w:r>
    </w:p>
    <w:tbl>
      <w:tblPr>
        <w:tblStyle w:val="28"/>
        <w:tblW w:w="14188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062"/>
        <w:gridCol w:w="1435"/>
        <w:gridCol w:w="1018"/>
        <w:gridCol w:w="2091"/>
        <w:gridCol w:w="2212"/>
        <w:gridCol w:w="3533"/>
        <w:gridCol w:w="1419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 xml:space="preserve">Instrument </w:t>
            </w:r>
          </w:p>
        </w:tc>
        <w:tc>
          <w:tcPr>
            <w:tcW w:w="106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 xml:space="preserve">Number of citations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143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Content assessed by instrument</w:t>
            </w:r>
          </w:p>
        </w:tc>
        <w:tc>
          <w:tcPr>
            <w:tcW w:w="101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Number of items</w:t>
            </w:r>
          </w:p>
        </w:tc>
        <w:tc>
          <w:tcPr>
            <w:tcW w:w="209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Response options</w:t>
            </w:r>
          </w:p>
        </w:tc>
        <w:tc>
          <w:tcPr>
            <w:tcW w:w="22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 xml:space="preserve">Administration / Generalizability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353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Instrument’s domain</w:t>
            </w:r>
          </w:p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Theoretical foundation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4188" w:type="dxa"/>
            <w:gridSpan w:val="8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Directly Observed Behavioral Instruments (11 tools):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88" w:type="dxa"/>
            <w:gridSpan w:val="8"/>
            <w:shd w:val="clear" w:color="auto" w:fill="auto"/>
          </w:tcPr>
          <w:p>
            <w:pPr>
              <w:spacing w:line="220" w:lineRule="exact"/>
              <w:rPr>
                <w:rFonts w:hint="default" w:ascii="Times New Roman" w:hAnsi="Times New Roman" w:cs="Times New Roman"/>
                <w:b w:val="0"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Simulation (OSCE)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>ECFMG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®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>-CSA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® 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Professionalism behavior 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 SP stations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4-point Likert scale (1=poor, 4=excellent)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SPs assess the candidates (OSCE)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Interviewing and collecting information; Counseling and delivering information; Rapport; Attentiveness; Personal manner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Professionalism as defined by the ABIM and the AAMC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  <w:t>-OSCE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behavior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 SP stations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3-point Likert scale (3=pass; 2=borderline; 1=fail)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SPs assess the candidates (OSCE)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Altruism, trust, and patient interest; Patient autonomy; Social justice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as defined by the ACGME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4188" w:type="dxa"/>
            <w:gridSpan w:val="8"/>
            <w:tcBorders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>Multi-Source Feedback Instruments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i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GMC patient and colleague questionnaire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 performance of doctors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Patient survey (8), colleague survey (25)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Binary options (yes/no)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Patients and colleagues assess physicians in real situation / 0.75 (36) for patients; 0.76 (12) for colleagues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Not described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Good medical practice as defined by GMC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kern w:val="0"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  <w:t>-360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3"/>
                <w:szCs w:val="13"/>
              </w:rPr>
              <w:t xml:space="preserve">°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</w:rPr>
              <w:t xml:space="preserve">evaluation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behavior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3-point Likert scale (3=pass; 2=borderline; 1=fail)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One nurse, two physicians, one peer, and one patient for each resident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Altruism, trust, and patient interest; Patient autonomy; Social justice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ACGME competencies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4188" w:type="dxa"/>
            <w:gridSpan w:val="8"/>
            <w:tcBorders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>Direct Observation Instruments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UMDSPAI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Performance of professionalism in surgical residents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A 7-point continuous ordinal scale (with differing behavioral anchors) 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Faculty assess residents and residents’ self-evaluate in real situations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Punctuality; Appearance; Honesty / accountability / response to error; Compulsiveness; Responsibility / sense of duty; Response to criticism; Confidence / ability to assess oneself; Respect for others; Initiative / self-regulation; Altruism; Doctor-patient or doctor-family relationships; Inter-professional relationships; Trustworthiness / confidentiality; Moral and ethical standards; Attitude toward medical profession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ACGME competencies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P-MEX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behavior in medical practice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4-point Likert scale (1=unacceptable; 4=exceeded expectations; and not applicable)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Evaluators assess the residents in real situations / 0.80 (10-12)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Doctor-patient relationship skills; Reflective skills; Time management, and Interprofessional relationship skills</w:t>
            </w:r>
          </w:p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Literature review and experts committee meetings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EPRO-GP instrument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 behavior in general practice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4-point Likert scale (1=hardly never, 4= almost always)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Self-assessment and trainers’ assessment in real situations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toward the patient; Professionalism toward other professionals; Professionalism toward the public; Professionalism toward oneself.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Literature review and experts committee meetings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Nijmegen Professionalism Scale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 behavior of general practitioners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4-point Likert scale (1=never, 4=always)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Trainers assess trainees and trainees’ self-assessment in real situations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Respecting patient's interests and professional distance; Collaboration skills and management skills; Responsibility and quality management; Reflection and learning and dealing with emotions.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EPRO-GP instrument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 xml:space="preserve"> 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Adaptation of AACS for foreign medical graduates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Professional behavior of foreigner medical graduates 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7-point Likert scale, ranges from 4 to 10 (7=being the expected level of performance)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Supervisors, residents, and nurses assess the graduates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Courteousness; Communication; Collaboration; Dedication; Self-appraisal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Literature review and expert committee meetings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sz w:val="16"/>
                <w:szCs w:val="16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-mini-CEX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behaviors of dental interns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3-point Likert scale (3=pass; 2=borderline; 1=fail)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One attending</w:t>
            </w:r>
          </w:p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physician assesses dental interns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Responsibility to patients; 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Respect for patients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P-MEX developed by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ruess et al. 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4188" w:type="dxa"/>
            <w:gridSpan w:val="8"/>
            <w:tcBorders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>Peer Assessment Instrument</w:t>
            </w:r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Cottrell’s peer assessment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performance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4-point Likert scale (1=too little, 4=too much) and “0” for not observe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Medical students assess medical students / 0.7(13)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Honesty and integrity; Accountability; Responsibility; Respectful and nonjudgmental behavior; Compassion and empathy; Maturity; Skillful communication; Confidentiality and privacy in all patient affairs; Self-directed learning; Appraisal skills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Literature review and codes were developed by the medical school curriculum committee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4188" w:type="dxa"/>
            <w:gridSpan w:val="8"/>
            <w:tcBorders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 xml:space="preserve">Instruments used in China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>¥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(9 tools):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Beijing Medical Residents Professionalism Attitude Scale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Agreement of the description of professionalism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(1=I do not agree at all, 5=I agree completely)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Medical residents’ self-assessment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Not described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Chinese Physician Charter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Chinese Penn State College of Medicine Professionalism Questionnaire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Attitude towards professionalism behaviors and beliefs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 do not agree at all, 5= agree completely)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Physicians’ self-assessment 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Accountability; Altruism; Lifelong learning; Honesty and integrity; Respectful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Penn State College of Medicine Professionalism Questionnaire 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Physician, nurse and patient perspectives on the meaning of professionalism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Importance of professionalism behaviors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4-point Likert scale (1= not important at all, 4= very important)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Physicians’ self-assessment, patient assessment of physicians, nurses’ assessment of physicians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Not described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Previously published questionnaire 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Professionalism Competency Scale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 xml:space="preserve">17 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General description of physician professionalism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(1=very bad, 5= very good)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Experts assess physicians by general descriptions (not directed toward individuals)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Patients first; Patient autonomy; Social justice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Chinese physician charter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Medical Professionalism scale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Agreement with professionalism items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(1=do not agree at all, 5= agree completely)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Physicians’ self-assessment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Patient and physician communication skills; Accountability; Good communication; Teamwork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Literature review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Medical Professionalism Assessment Scale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19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Importance of each item for professionalism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3-point Likert scale (1= very important, 3=not important)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Physicians’ self-assessment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Honesty and integrity; Accountability; Lifelong learning; Skillful communication; Responsibility; Knowledgeable; Innovative skill; Respectful; Compassion and empathy; Altruism; Teamwork spirit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Literature review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Medical Professionalism Evaluation Index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Importance of each item for professionalism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(1=I do not agree at all, 5=I agree completely)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Physicians’ self-assessment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Moral value; Behavior; Attitude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Chinese Physician Charter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360-degree scale of professionalism for medical residents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Performance of professionalism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(1=not satisfactory at all, 5=satisfactory completely)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Assessment of medical residents by managers, nurses, peers, faculty, and patients; Self reports by medical residents 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Professionalism; Communication skills; System-based practice; Patient care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Previously published questionnaire 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Medical Residents Professionalism Assessment Scale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Performance of professionalism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(1=very bad, 5=very good)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Medical residents’ self-report; Faculty assessment of medical residents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Altruism; Honor and integrity; Caring, compassion and good communication; Respect for others; Conscientiousness; Pursuit of excellence; Leadership skills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as defined by GMER, AAMCE, and ACGME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4188" w:type="dxa"/>
            <w:gridSpan w:val="8"/>
            <w:tcBorders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Instruments with Top Validity Evidence *</w:t>
            </w: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 xml:space="preserve">(3 tools):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Hisar’s instrument for nursing students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attitudes of nursing students in Turkey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(1=I do not agree at all, 5=I agree completely)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Nursing students’ self-assessment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Contribution to the increase of scientific information load; A</w:t>
            </w:r>
            <w:r>
              <w:rPr>
                <w:rFonts w:hint="default" w:ascii="Times New Roman" w:hAnsi="Times New Roman" w:cs="Times New Roman"/>
                <w:kern w:val="0"/>
                <w:sz w:val="16"/>
                <w:szCs w:val="16"/>
              </w:rPr>
              <w:t>utonomy; Cooperation; Competence, continuous education; Participation in professional organizations and professional development; Working in committees; Community service; Ethical codes and theory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Literature review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Nurse Practitioners' Roles and Competencies Scale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24</w:t>
            </w:r>
          </w:p>
        </w:tc>
        <w:tc>
          <w:tcPr>
            <w:tcW w:w="106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35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Roles and competencies of nurse practitioners</w:t>
            </w:r>
          </w:p>
        </w:tc>
        <w:tc>
          <w:tcPr>
            <w:tcW w:w="1018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2091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(1=completely disagree, 5=completely agree)</w:t>
            </w:r>
          </w:p>
        </w:tc>
        <w:tc>
          <w:tcPr>
            <w:tcW w:w="2212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Nurses’ self-assessment</w:t>
            </w:r>
          </w:p>
        </w:tc>
        <w:tc>
          <w:tcPr>
            <w:tcW w:w="3533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Professionalism; Direct care; Clinical research; Practical guidance;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edical assistance; Leadership and reform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Previous published paper </w:t>
            </w:r>
            <w:r>
              <w:rPr>
                <w:rFonts w:hint="default" w:ascii="Times New Roman" w:hAnsi="Times New Roman" w:cs="Times New Roman"/>
                <w:sz w:val="16"/>
                <w:szCs w:val="16"/>
                <w:vertAlign w:val="superscript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231F2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6"/>
                <w:szCs w:val="16"/>
              </w:rPr>
              <w:t xml:space="preserve">Perceived Faculty Competency Inventory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106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3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Faculty Competence</w:t>
            </w:r>
          </w:p>
        </w:tc>
        <w:tc>
          <w:tcPr>
            <w:tcW w:w="101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09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 5-point Likert scale (1=strongly disagree, 5= completely agree)</w:t>
            </w:r>
          </w:p>
        </w:tc>
        <w:tc>
          <w:tcPr>
            <w:tcW w:w="22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Clinical, counseling, and</w:t>
            </w:r>
          </w:p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school psychology students’ assessment of their faculty</w:t>
            </w:r>
          </w:p>
        </w:tc>
        <w:tc>
          <w:tcPr>
            <w:tcW w:w="353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Professionalism / ethics; Clinical supervision; Research; Multicultural competence; Advising / mentoring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220" w:lineRule="exact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Literature review</w:t>
            </w:r>
          </w:p>
        </w:tc>
      </w:tr>
    </w:tbl>
    <w:p>
      <w:pPr>
        <w:widowControl/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* This table was adapted and reprinted with permission of PLOS ONE from the original paper: Li H, Ding N, Zhang Y, Liu Y, Wen D. Assessing medical professionalism: a systematic review of instruments and their measurement properties. PloS one. 2017 May 12;12(5):e0177321.</w:t>
      </w:r>
    </w:p>
    <w:p>
      <w:pPr>
        <w:widowControl/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Cs/>
          <w:sz w:val="16"/>
          <w:szCs w:val="16"/>
          <w:vertAlign w:val="superscript"/>
        </w:rPr>
      </w:pPr>
      <w:r>
        <w:rPr>
          <w:rFonts w:hint="default" w:ascii="Times New Roman" w:hAnsi="Times New Roman" w:cs="Times New Roman"/>
          <w:bCs/>
          <w:sz w:val="16"/>
          <w:szCs w:val="16"/>
          <w:vertAlign w:val="superscript"/>
        </w:rPr>
        <w:t xml:space="preserve">† </w:t>
      </w:r>
      <w:r>
        <w:rPr>
          <w:rFonts w:hint="default" w:ascii="Times New Roman" w:hAnsi="Times New Roman" w:cs="Times New Roman"/>
          <w:sz w:val="16"/>
          <w:szCs w:val="16"/>
        </w:rPr>
        <w:t>Number of citations in Google Scholar or in China’s Wanfang Data Base as of Oct 9, 2023.</w:t>
      </w:r>
    </w:p>
    <w:p>
      <w:pPr>
        <w:widowControl/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bCs/>
          <w:sz w:val="16"/>
          <w:szCs w:val="16"/>
          <w:vertAlign w:val="superscript"/>
        </w:rPr>
        <w:t xml:space="preserve">‡ </w:t>
      </w:r>
      <w:r>
        <w:rPr>
          <w:rFonts w:hint="default" w:ascii="Times New Roman" w:hAnsi="Times New Roman" w:cs="Times New Roman"/>
          <w:sz w:val="16"/>
          <w:szCs w:val="16"/>
        </w:rPr>
        <w:t xml:space="preserve">Number of surveys </w:t>
      </w:r>
      <w:r>
        <w:rPr>
          <w:rFonts w:hint="default" w:ascii="Times New Roman" w:hAnsi="Times New Roman" w:cs="Times New Roman"/>
          <w:kern w:val="0"/>
          <w:sz w:val="16"/>
          <w:szCs w:val="16"/>
        </w:rPr>
        <w:t xml:space="preserve">required to obtain an equivalent dependability coefficient. Numbers outside the parentheses are the dependability coefficient. Numbers inside the parentheses are number of surveys required. </w:t>
      </w:r>
    </w:p>
    <w:p>
      <w:pPr>
        <w:widowControl/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kern w:val="0"/>
          <w:sz w:val="16"/>
          <w:szCs w:val="16"/>
          <w:vertAlign w:val="superscript"/>
        </w:rPr>
        <w:t>¥</w:t>
      </w:r>
      <w:r>
        <w:rPr>
          <w:rFonts w:hint="default" w:ascii="Times New Roman" w:hAnsi="Times New Roman" w:cs="Times New Roman"/>
          <w:kern w:val="0"/>
          <w:sz w:val="16"/>
          <w:szCs w:val="16"/>
        </w:rPr>
        <w:t xml:space="preserve"> These instruments do not have formal English names. These descriptions of instruments were translated from Chinese into English by author Li, H.</w:t>
      </w:r>
    </w:p>
    <w:p>
      <w:pPr>
        <w:jc w:val="left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References List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van Zanten M, Boulet JR, Norcini JJ, et al. Using a standardised patient assessment to measure professional attributes. 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Med Educ.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 2005;39(1):20-29.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Yang YY, Lee FY, Hsu HC, et al. Validation of the behavior and concept-based assessment of professionalism competence in postgraduate first-year residents. 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J China Med Assoc.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 2013; 76: 186–194.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Campbell JL, Richards SH, Dickens A, et al. Assessing the professional performance of UK doctors: an evaluation of the utility of the General Medical Council patient and colleague questionnaires. 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Qual Saf Health Care.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 2008;17(3):187-193.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Yang YY, Lee FY, Hsu HC, et al. Assessment of first-year post-graduate residents: usefulness of multiple tools. 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 xml:space="preserve">J Chin Med Assoc. 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2011; 74:531-538.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Gauger PG, Gruppen LD, Minter RM, et al. Initial use of a novel instrument to measure professionalism in surgical residents. 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Am J Surg.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 2005;189(4):479-487.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Cruess R, Mcllroy JH, Cruess S, et al. The professionalism mini-evaluation exercise: A preliminary investigation. 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Acad Med.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 2006; 81: S74–S78.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Van de Camp K, Vernooij-Dassen M, Grol R, et al. Professionalism in general practice: Development of an instrument to assess professional behaviour in general practitioner trainees. 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 xml:space="preserve">Med Educ. 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2006; 40: 43–50. 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 xml:space="preserve">Tromp F, Vernooij-Dassen M, Kramer A, 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et al</w:t>
      </w: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 xml:space="preserve">. Behavioural elements of professionalism: assessment of a fundamental concept in medical care. </w:t>
      </w:r>
      <w:r>
        <w:rPr>
          <w:rFonts w:hint="default" w:ascii="Times New Roman" w:hAnsi="Times New Roman" w:eastAsia="宋体" w:cs="Times New Roman"/>
          <w:i/>
          <w:iCs/>
          <w:color w:val="212121"/>
          <w:sz w:val="16"/>
          <w:szCs w:val="16"/>
          <w:shd w:val="clear" w:color="auto" w:fill="FFFFFF"/>
        </w:rPr>
        <w:t xml:space="preserve">Med Teach. </w:t>
      </w: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>2010;32(4):e161-e169.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 xml:space="preserve">Tromp F, Rademakers JJ, Ten Cate TJ. Development of an instrument to assess professional behaviour of foreign medical graduates. </w:t>
      </w:r>
      <w:r>
        <w:rPr>
          <w:rFonts w:hint="default" w:ascii="Times New Roman" w:hAnsi="Times New Roman" w:eastAsia="宋体" w:cs="Times New Roman"/>
          <w:i/>
          <w:iCs/>
          <w:color w:val="212121"/>
          <w:sz w:val="16"/>
          <w:szCs w:val="16"/>
          <w:shd w:val="clear" w:color="auto" w:fill="FFFFFF"/>
        </w:rPr>
        <w:t>Med Teach.</w:t>
      </w: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 xml:space="preserve"> 2007;29(2-3):150-155.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 xml:space="preserve">Yang YY, Hsu HC, Lee FY, et al. Evaluation of the clinical competences of dental interns with mini-CEX. </w:t>
      </w:r>
      <w:r>
        <w:rPr>
          <w:rFonts w:hint="default" w:ascii="Times New Roman" w:hAnsi="Times New Roman" w:eastAsia="宋体" w:cs="Times New Roman"/>
          <w:i/>
          <w:iCs/>
          <w:color w:val="212121"/>
          <w:sz w:val="16"/>
          <w:szCs w:val="16"/>
          <w:shd w:val="clear" w:color="auto" w:fill="FFFFFF"/>
        </w:rPr>
        <w:t xml:space="preserve">J Med Educ. </w:t>
      </w: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>2010; 14:251-261.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Cottrell S, Diaz S, Cather A, et al. Assessing medical student professionalism: An analysis of a peer assessment. 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Med Educ Online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. 2006; 11: 1</w:t>
      </w: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>-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8.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Yue SF, Chen J, Jiang GC, et al. Investigation of and Research on Medical Professionalism Cognition of Residents in Beijing Hospitals.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Chin Cont Med Educ.</w:t>
      </w:r>
      <w:r>
        <w:rPr>
          <w:rFonts w:hint="default" w:ascii="Times New Roman" w:hAnsi="Times New Roman" w:cs="Times New Roman"/>
          <w:sz w:val="16"/>
          <w:szCs w:val="16"/>
        </w:rPr>
        <w:t xml:space="preserve"> 2018,10(10):8-11.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Song WW, Shi L, Li HH, et al. The introduction of the Penn State College of Medicine Professionalism Questionnaire and the evaluation on its validity and reliability.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 Chin J Med Educ. </w:t>
      </w:r>
      <w:r>
        <w:rPr>
          <w:rFonts w:hint="default" w:ascii="Times New Roman" w:hAnsi="Times New Roman" w:cs="Times New Roman"/>
          <w:sz w:val="16"/>
          <w:szCs w:val="16"/>
        </w:rPr>
        <w:t xml:space="preserve">2019,39(11):868-871. 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Blackall G F, Melnick S A, Shoop G H, et al. Professionalism in medical education: the development and validation of a survey instrument to assess attitudes toward professionalism. </w:t>
      </w:r>
      <w:r>
        <w:rPr>
          <w:rFonts w:hint="default" w:ascii="Times New Roman" w:hAnsi="Times New Roman" w:eastAsia="宋体" w:cs="Times New Roman"/>
          <w:i/>
          <w:iCs/>
          <w:color w:val="212121"/>
          <w:sz w:val="16"/>
          <w:szCs w:val="16"/>
          <w:shd w:val="clear" w:color="auto" w:fill="FFFFFF"/>
        </w:rPr>
        <w:t>Med Teach.</w:t>
      </w:r>
      <w:r>
        <w:rPr>
          <w:rFonts w:hint="default" w:ascii="Times New Roman" w:hAnsi="Times New Roman" w:cs="Times New Roman"/>
          <w:sz w:val="16"/>
          <w:szCs w:val="16"/>
        </w:rPr>
        <w:t xml:space="preserve"> 2007, 29(2-3): e58-e62.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Chen K, Zhao M, Li RF, et al. Investigation on the Connotation of Medical Professionalism from the Perspective of Physician, Nurse and Patient.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Med and Phil. </w:t>
      </w:r>
      <w:r>
        <w:rPr>
          <w:rFonts w:hint="default" w:ascii="Times New Roman" w:hAnsi="Times New Roman" w:cs="Times New Roman"/>
          <w:sz w:val="16"/>
          <w:szCs w:val="16"/>
        </w:rPr>
        <w:t>2015(3):40-44.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Green M, Zick A, Makoul G. Defining professionalism from the perspective of patients, physicians, and nurses.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Acad Med. </w:t>
      </w:r>
      <w:r>
        <w:rPr>
          <w:rFonts w:hint="default" w:ascii="Times New Roman" w:hAnsi="Times New Roman" w:cs="Times New Roman"/>
          <w:sz w:val="16"/>
          <w:szCs w:val="16"/>
        </w:rPr>
        <w:t>2009, 84(5): 566-573.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Tian L, Zhao YH, Li JG, et al. Evaluation on medical professionalism from the construction of physicians' competency model.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Chin J of Med Educ Res. </w:t>
      </w:r>
      <w:r>
        <w:rPr>
          <w:rFonts w:hint="default" w:ascii="Times New Roman" w:hAnsi="Times New Roman" w:cs="Times New Roman"/>
          <w:sz w:val="16"/>
          <w:szCs w:val="16"/>
        </w:rPr>
        <w:t>2012,11(6):553-557.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Huo YL, Zhou FF. Medical Professionalism Scale Preliminary Preparation and Structure Exploration.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Med and Phil. </w:t>
      </w:r>
      <w:r>
        <w:rPr>
          <w:rFonts w:hint="default" w:ascii="Times New Roman" w:hAnsi="Times New Roman" w:cs="Times New Roman"/>
          <w:sz w:val="16"/>
          <w:szCs w:val="16"/>
        </w:rPr>
        <w:t>2015,36(19):27-30.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Xu X, Yuan HY. A research on designing the Physician Professionalism Evaluation Scale.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Chin Hos Mange. </w:t>
      </w:r>
      <w:r>
        <w:rPr>
          <w:rFonts w:hint="default" w:ascii="Times New Roman" w:hAnsi="Times New Roman" w:cs="Times New Roman"/>
          <w:sz w:val="16"/>
          <w:szCs w:val="16"/>
        </w:rPr>
        <w:t>2015,35(12):50-52.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Xu X, Yuan HY. Research on the Construction of Evaluation Index System for Physician Professionalism---Based on 8 Three-A Hospitals in Shanghai.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Chin Med Ethics. </w:t>
      </w:r>
      <w:r>
        <w:rPr>
          <w:rFonts w:hint="default" w:ascii="Times New Roman" w:hAnsi="Times New Roman" w:cs="Times New Roman"/>
          <w:sz w:val="16"/>
          <w:szCs w:val="16"/>
        </w:rPr>
        <w:t>2016,29(2):195-198.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16"/>
          <w:szCs w:val="16"/>
          <w:lang w:bidi="ar"/>
        </w:rPr>
        <w:t xml:space="preserve">Chen K, Ma BF, Zhao M. Research on 360-degree Assessment Method Measuring Medical Professionalism and Communication Skills of Residents.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Med and Phil. </w:t>
      </w:r>
      <w:r>
        <w:rPr>
          <w:rFonts w:hint="default" w:ascii="Times New Roman" w:hAnsi="Times New Roman" w:eastAsia="宋体" w:cs="Times New Roman"/>
          <w:color w:val="000000"/>
          <w:kern w:val="0"/>
          <w:sz w:val="16"/>
          <w:szCs w:val="16"/>
          <w:lang w:bidi="ar"/>
        </w:rPr>
        <w:t>2017,38(1):71-74,80.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16"/>
          <w:szCs w:val="16"/>
          <w:lang w:bidi="ar"/>
        </w:rPr>
        <w:t xml:space="preserve">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Li R, Li YP, Peng J. The analysis and evaluation of resident professionalism. 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>Chin J Med Educ.</w:t>
      </w:r>
      <w:r>
        <w:rPr>
          <w:rFonts w:hint="default" w:ascii="Times New Roman" w:hAnsi="Times New Roman" w:cs="Times New Roman"/>
          <w:sz w:val="16"/>
          <w:szCs w:val="16"/>
        </w:rPr>
        <w:t xml:space="preserve"> 2016,36(2):287-290.</w:t>
      </w:r>
      <w:r>
        <w:rPr>
          <w:rFonts w:hint="default" w:ascii="Times New Roman" w:hAnsi="Times New Roman" w:cs="Times New Roman"/>
          <w:sz w:val="16"/>
          <w:szCs w:val="16"/>
        </w:rPr>
        <w:t>[in Chinese]</w:t>
      </w:r>
      <w:r>
        <w:rPr>
          <w:rFonts w:hint="default" w:ascii="Times New Roman" w:hAnsi="Times New Roman" w:cs="Times New Roman"/>
          <w:sz w:val="16"/>
          <w:szCs w:val="16"/>
        </w:rPr>
        <w:t xml:space="preserve"> 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Hisar F, Karadag A, Kan A. Development of an instrument to measure professional attitudes in nursing students in Turkey. 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Nurse Educ Today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. 2010; 30: 726–730.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Lin LC, Lee S, Ueng SW,</w:t>
      </w: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 xml:space="preserve"> 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et al. Reliability and validity of the Nurse Practitioners' Roles and Competencies Scale. 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J Clin Nurs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. 2016; 25: 99–108.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Hawkins RE, Katsufrakis PJ, Holtman MC, et al. Assessment of medical professionalism: who, what, when, where, how, and … why? 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Med Teach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. 2009;31(4):348–</w:t>
      </w:r>
      <w:r>
        <w:rPr>
          <w:rFonts w:hint="default" w:ascii="Times New Roman" w:hAnsi="Times New Roman" w:eastAsia="宋体" w:cs="Times New Roman"/>
          <w:color w:val="212121"/>
          <w:sz w:val="16"/>
          <w:szCs w:val="16"/>
          <w:shd w:val="clear" w:color="auto" w:fill="FFFFFF"/>
        </w:rPr>
        <w:t>3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 xml:space="preserve">61. </w:t>
      </w:r>
    </w:p>
    <w:p>
      <w:pPr>
        <w:pStyle w:val="3"/>
        <w:numPr>
          <w:ilvl w:val="0"/>
          <w:numId w:val="1"/>
        </w:numPr>
        <w:adjustRightInd w:val="0"/>
        <w:snapToGrid w:val="0"/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Deemer ED, Thomas D, Hill CL. Measuring students' perceptions of faculty competence in professional psychology: Development of the Perceived Faculty Competence Inventory. </w:t>
      </w:r>
      <w:r>
        <w:rPr>
          <w:rFonts w:hint="default" w:ascii="Times New Roman" w:hAnsi="Times New Roman" w:eastAsia="Cambria" w:cs="Times New Roman"/>
          <w:i/>
          <w:iCs/>
          <w:color w:val="212121"/>
          <w:sz w:val="16"/>
          <w:szCs w:val="16"/>
          <w:shd w:val="clear" w:color="auto" w:fill="FFFFFF"/>
        </w:rPr>
        <w:t>Train Educ Prof Psychol</w:t>
      </w:r>
      <w:r>
        <w:rPr>
          <w:rFonts w:hint="default" w:ascii="Times New Roman" w:hAnsi="Times New Roman" w:eastAsia="Cambria" w:cs="Times New Roman"/>
          <w:color w:val="212121"/>
          <w:sz w:val="16"/>
          <w:szCs w:val="16"/>
          <w:shd w:val="clear" w:color="auto" w:fill="FFFFFF"/>
        </w:rPr>
        <w:t>. 2011; 5: 38–47.</w:t>
      </w:r>
    </w:p>
    <w:sectPr>
      <w:pgSz w:w="15840" w:h="12240" w:orient="landscape"/>
      <w:pgMar w:top="720" w:right="720" w:bottom="720" w:left="720" w:header="720" w:footer="720" w:gutter="0"/>
      <w:cols w:space="720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Palatino">
    <w:altName w:val="Book Antiqua"/>
    <w:panose1 w:val="00000000000000000000"/>
    <w:charset w:val="00"/>
    <w:family w:val="auto"/>
    <w:pitch w:val="default"/>
    <w:sig w:usb0="00000000" w:usb1="00000000" w:usb2="14600000" w:usb3="00000000" w:csb0="00000193" w:csb1="00000000"/>
  </w:font>
  <w:font w:name="TimesNewRomanP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AF7DAB"/>
    <w:multiLevelType w:val="singleLevel"/>
    <w:tmpl w:val="26AF7DA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20"/>
  <w:drawingGridVerticalSpacing w:val="42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NzI5M2YwMWU0YjY1OGQ0NDJjOTU1NTdjMjUzYjgifQ=="/>
  </w:docVars>
  <w:rsids>
    <w:rsidRoot w:val="00E06FF9"/>
    <w:rsid w:val="000355D9"/>
    <w:rsid w:val="000356EF"/>
    <w:rsid w:val="00061487"/>
    <w:rsid w:val="000826AC"/>
    <w:rsid w:val="000A0044"/>
    <w:rsid w:val="000F02FC"/>
    <w:rsid w:val="001062EA"/>
    <w:rsid w:val="00112211"/>
    <w:rsid w:val="0015095A"/>
    <w:rsid w:val="00150BC1"/>
    <w:rsid w:val="00155416"/>
    <w:rsid w:val="001627E8"/>
    <w:rsid w:val="001869CF"/>
    <w:rsid w:val="001942C0"/>
    <w:rsid w:val="001B0789"/>
    <w:rsid w:val="001C62E8"/>
    <w:rsid w:val="001F0C64"/>
    <w:rsid w:val="001F76FF"/>
    <w:rsid w:val="002078AE"/>
    <w:rsid w:val="00221685"/>
    <w:rsid w:val="00231718"/>
    <w:rsid w:val="00235E8F"/>
    <w:rsid w:val="00251F1F"/>
    <w:rsid w:val="002D5A71"/>
    <w:rsid w:val="003028A5"/>
    <w:rsid w:val="0030388B"/>
    <w:rsid w:val="003171A1"/>
    <w:rsid w:val="003172B7"/>
    <w:rsid w:val="00343760"/>
    <w:rsid w:val="00346484"/>
    <w:rsid w:val="003619AD"/>
    <w:rsid w:val="00386AEA"/>
    <w:rsid w:val="003A33D1"/>
    <w:rsid w:val="003B1B12"/>
    <w:rsid w:val="003E1297"/>
    <w:rsid w:val="004168C5"/>
    <w:rsid w:val="00417984"/>
    <w:rsid w:val="004376FE"/>
    <w:rsid w:val="004541DC"/>
    <w:rsid w:val="004555BF"/>
    <w:rsid w:val="00461E7A"/>
    <w:rsid w:val="00472E0D"/>
    <w:rsid w:val="00475D68"/>
    <w:rsid w:val="00491666"/>
    <w:rsid w:val="004C0471"/>
    <w:rsid w:val="005009E8"/>
    <w:rsid w:val="00504C66"/>
    <w:rsid w:val="005066F8"/>
    <w:rsid w:val="00526888"/>
    <w:rsid w:val="00536CB9"/>
    <w:rsid w:val="00545DDB"/>
    <w:rsid w:val="005919C1"/>
    <w:rsid w:val="005A1E04"/>
    <w:rsid w:val="005A7928"/>
    <w:rsid w:val="005B6E37"/>
    <w:rsid w:val="005E3152"/>
    <w:rsid w:val="005F575C"/>
    <w:rsid w:val="0062078F"/>
    <w:rsid w:val="00621084"/>
    <w:rsid w:val="00634483"/>
    <w:rsid w:val="00651807"/>
    <w:rsid w:val="006674F1"/>
    <w:rsid w:val="00667F64"/>
    <w:rsid w:val="006900B8"/>
    <w:rsid w:val="00690684"/>
    <w:rsid w:val="0069691F"/>
    <w:rsid w:val="006A5863"/>
    <w:rsid w:val="006A642E"/>
    <w:rsid w:val="006B35B9"/>
    <w:rsid w:val="006E150A"/>
    <w:rsid w:val="006F11A2"/>
    <w:rsid w:val="00733490"/>
    <w:rsid w:val="007401AD"/>
    <w:rsid w:val="00746D8D"/>
    <w:rsid w:val="00787226"/>
    <w:rsid w:val="00794CE1"/>
    <w:rsid w:val="007A16E7"/>
    <w:rsid w:val="007A21E9"/>
    <w:rsid w:val="007C5165"/>
    <w:rsid w:val="007C58A8"/>
    <w:rsid w:val="007D29A0"/>
    <w:rsid w:val="007E252E"/>
    <w:rsid w:val="007F5D1C"/>
    <w:rsid w:val="00804CD9"/>
    <w:rsid w:val="008164A0"/>
    <w:rsid w:val="00827D1F"/>
    <w:rsid w:val="00831738"/>
    <w:rsid w:val="00841157"/>
    <w:rsid w:val="008454CB"/>
    <w:rsid w:val="00861C6A"/>
    <w:rsid w:val="008B6071"/>
    <w:rsid w:val="008C2278"/>
    <w:rsid w:val="008D3003"/>
    <w:rsid w:val="008E0271"/>
    <w:rsid w:val="008F53E1"/>
    <w:rsid w:val="00906D55"/>
    <w:rsid w:val="0093368F"/>
    <w:rsid w:val="0094715C"/>
    <w:rsid w:val="00952258"/>
    <w:rsid w:val="0095267D"/>
    <w:rsid w:val="00984714"/>
    <w:rsid w:val="0098658B"/>
    <w:rsid w:val="00992CE7"/>
    <w:rsid w:val="00996D34"/>
    <w:rsid w:val="009A0E58"/>
    <w:rsid w:val="009B68F5"/>
    <w:rsid w:val="009C7509"/>
    <w:rsid w:val="009E7DE3"/>
    <w:rsid w:val="009F4450"/>
    <w:rsid w:val="00A301CA"/>
    <w:rsid w:val="00A54306"/>
    <w:rsid w:val="00A735A1"/>
    <w:rsid w:val="00A959F3"/>
    <w:rsid w:val="00AA3EE9"/>
    <w:rsid w:val="00AD0D65"/>
    <w:rsid w:val="00AE092A"/>
    <w:rsid w:val="00AE7435"/>
    <w:rsid w:val="00AF1108"/>
    <w:rsid w:val="00AF47DF"/>
    <w:rsid w:val="00B473E3"/>
    <w:rsid w:val="00B50C9D"/>
    <w:rsid w:val="00B6438F"/>
    <w:rsid w:val="00B67EF6"/>
    <w:rsid w:val="00B806F0"/>
    <w:rsid w:val="00BC42B1"/>
    <w:rsid w:val="00BC6E05"/>
    <w:rsid w:val="00BE2AEC"/>
    <w:rsid w:val="00BE3034"/>
    <w:rsid w:val="00BE6388"/>
    <w:rsid w:val="00BF3B17"/>
    <w:rsid w:val="00C02FFD"/>
    <w:rsid w:val="00C225CF"/>
    <w:rsid w:val="00C30832"/>
    <w:rsid w:val="00C329F2"/>
    <w:rsid w:val="00C43E12"/>
    <w:rsid w:val="00C5726B"/>
    <w:rsid w:val="00C6417F"/>
    <w:rsid w:val="00C65257"/>
    <w:rsid w:val="00C6689F"/>
    <w:rsid w:val="00C707B9"/>
    <w:rsid w:val="00C95A0E"/>
    <w:rsid w:val="00CA0E1F"/>
    <w:rsid w:val="00CB7787"/>
    <w:rsid w:val="00CC70DC"/>
    <w:rsid w:val="00D104EF"/>
    <w:rsid w:val="00D20570"/>
    <w:rsid w:val="00D44C73"/>
    <w:rsid w:val="00D5240C"/>
    <w:rsid w:val="00D70E1B"/>
    <w:rsid w:val="00D7386F"/>
    <w:rsid w:val="00D863E1"/>
    <w:rsid w:val="00DD374D"/>
    <w:rsid w:val="00E06FF9"/>
    <w:rsid w:val="00E316B3"/>
    <w:rsid w:val="00E639BF"/>
    <w:rsid w:val="00E76BD6"/>
    <w:rsid w:val="00E806D6"/>
    <w:rsid w:val="00EA0F64"/>
    <w:rsid w:val="00EA240D"/>
    <w:rsid w:val="00EA3EB0"/>
    <w:rsid w:val="00EA6828"/>
    <w:rsid w:val="00EB368E"/>
    <w:rsid w:val="00EC22E9"/>
    <w:rsid w:val="00EC2EB1"/>
    <w:rsid w:val="00ED3BD8"/>
    <w:rsid w:val="00EF23DF"/>
    <w:rsid w:val="00F014B1"/>
    <w:rsid w:val="00F20F41"/>
    <w:rsid w:val="00F2501F"/>
    <w:rsid w:val="00F33B42"/>
    <w:rsid w:val="00F435AF"/>
    <w:rsid w:val="00F74C08"/>
    <w:rsid w:val="00F76DF1"/>
    <w:rsid w:val="00F80260"/>
    <w:rsid w:val="00FB5A43"/>
    <w:rsid w:val="00FF0EC2"/>
    <w:rsid w:val="00FF309A"/>
    <w:rsid w:val="00FF5C7C"/>
    <w:rsid w:val="075B3089"/>
    <w:rsid w:val="086C7DAB"/>
    <w:rsid w:val="11567578"/>
    <w:rsid w:val="136A3F0D"/>
    <w:rsid w:val="14A405FA"/>
    <w:rsid w:val="171E4694"/>
    <w:rsid w:val="1BD878E8"/>
    <w:rsid w:val="1C1D4CD2"/>
    <w:rsid w:val="1D3D4985"/>
    <w:rsid w:val="22F60751"/>
    <w:rsid w:val="23EB7EA7"/>
    <w:rsid w:val="24E66C44"/>
    <w:rsid w:val="26CD1C32"/>
    <w:rsid w:val="29FF683A"/>
    <w:rsid w:val="2A5956AA"/>
    <w:rsid w:val="2F3A58C3"/>
    <w:rsid w:val="30F54260"/>
    <w:rsid w:val="32BD21E5"/>
    <w:rsid w:val="333A027F"/>
    <w:rsid w:val="35734E08"/>
    <w:rsid w:val="37EC66E0"/>
    <w:rsid w:val="39AF3167"/>
    <w:rsid w:val="3FBB5EC6"/>
    <w:rsid w:val="49E07976"/>
    <w:rsid w:val="4AED16BC"/>
    <w:rsid w:val="4B9E1324"/>
    <w:rsid w:val="4C21470E"/>
    <w:rsid w:val="4C5B7215"/>
    <w:rsid w:val="4C8B776A"/>
    <w:rsid w:val="50901457"/>
    <w:rsid w:val="52E548E8"/>
    <w:rsid w:val="55AF2380"/>
    <w:rsid w:val="56332FB1"/>
    <w:rsid w:val="565B134B"/>
    <w:rsid w:val="56E82583"/>
    <w:rsid w:val="5AB4109F"/>
    <w:rsid w:val="5AE1122D"/>
    <w:rsid w:val="61357C46"/>
    <w:rsid w:val="62CC63A3"/>
    <w:rsid w:val="650A31C0"/>
    <w:rsid w:val="759533D3"/>
    <w:rsid w:val="7A3B348B"/>
    <w:rsid w:val="7D6513F2"/>
    <w:rsid w:val="7DD9575B"/>
    <w:rsid w:val="7FAC5A3A"/>
    <w:rsid w:val="7FD0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unhideWhenUsed/>
    <w:qFormat/>
    <w:uiPriority w:val="99"/>
    <w:pPr>
      <w:jc w:val="left"/>
    </w:pPr>
  </w:style>
  <w:style w:type="paragraph" w:styleId="4">
    <w:name w:val="Balloon Text"/>
    <w:basedOn w:val="1"/>
    <w:link w:val="20"/>
    <w:semiHidden/>
    <w:unhideWhenUsed/>
    <w:qFormat/>
    <w:uiPriority w:val="99"/>
    <w:rPr>
      <w:rFonts w:ascii="Lucida Grande" w:hAnsi="Lucida Grande" w:cs="Lucida Grande"/>
      <w:sz w:val="18"/>
      <w:szCs w:val="18"/>
    </w:rPr>
  </w:style>
  <w:style w:type="paragraph" w:styleId="5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5">
    <w:name w:val="Heading 1 Char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6">
    <w:name w:val="EndNote Bibliography Title"/>
    <w:basedOn w:val="1"/>
    <w:qFormat/>
    <w:uiPriority w:val="0"/>
    <w:pPr>
      <w:jc w:val="center"/>
    </w:pPr>
    <w:rPr>
      <w:rFonts w:ascii="Cambria" w:hAnsi="Cambria"/>
    </w:rPr>
  </w:style>
  <w:style w:type="paragraph" w:customStyle="1" w:styleId="17">
    <w:name w:val="EndNote Bibliography"/>
    <w:basedOn w:val="1"/>
    <w:qFormat/>
    <w:uiPriority w:val="0"/>
    <w:rPr>
      <w:rFonts w:ascii="Cambria" w:hAnsi="Cambria"/>
    </w:rPr>
  </w:style>
  <w:style w:type="character" w:customStyle="1" w:styleId="18">
    <w:name w:val="Comment Text Char"/>
    <w:basedOn w:val="10"/>
    <w:link w:val="3"/>
    <w:qFormat/>
    <w:uiPriority w:val="99"/>
  </w:style>
  <w:style w:type="character" w:customStyle="1" w:styleId="19">
    <w:name w:val="Comment Subject Char"/>
    <w:basedOn w:val="18"/>
    <w:link w:val="7"/>
    <w:semiHidden/>
    <w:qFormat/>
    <w:uiPriority w:val="99"/>
    <w:rPr>
      <w:b/>
      <w:bCs/>
    </w:rPr>
  </w:style>
  <w:style w:type="character" w:customStyle="1" w:styleId="20">
    <w:name w:val="Balloon Text Char"/>
    <w:basedOn w:val="10"/>
    <w:link w:val="4"/>
    <w:semiHidden/>
    <w:qFormat/>
    <w:uiPriority w:val="99"/>
    <w:rPr>
      <w:rFonts w:ascii="Lucida Grande" w:hAnsi="Lucida Grande" w:cs="Lucida Grande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A0"/>
    <w:qFormat/>
    <w:uiPriority w:val="99"/>
    <w:rPr>
      <w:rFonts w:cs="Palatino"/>
      <w:color w:val="000000"/>
      <w:sz w:val="20"/>
      <w:szCs w:val="20"/>
    </w:rPr>
  </w:style>
  <w:style w:type="paragraph" w:customStyle="1" w:styleId="23">
    <w:name w:val="Default"/>
    <w:qFormat/>
    <w:uiPriority w:val="0"/>
    <w:pPr>
      <w:autoSpaceDE w:val="0"/>
      <w:autoSpaceDN w:val="0"/>
      <w:adjustRightInd w:val="0"/>
    </w:pPr>
    <w:rPr>
      <w:rFonts w:ascii="TimesNewRomanPS" w:hAnsi="TimesNewRomanPS" w:cs="TimesNewRomanPS" w:eastAsiaTheme="minorEastAsia"/>
      <w:color w:val="000000"/>
      <w:sz w:val="24"/>
      <w:szCs w:val="24"/>
      <w:lang w:val="en-US" w:eastAsia="zh-CN" w:bidi="ar-SA"/>
    </w:rPr>
  </w:style>
  <w:style w:type="character" w:customStyle="1" w:styleId="24">
    <w:name w:val="Header Char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Footer Char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26">
    <w:name w:val="Grid Table 4"/>
    <w:basedOn w:val="8"/>
    <w:qFormat/>
    <w:uiPriority w:val="49"/>
    <w:tblPr>
      <w:tblBorders>
        <w:top w:val="single" w:color="D8D8D8" w:themeColor="background1" w:themeShade="D9" w:sz="4" w:space="0"/>
        <w:left w:val="single" w:color="D8D8D8" w:themeColor="background1" w:themeShade="D9" w:sz="4" w:space="0"/>
        <w:bottom w:val="single" w:color="D8D8D8" w:themeColor="background1" w:themeShade="D9" w:sz="4" w:space="0"/>
        <w:right w:val="single" w:color="D8D8D8" w:themeColor="background1" w:themeShade="D9" w:sz="4" w:space="0"/>
        <w:insideH w:val="single" w:color="D8D8D8" w:themeColor="background1" w:themeShade="D9" w:sz="4" w:space="0"/>
        <w:insideV w:val="single" w:color="D8D8D8" w:themeColor="background1" w:themeShade="D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7">
    <w:name w:val="List Table 1 Light"/>
    <w:basedOn w:val="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8">
    <w:name w:val="Plain Table 1"/>
    <w:basedOn w:val="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6D6E4-DE58-4CC3-9239-4F7302466E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2082</Words>
  <Characters>11872</Characters>
  <Lines>98</Lines>
  <Paragraphs>27</Paragraphs>
  <TotalTime>2</TotalTime>
  <ScaleCrop>false</ScaleCrop>
  <LinksUpToDate>false</LinksUpToDate>
  <CharactersWithSpaces>13927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2023-10-12T12:27:00Z</dcterms:created>
  <dc:creator>Li Honghe</dc:creator>
  <cp:lastModifiedBy>李鸿鹤</cp:lastModifiedBy>
  <dcterms:modified xsi:type="dcterms:W3CDTF">2023-11-14T02:07:24Z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221D5986814B48F8AA8FDB3B9A1219DD_13</vt:lpwstr>
  </property>
  <property fmtid="{D5CDD505-2E9C-101B-9397-08002B2CF9AE}" pid="4" name="GrammarlyDocumentId">
    <vt:lpwstr>58f78306c7fff6486a48fb44bf10e3000bae914d9b13f04325bed7a3358254a6</vt:lpwstr>
  </property>
</Properties>
</file>