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Times New Roman" w:hAnsi="Times New Roman" w:eastAsia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4"/>
        </w:rPr>
        <w:t>Appendix 7</w:t>
      </w:r>
      <w:r>
        <w:rPr>
          <w:rFonts w:hint="default" w:ascii="Times New Roman" w:hAnsi="Times New Roman" w:eastAsia="Times New Roman" w:cs="Times New Roman"/>
          <w:b/>
          <w:sz w:val="22"/>
          <w:szCs w:val="24"/>
        </w:rPr>
        <w:t xml:space="preserve">   </w:t>
      </w:r>
      <w:r>
        <w:rPr>
          <w:rFonts w:hint="default" w:ascii="Times New Roman" w:hAnsi="Times New Roman" w:eastAsia="Times New Roman" w:cs="Times New Roman"/>
          <w:b w:val="0"/>
          <w:bCs/>
          <w:sz w:val="22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</w:rPr>
        <w:t>Results of Pilot study of the Short Version China Medical Professionalism Inventory (CMPI), with Mean Score of Each Item by Domain, 2018 (n = 803 physicians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vertAlign w:val="superscript"/>
        </w:rPr>
        <w:t>$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</w:rPr>
        <w:t>)</w:t>
      </w:r>
    </w:p>
    <w:p>
      <w:pPr>
        <w:ind w:left="-630"/>
        <w:jc w:val="left"/>
        <w:rPr>
          <w:rFonts w:hint="default" w:ascii="Times New Roman" w:hAnsi="Times New Roman" w:eastAsia="Times New Roman" w:cs="Times New Roman"/>
          <w:b w:val="0"/>
          <w:bCs/>
          <w:sz w:val="24"/>
          <w:szCs w:val="24"/>
        </w:rPr>
      </w:pPr>
    </w:p>
    <w:tbl>
      <w:tblPr>
        <w:tblStyle w:val="31"/>
        <w:tblW w:w="0" w:type="auto"/>
        <w:tblInd w:w="10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616"/>
        <w:gridCol w:w="8957"/>
        <w:gridCol w:w="693"/>
        <w:gridCol w:w="5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4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Domain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†</w:t>
            </w:r>
          </w:p>
        </w:tc>
        <w:tc>
          <w:tcPr>
            <w:tcW w:w="6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No.</w:t>
            </w: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895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Item</w:t>
            </w:r>
          </w:p>
        </w:tc>
        <w:tc>
          <w:tcPr>
            <w:tcW w:w="69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ind w:right="-12"/>
              <w:jc w:val="righ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56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righ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restart"/>
            <w:tcBorders>
              <w:top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heading=h.gjdgxs" w:colFirst="0" w:colLast="0"/>
            <w:bookmarkEnd w:id="0"/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Respect, Compassion, and Communication</w:t>
            </w:r>
          </w:p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(RCC)</w:t>
            </w:r>
          </w:p>
        </w:tc>
        <w:tc>
          <w:tcPr>
            <w:tcW w:w="61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5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Presents professional opinions to the patient in a way the patient can understand.</w:t>
            </w:r>
          </w:p>
        </w:tc>
        <w:tc>
          <w:tcPr>
            <w:tcW w:w="6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4.38</w:t>
            </w:r>
          </w:p>
        </w:tc>
        <w:tc>
          <w:tcPr>
            <w:tcW w:w="5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Explains to the patient what they need to know about their problems, how and why they occurred, and what to expect next.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4.40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Demonstrates respect for patient autonomy and their informed decisions.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4.40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Discusses options with patients, asks their opinions, offers choices, and lets them decide what to do before making decisions.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4.42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Follows the patient’s preference to accept or refuse any clinical treatment.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4.42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Maintains a positive rapport with the whole healthcare team and provides emotional support for colleagues.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4.45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Resolves interdisciplinary conflicts in a collegial and respectful manner.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4.42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restart"/>
            <w:shd w:val="clear" w:color="auto" w:fill="auto"/>
          </w:tcPr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Integrity</w:t>
            </w:r>
          </w:p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(Int)</w:t>
            </w: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Avoids discussing and revealing confidential patient information in public.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4.46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Maintains patient/physician relationships that do not exploit personal financial gain, privacy, or sexual advantages.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4.49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Avoids conducting non-scientific or unethical research supported by commercial sponsorship.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4.52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Does not give patients false hope and fully explains treatment risks to them.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4.50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Provides appropriate and clear information to colleagues for follow-up patient care.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4.50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restart"/>
            <w:shd w:val="clear" w:color="auto" w:fill="auto"/>
          </w:tcPr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Excellence</w:t>
            </w:r>
          </w:p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(Exc)</w:t>
            </w: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Applies new clinical practice guidelines into patient care actively.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4.42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Acknowledges the meaning and relative value of scientific evidence in decision-making.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4.41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Consults other medical colleagues to manage a situation that is beyond one’s ability.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4.45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Shares experience, skills, and knowledge with junior colleagues.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4.43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restart"/>
            <w:tcBorders>
              <w:bottom w:val="single" w:color="A6A6A6" w:sz="12" w:space="0"/>
            </w:tcBorders>
            <w:shd w:val="clear" w:color="auto" w:fill="auto"/>
          </w:tcPr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Responsibility</w:t>
            </w:r>
          </w:p>
          <w:p>
            <w:pPr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(Res)</w:t>
            </w: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Focuses on the risk factors that may threaten the safety of the patient and actively provides early warning and improvement suggestions to the relevant authority.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4.39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tcBorders>
              <w:bottom w:val="single" w:color="A6A6A6" w:sz="12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Does not provide unnecessary or excessive testing or medical treatment.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4.47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tcBorders>
              <w:bottom w:val="single" w:color="A6A6A6" w:sz="12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Ensures that the patient understands the content and meaning of informed consent correctly and fully.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4.46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40" w:type="dxa"/>
            <w:vMerge w:val="continue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left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957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Distinguishes between accepted treatment and experimental activities and abides by ethical standards.</w:t>
            </w:r>
          </w:p>
        </w:tc>
        <w:tc>
          <w:tcPr>
            <w:tcW w:w="693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4.48</w:t>
            </w:r>
          </w:p>
        </w:tc>
        <w:tc>
          <w:tcPr>
            <w:tcW w:w="566" w:type="dxa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vertAlign w:val="superscript"/>
        </w:rPr>
        <w:t>$</w:t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 Note: 955 clinicians completed the survey. We removed 152 surveys (15.9%) with missing data and analyzed 803 responses for CFA modelling.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vertAlign w:val="superscript"/>
        </w:rPr>
        <w:t xml:space="preserve">* </w:t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Item numbers correspond to the 58-item CMPI Version 2, the first of three pilot studies (listed in Appendix 1).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sz w:val="20"/>
          <w:szCs w:val="20"/>
          <w:vertAlign w:val="superscript"/>
        </w:rPr>
        <w:t xml:space="preserve">† </w:t>
      </w:r>
      <w:r>
        <w:rPr>
          <w:rFonts w:hint="default" w:ascii="Times New Roman" w:hAnsi="Times New Roman" w:eastAsia="Times New Roman" w:cs="Times New Roman"/>
          <w:sz w:val="20"/>
          <w:szCs w:val="20"/>
        </w:rPr>
        <w:t>Items in each domain are listed in the order presented in Figure 2, the confirmatory factor analysis (CFA) of the 20-item Short Version CMPI. For example, Respect Compassion, and Communication (RCC) item number 3 in this table corresponds to RCC 1 in Figure 2, item number 6 here to RCC 2, etc.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sz w:val="20"/>
          <w:szCs w:val="20"/>
        </w:rPr>
        <w:t>Abbreviations: SD indicates standard deviation.</w:t>
      </w:r>
    </w:p>
    <w:p>
      <w:pPr>
        <w:ind w:left="-630" w:right="-720"/>
        <w:jc w:val="left"/>
        <w:rPr>
          <w:rFonts w:ascii="Times New Roman" w:hAnsi="Times New Roman" w:eastAsia="Times New Roman" w:cs="Times New Roman"/>
          <w:sz w:val="20"/>
          <w:szCs w:val="20"/>
        </w:rPr>
      </w:pPr>
      <w:bookmarkStart w:id="1" w:name="_GoBack"/>
      <w:bookmarkEnd w:id="1"/>
    </w:p>
    <w:sectPr>
      <w:pgSz w:w="15840" w:h="12240" w:orient="landscape"/>
      <w:pgMar w:top="720" w:right="1440" w:bottom="720" w:left="1440" w:header="851" w:footer="992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NzI5M2YwMWU0YjY1OGQ0NDJjOTU1NTdjMjUzYjgifQ=="/>
  </w:docVars>
  <w:rsids>
    <w:rsidRoot w:val="0000242F"/>
    <w:rsid w:val="0000242F"/>
    <w:rsid w:val="00053B05"/>
    <w:rsid w:val="00061D35"/>
    <w:rsid w:val="00081E56"/>
    <w:rsid w:val="00087C6A"/>
    <w:rsid w:val="00095A7C"/>
    <w:rsid w:val="000C55BD"/>
    <w:rsid w:val="000F7D0D"/>
    <w:rsid w:val="001032E5"/>
    <w:rsid w:val="00146BC3"/>
    <w:rsid w:val="00165722"/>
    <w:rsid w:val="00176566"/>
    <w:rsid w:val="00177F1C"/>
    <w:rsid w:val="001871D0"/>
    <w:rsid w:val="00197DF5"/>
    <w:rsid w:val="001A242D"/>
    <w:rsid w:val="001D1CA2"/>
    <w:rsid w:val="001E6D1F"/>
    <w:rsid w:val="002215AD"/>
    <w:rsid w:val="002365E8"/>
    <w:rsid w:val="00264F98"/>
    <w:rsid w:val="002659F9"/>
    <w:rsid w:val="002A1F78"/>
    <w:rsid w:val="002B4878"/>
    <w:rsid w:val="002D24D5"/>
    <w:rsid w:val="003147D6"/>
    <w:rsid w:val="00392922"/>
    <w:rsid w:val="003A4718"/>
    <w:rsid w:val="003B2108"/>
    <w:rsid w:val="003E537D"/>
    <w:rsid w:val="003E5552"/>
    <w:rsid w:val="003F689C"/>
    <w:rsid w:val="003F7155"/>
    <w:rsid w:val="0040362B"/>
    <w:rsid w:val="00406529"/>
    <w:rsid w:val="00413157"/>
    <w:rsid w:val="0049405E"/>
    <w:rsid w:val="004A11C6"/>
    <w:rsid w:val="004C385F"/>
    <w:rsid w:val="004E1B38"/>
    <w:rsid w:val="0054424C"/>
    <w:rsid w:val="005A5360"/>
    <w:rsid w:val="005C4683"/>
    <w:rsid w:val="005E5EF4"/>
    <w:rsid w:val="005E6B32"/>
    <w:rsid w:val="006048DC"/>
    <w:rsid w:val="006168BB"/>
    <w:rsid w:val="0062367A"/>
    <w:rsid w:val="00652327"/>
    <w:rsid w:val="00655617"/>
    <w:rsid w:val="00660719"/>
    <w:rsid w:val="00681222"/>
    <w:rsid w:val="006E3B37"/>
    <w:rsid w:val="00700B1E"/>
    <w:rsid w:val="00732223"/>
    <w:rsid w:val="00745B39"/>
    <w:rsid w:val="00761B59"/>
    <w:rsid w:val="007700E2"/>
    <w:rsid w:val="00777675"/>
    <w:rsid w:val="00786C57"/>
    <w:rsid w:val="007A3111"/>
    <w:rsid w:val="007B1672"/>
    <w:rsid w:val="007C0EBF"/>
    <w:rsid w:val="007E1D75"/>
    <w:rsid w:val="007E488B"/>
    <w:rsid w:val="007F3221"/>
    <w:rsid w:val="007F38C7"/>
    <w:rsid w:val="00854798"/>
    <w:rsid w:val="00874981"/>
    <w:rsid w:val="00877C7A"/>
    <w:rsid w:val="00882C62"/>
    <w:rsid w:val="008A5780"/>
    <w:rsid w:val="008A5CFA"/>
    <w:rsid w:val="008A74E7"/>
    <w:rsid w:val="008B74AF"/>
    <w:rsid w:val="008B7604"/>
    <w:rsid w:val="008D6E27"/>
    <w:rsid w:val="00940048"/>
    <w:rsid w:val="00981CA8"/>
    <w:rsid w:val="009A43AC"/>
    <w:rsid w:val="009C6BF3"/>
    <w:rsid w:val="009D0EB6"/>
    <w:rsid w:val="00A2104E"/>
    <w:rsid w:val="00A22374"/>
    <w:rsid w:val="00A37475"/>
    <w:rsid w:val="00A41B56"/>
    <w:rsid w:val="00A60F29"/>
    <w:rsid w:val="00A848D5"/>
    <w:rsid w:val="00A90A4B"/>
    <w:rsid w:val="00A931D0"/>
    <w:rsid w:val="00AA005D"/>
    <w:rsid w:val="00AA5C3B"/>
    <w:rsid w:val="00AD1A66"/>
    <w:rsid w:val="00AE2AE3"/>
    <w:rsid w:val="00B02DC1"/>
    <w:rsid w:val="00B118CC"/>
    <w:rsid w:val="00B22870"/>
    <w:rsid w:val="00B538F0"/>
    <w:rsid w:val="00B608EC"/>
    <w:rsid w:val="00B75AEB"/>
    <w:rsid w:val="00B82B5C"/>
    <w:rsid w:val="00BA0FBC"/>
    <w:rsid w:val="00BB00FB"/>
    <w:rsid w:val="00BB7AD5"/>
    <w:rsid w:val="00C151D5"/>
    <w:rsid w:val="00C15FA7"/>
    <w:rsid w:val="00C2642A"/>
    <w:rsid w:val="00C36B16"/>
    <w:rsid w:val="00C45B28"/>
    <w:rsid w:val="00C64294"/>
    <w:rsid w:val="00C714BC"/>
    <w:rsid w:val="00C7791F"/>
    <w:rsid w:val="00CA0984"/>
    <w:rsid w:val="00CA7581"/>
    <w:rsid w:val="00CC38DF"/>
    <w:rsid w:val="00CD3717"/>
    <w:rsid w:val="00CD738A"/>
    <w:rsid w:val="00D06C07"/>
    <w:rsid w:val="00D33F82"/>
    <w:rsid w:val="00DC5F82"/>
    <w:rsid w:val="00DF5FAC"/>
    <w:rsid w:val="00E30921"/>
    <w:rsid w:val="00E3415B"/>
    <w:rsid w:val="00E44EB2"/>
    <w:rsid w:val="00E67F30"/>
    <w:rsid w:val="00E7102D"/>
    <w:rsid w:val="00E733EA"/>
    <w:rsid w:val="00E75CC8"/>
    <w:rsid w:val="00EA433A"/>
    <w:rsid w:val="00EA4792"/>
    <w:rsid w:val="00EF176A"/>
    <w:rsid w:val="00F2307B"/>
    <w:rsid w:val="00F335C6"/>
    <w:rsid w:val="00F33658"/>
    <w:rsid w:val="00F511A8"/>
    <w:rsid w:val="00F57CDF"/>
    <w:rsid w:val="00F867A3"/>
    <w:rsid w:val="00FA450D"/>
    <w:rsid w:val="00FC0DEB"/>
    <w:rsid w:val="00FE1A85"/>
    <w:rsid w:val="16A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paragraph" w:styleId="2">
    <w:name w:val="heading 1"/>
    <w:basedOn w:val="3"/>
    <w:next w:val="3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8">
    <w:name w:val="heading 6"/>
    <w:basedOn w:val="3"/>
    <w:next w:val="3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uiPriority w:val="0"/>
    <w:pPr>
      <w:widowControl w:val="0"/>
      <w:jc w:val="both"/>
    </w:pPr>
    <w:rPr>
      <w:rFonts w:ascii="等线" w:hAnsi="等线" w:eastAsia="等线" w:cs="等线"/>
      <w:sz w:val="21"/>
      <w:szCs w:val="21"/>
      <w:lang w:val="en-US" w:eastAsia="zh-CN" w:bidi="ar-SA"/>
    </w:rPr>
  </w:style>
  <w:style w:type="paragraph" w:styleId="9">
    <w:name w:val="annotation text"/>
    <w:basedOn w:val="1"/>
    <w:link w:val="24"/>
    <w:semiHidden/>
    <w:unhideWhenUsed/>
    <w:uiPriority w:val="99"/>
    <w:pPr>
      <w:jc w:val="left"/>
    </w:pPr>
  </w:style>
  <w:style w:type="paragraph" w:styleId="10">
    <w:name w:val="Balloon Text"/>
    <w:basedOn w:val="1"/>
    <w:link w:val="26"/>
    <w:semiHidden/>
    <w:unhideWhenUsed/>
    <w:uiPriority w:val="99"/>
    <w:rPr>
      <w:sz w:val="18"/>
      <w:szCs w:val="18"/>
    </w:rPr>
  </w:style>
  <w:style w:type="paragraph" w:styleId="11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3"/>
    <w:next w:val="3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3"/>
    <w:next w:val="3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5">
    <w:name w:val="annotation subject"/>
    <w:basedOn w:val="9"/>
    <w:next w:val="9"/>
    <w:link w:val="25"/>
    <w:semiHidden/>
    <w:unhideWhenUsed/>
    <w:uiPriority w:val="99"/>
    <w:rPr>
      <w:b/>
      <w:bCs/>
    </w:rPr>
  </w:style>
  <w:style w:type="table" w:styleId="17">
    <w:name w:val="Table Grid"/>
    <w:basedOn w:val="1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Emphasis"/>
    <w:qFormat/>
    <w:uiPriority w:val="0"/>
    <w:rPr>
      <w:rFonts w:ascii="Times New Roman" w:hAnsi="Times New Roman" w:eastAsia="黑体" w:cs="Times New Roman"/>
      <w:sz w:val="24"/>
      <w:szCs w:val="24"/>
    </w:rPr>
  </w:style>
  <w:style w:type="character" w:styleId="20">
    <w:name w:val="annotation reference"/>
    <w:basedOn w:val="18"/>
    <w:semiHidden/>
    <w:unhideWhenUsed/>
    <w:uiPriority w:val="99"/>
    <w:rPr>
      <w:sz w:val="21"/>
      <w:szCs w:val="21"/>
    </w:rPr>
  </w:style>
  <w:style w:type="table" w:customStyle="1" w:styleId="21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Header Char"/>
    <w:basedOn w:val="18"/>
    <w:link w:val="12"/>
    <w:uiPriority w:val="99"/>
    <w:rPr>
      <w:sz w:val="18"/>
      <w:szCs w:val="18"/>
    </w:rPr>
  </w:style>
  <w:style w:type="character" w:customStyle="1" w:styleId="23">
    <w:name w:val="Footer Char"/>
    <w:basedOn w:val="18"/>
    <w:link w:val="11"/>
    <w:uiPriority w:val="99"/>
    <w:rPr>
      <w:sz w:val="18"/>
      <w:szCs w:val="18"/>
    </w:rPr>
  </w:style>
  <w:style w:type="character" w:customStyle="1" w:styleId="24">
    <w:name w:val="Comment Text Char"/>
    <w:basedOn w:val="18"/>
    <w:link w:val="9"/>
    <w:semiHidden/>
    <w:uiPriority w:val="99"/>
  </w:style>
  <w:style w:type="character" w:customStyle="1" w:styleId="25">
    <w:name w:val="Comment Subject Char"/>
    <w:basedOn w:val="24"/>
    <w:link w:val="15"/>
    <w:semiHidden/>
    <w:uiPriority w:val="99"/>
    <w:rPr>
      <w:b/>
      <w:bCs/>
    </w:rPr>
  </w:style>
  <w:style w:type="character" w:customStyle="1" w:styleId="26">
    <w:name w:val="Balloon Text Char"/>
    <w:basedOn w:val="18"/>
    <w:link w:val="10"/>
    <w:semiHidden/>
    <w:uiPriority w:val="99"/>
    <w:rPr>
      <w:sz w:val="18"/>
      <w:szCs w:val="18"/>
    </w:rPr>
  </w:style>
  <w:style w:type="table" w:customStyle="1" w:styleId="27">
    <w:name w:val="_Style 26"/>
    <w:basedOn w:val="21"/>
    <w:uiPriority w:val="0"/>
    <w:tblPr>
      <w:tblCellMar>
        <w:left w:w="108" w:type="dxa"/>
        <w:right w:w="108" w:type="dxa"/>
      </w:tblCellMar>
    </w:tblPr>
  </w:style>
  <w:style w:type="table" w:customStyle="1" w:styleId="28">
    <w:name w:val="_Style 27"/>
    <w:basedOn w:val="21"/>
    <w:uiPriority w:val="0"/>
    <w:tblPr>
      <w:tblCellMar>
        <w:left w:w="108" w:type="dxa"/>
        <w:right w:w="108" w:type="dxa"/>
      </w:tblCellMar>
    </w:tblPr>
  </w:style>
  <w:style w:type="paragraph" w:customStyle="1" w:styleId="29">
    <w:name w:val="Revision"/>
    <w:hidden/>
    <w:semiHidden/>
    <w:uiPriority w:val="99"/>
    <w:pPr>
      <w:widowControl/>
      <w:jc w:val="left"/>
    </w:pPr>
    <w:rPr>
      <w:rFonts w:ascii="等线" w:hAnsi="等线" w:eastAsia="等线" w:cs="等线"/>
      <w:sz w:val="21"/>
      <w:szCs w:val="21"/>
      <w:lang w:val="en-US" w:eastAsia="zh-CN" w:bidi="ar-SA"/>
    </w:rPr>
  </w:style>
  <w:style w:type="table" w:customStyle="1" w:styleId="30">
    <w:name w:val="Grid Table Light"/>
    <w:basedOn w:val="16"/>
    <w:uiPriority w:val="99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1">
    <w:name w:val="Plain Table 1"/>
    <w:basedOn w:val="16"/>
    <w:qFormat/>
    <w:uiPriority w:val="99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styleId="3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7EzR1OawmNAzkwQpGD44rGpvOA==">AMUW2mXuPJawK8rux/pE6WHq7mjpIXtmDOcf1/GwfW7Yrj5VnKiPNmGqN5WMLPDLehAIpWQkMjQLczESXBICCrYaC/jN9c/z9ahOu6JGrt9CwbEcGMsYcDWGV9G1q0ky1+BKrURPEVsOCPYTPrzrCqxMH9P/EnyxRA==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455</Words>
  <Characters>2600</Characters>
  <Lines>21</Lines>
  <Paragraphs>6</Paragraphs>
  <TotalTime>1</TotalTime>
  <ScaleCrop>false</ScaleCrop>
  <LinksUpToDate>false</LinksUpToDate>
  <CharactersWithSpaces>3049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2023-10-09T12:42:00Z</dcterms:created>
  <dc:creator>Windows 用户</dc:creator>
  <cp:lastModifiedBy>李鸿鹤</cp:lastModifiedBy>
  <dcterms:modified xsi:type="dcterms:W3CDTF">2023-11-14T02:04:41Z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2A1AF24F59654400A27E1E9830197451_12</vt:lpwstr>
  </property>
</Properties>
</file>