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rPr>
          <w:rFonts w:hint="default" w:ascii="Times New Roman" w:hAnsi="Times New Roman" w:cs="Times New Roman"/>
          <w:sz w:val="28"/>
          <w:szCs w:val="28"/>
        </w:rPr>
      </w:pPr>
      <w:r>
        <w:rPr>
          <w:rFonts w:hint="default" w:ascii="Times New Roman" w:hAnsi="Times New Roman" w:eastAsia="Times New Roman" w:cs="Times New Roman"/>
          <w:b/>
          <w:color w:val="auto"/>
          <w:sz w:val="28"/>
          <w:szCs w:val="28"/>
          <w:lang w:eastAsia="zh-CN"/>
        </w:rPr>
        <w:t>A</w:t>
      </w:r>
      <w:r>
        <w:rPr>
          <w:rFonts w:hint="default" w:ascii="Times New Roman" w:hAnsi="Times New Roman" w:eastAsia="Times New Roman" w:cs="Times New Roman"/>
          <w:b/>
          <w:color w:val="auto"/>
          <w:sz w:val="28"/>
          <w:szCs w:val="28"/>
          <w:lang w:val="en-US" w:eastAsia="zh-CN"/>
        </w:rPr>
        <w:t>ppendis</w:t>
      </w:r>
      <w:r>
        <w:rPr>
          <w:rFonts w:hint="default" w:ascii="Times New Roman" w:hAnsi="Times New Roman" w:eastAsia="Times New Roman" w:cs="Times New Roman"/>
          <w:b/>
          <w:color w:val="auto"/>
          <w:sz w:val="28"/>
          <w:szCs w:val="28"/>
          <w:lang w:eastAsia="zh-CN"/>
        </w:rPr>
        <w:t xml:space="preserve"> 1</w:t>
      </w:r>
      <w:r>
        <w:rPr>
          <w:rFonts w:hint="default" w:ascii="Times New Roman" w:hAnsi="Times New Roman" w:cs="Times New Roman"/>
          <w:b/>
          <w:bCs/>
          <w:sz w:val="28"/>
          <w:szCs w:val="28"/>
        </w:rPr>
        <w:t xml:space="preserve"> </w:t>
      </w:r>
      <w:r>
        <w:rPr>
          <w:rFonts w:hint="default" w:ascii="Times New Roman" w:hAnsi="Times New Roman" w:eastAsia="Times New Roman" w:cs="Times New Roman"/>
          <w:kern w:val="2"/>
          <w:sz w:val="28"/>
          <w:szCs w:val="28"/>
          <w:lang w:eastAsia="zh-CN"/>
        </w:rPr>
        <w:t>Explanations of Statistical Terms</w:t>
      </w:r>
    </w:p>
    <w:p>
      <w:pPr>
        <w:rPr>
          <w:rFonts w:cs="Times New Roman"/>
          <w:szCs w:val="24"/>
        </w:rPr>
      </w:pPr>
    </w:p>
    <w:p>
      <w:pPr>
        <w:rPr>
          <w:rFonts w:eastAsia="Times New Roman" w:cs="Times New Roman"/>
          <w:sz w:val="20"/>
          <w:szCs w:val="20"/>
        </w:rPr>
      </w:pPr>
      <w:r>
        <w:rPr>
          <w:rFonts w:eastAsia="Times New Roman" w:cs="Times New Roman"/>
          <w:b/>
          <w:bCs/>
          <w:sz w:val="20"/>
          <w:szCs w:val="20"/>
        </w:rPr>
        <w:t>Term:</w:t>
      </w:r>
      <w:r>
        <w:rPr>
          <w:rFonts w:eastAsia="Times New Roman" w:cs="Times New Roman"/>
          <w:sz w:val="20"/>
          <w:szCs w:val="20"/>
        </w:rPr>
        <w:t xml:space="preserve"> Bartlett Test of Sphericity</w:t>
      </w:r>
    </w:p>
    <w:p>
      <w:pPr>
        <w:rPr>
          <w:rFonts w:eastAsia="Times New Roman" w:cs="Times New Roman"/>
          <w:sz w:val="20"/>
          <w:szCs w:val="20"/>
        </w:rPr>
      </w:pPr>
      <w:r>
        <w:rPr>
          <w:rFonts w:eastAsia="Times New Roman" w:cs="Times New Roman"/>
          <w:b/>
          <w:bCs/>
          <w:sz w:val="20"/>
          <w:szCs w:val="20"/>
        </w:rPr>
        <w:t>Purpose:</w:t>
      </w:r>
      <w:r>
        <w:rPr>
          <w:rFonts w:eastAsia="Times New Roman" w:cs="Times New Roman"/>
          <w:sz w:val="20"/>
          <w:szCs w:val="20"/>
        </w:rPr>
        <w:t xml:space="preserve"> Specifically, this calculation provides the probability that the correlation matrix has significant correlations among at least some variables in a dataset—a prerequisite for factor analysis. Under certain conditions with redundancy between variables, one can create linear combinations that can be summarized within “factors” (homogeneous, distinct groupings). The Bartlett Test of Sphericity</w:t>
      </w:r>
      <w:r>
        <w:rPr>
          <w:rFonts w:eastAsia="Times New Roman" w:cs="Times New Roman"/>
          <w:sz w:val="20"/>
          <w:szCs w:val="20"/>
          <w:lang w:eastAsia="zh-CN"/>
        </w:rPr>
        <w:t xml:space="preserve"> measures</w:t>
      </w:r>
      <w:r>
        <w:rPr>
          <w:rFonts w:eastAsia="Times New Roman" w:cs="Times New Roman"/>
          <w:sz w:val="20"/>
          <w:szCs w:val="20"/>
        </w:rPr>
        <w:t xml:space="preserve"> whether variables are independent; if yes, the data can be used in factor analysis.</w:t>
      </w:r>
    </w:p>
    <w:p>
      <w:pPr>
        <w:rPr>
          <w:rFonts w:eastAsia="Times New Roman" w:cs="Times New Roman"/>
          <w:sz w:val="20"/>
          <w:szCs w:val="20"/>
        </w:rPr>
      </w:pPr>
      <w:r>
        <w:rPr>
          <w:rFonts w:eastAsia="Times New Roman" w:cs="Times New Roman"/>
          <w:b/>
          <w:bCs/>
          <w:sz w:val="20"/>
          <w:szCs w:val="20"/>
        </w:rPr>
        <w:t>Standard:</w:t>
      </w:r>
      <w:r>
        <w:rPr>
          <w:rFonts w:eastAsia="Times New Roman" w:cs="Times New Roman"/>
          <w:sz w:val="20"/>
          <w:szCs w:val="20"/>
        </w:rPr>
        <w:t xml:space="preserve"> The </w:t>
      </w:r>
      <w:r>
        <w:rPr>
          <w:rFonts w:eastAsia="Times New Roman" w:cs="Times New Roman"/>
          <w:i/>
          <w:sz w:val="20"/>
          <w:szCs w:val="20"/>
        </w:rPr>
        <w:t>P</w:t>
      </w:r>
      <w:r>
        <w:rPr>
          <w:rFonts w:eastAsia="Times New Roman" w:cs="Times New Roman"/>
          <w:sz w:val="20"/>
          <w:szCs w:val="20"/>
        </w:rPr>
        <w:t>-value of Bartlett Test of Sphericity</w:t>
      </w:r>
      <w:r>
        <w:rPr>
          <w:rFonts w:cs="Times New Roman"/>
          <w:sz w:val="20"/>
          <w:szCs w:val="20"/>
          <w:shd w:val="clear" w:color="auto" w:fill="FFFFFF"/>
          <w:lang w:eastAsia="zh-CN"/>
        </w:rPr>
        <w:t xml:space="preserve"> &lt;0.05 </w:t>
      </w:r>
      <w:r>
        <w:rPr>
          <w:rFonts w:eastAsia="Times New Roman" w:cs="Times New Roman"/>
          <w:sz w:val="20"/>
          <w:szCs w:val="20"/>
        </w:rPr>
        <w:t xml:space="preserve">was considered acceptable </w:t>
      </w:r>
      <w:r>
        <w:rPr>
          <w:rFonts w:cs="Times New Roman"/>
          <w:sz w:val="20"/>
          <w:szCs w:val="20"/>
          <w:lang w:eastAsia="zh-CN"/>
        </w:rPr>
        <w:t>in</w:t>
      </w:r>
      <w:r>
        <w:rPr>
          <w:rFonts w:eastAsia="Times New Roman" w:cs="Times New Roman"/>
          <w:sz w:val="20"/>
          <w:szCs w:val="20"/>
        </w:rPr>
        <w:t xml:space="preserve"> this study.</w:t>
      </w:r>
      <w:r>
        <w:rPr>
          <w:rFonts w:cs="Times New Roman"/>
          <w:sz w:val="20"/>
          <w:szCs w:val="20"/>
          <w:shd w:val="clear" w:color="auto" w:fill="FFFFFF"/>
          <w:lang w:eastAsia="zh-CN"/>
        </w:rPr>
        <w:t xml:space="preserve"> </w:t>
      </w:r>
    </w:p>
    <w:p>
      <w:pPr>
        <w:rPr>
          <w:rFonts w:eastAsia="Times New Roman" w:cs="Times New Roman"/>
          <w:b/>
          <w:bCs/>
          <w:sz w:val="20"/>
          <w:szCs w:val="20"/>
        </w:rPr>
      </w:pPr>
    </w:p>
    <w:p>
      <w:pPr>
        <w:rPr>
          <w:rFonts w:cs="Times New Roman"/>
          <w:sz w:val="20"/>
          <w:szCs w:val="20"/>
        </w:rPr>
      </w:pPr>
      <w:r>
        <w:rPr>
          <w:rFonts w:eastAsia="Times New Roman" w:cs="Times New Roman"/>
          <w:b/>
          <w:bCs/>
          <w:sz w:val="20"/>
          <w:szCs w:val="20"/>
        </w:rPr>
        <w:t>Term:</w:t>
      </w:r>
      <w:r>
        <w:rPr>
          <w:rFonts w:eastAsia="Times New Roman" w:cs="Times New Roman"/>
          <w:sz w:val="20"/>
          <w:szCs w:val="20"/>
        </w:rPr>
        <w:t xml:space="preserve"> Chi-square statistic (also written as </w:t>
      </w:r>
      <w:r>
        <w:rPr>
          <w:rFonts w:eastAsia="Times New Roman" w:cs="Times New Roman"/>
          <w:i/>
          <w:sz w:val="20"/>
          <w:szCs w:val="20"/>
        </w:rPr>
        <w:t>χ</w:t>
      </w:r>
      <w:r>
        <w:rPr>
          <w:rFonts w:eastAsia="Times New Roman" w:cs="Times New Roman"/>
          <w:sz w:val="20"/>
          <w:szCs w:val="20"/>
          <w:vertAlign w:val="superscript"/>
        </w:rPr>
        <w:t>2</w:t>
      </w:r>
      <w:r>
        <w:rPr>
          <w:rFonts w:cs="Times New Roman"/>
          <w:sz w:val="20"/>
          <w:szCs w:val="20"/>
          <w:lang w:eastAsia="zh-CN"/>
        </w:rPr>
        <w:t>) as used in confirmatory factor analysis (CFA)</w:t>
      </w:r>
    </w:p>
    <w:p>
      <w:pPr>
        <w:rPr>
          <w:rFonts w:eastAsia="Times New Roman" w:cs="Times New Roman"/>
          <w:sz w:val="20"/>
          <w:szCs w:val="20"/>
        </w:rPr>
      </w:pPr>
      <w:r>
        <w:rPr>
          <w:rFonts w:eastAsia="Times New Roman" w:cs="Times New Roman"/>
          <w:b/>
          <w:bCs/>
          <w:sz w:val="20"/>
          <w:szCs w:val="20"/>
        </w:rPr>
        <w:t>Purpose:</w:t>
      </w:r>
      <w:r>
        <w:rPr>
          <w:rFonts w:eastAsia="Times New Roman" w:cs="Times New Roman"/>
          <w:sz w:val="20"/>
          <w:szCs w:val="20"/>
        </w:rPr>
        <w:t xml:space="preserve"> When used for CFA, the </w:t>
      </w:r>
      <w:r>
        <w:rPr>
          <w:rFonts w:eastAsia="Times New Roman" w:cs="Times New Roman"/>
          <w:i/>
          <w:sz w:val="20"/>
          <w:szCs w:val="20"/>
        </w:rPr>
        <w:t>χ</w:t>
      </w:r>
      <w:r>
        <w:rPr>
          <w:rFonts w:eastAsia="Times New Roman" w:cs="Times New Roman"/>
          <w:sz w:val="20"/>
          <w:szCs w:val="20"/>
          <w:vertAlign w:val="superscript"/>
        </w:rPr>
        <w:t>2</w:t>
      </w:r>
      <w:r>
        <w:rPr>
          <w:rFonts w:eastAsia="Times New Roman" w:cs="Times New Roman"/>
          <w:sz w:val="20"/>
          <w:szCs w:val="20"/>
        </w:rPr>
        <w:t>-value</w:t>
      </w:r>
      <w:r>
        <w:rPr>
          <w:rFonts w:cs="Times New Roman"/>
          <w:color w:val="202124"/>
          <w:sz w:val="20"/>
          <w:szCs w:val="20"/>
          <w:shd w:val="clear" w:color="auto" w:fill="FFFFFF"/>
        </w:rPr>
        <w:t xml:space="preserve"> tests whether the model’s “covariance matrix” (the calculated covariance between each pair of variables in the model) represents the overall covariance.</w:t>
      </w:r>
      <w:r>
        <w:rPr>
          <w:rFonts w:eastAsia="Times New Roman" w:cs="Times New Roman"/>
          <w:sz w:val="20"/>
          <w:szCs w:val="20"/>
        </w:rPr>
        <w:t xml:space="preserve"> This calculation </w:t>
      </w:r>
      <w:r>
        <w:rPr>
          <w:rFonts w:cs="Times New Roman"/>
          <w:sz w:val="20"/>
          <w:szCs w:val="20"/>
          <w:lang w:eastAsia="zh-CN"/>
        </w:rPr>
        <w:t>helps determine whether</w:t>
      </w:r>
      <w:r>
        <w:rPr>
          <w:rFonts w:eastAsia="Times New Roman" w:cs="Times New Roman"/>
          <w:sz w:val="20"/>
          <w:szCs w:val="20"/>
        </w:rPr>
        <w:t xml:space="preserve"> the model adequately represents the data.</w:t>
      </w:r>
    </w:p>
    <w:p>
      <w:pPr>
        <w:rPr>
          <w:rFonts w:eastAsia="Times New Roman" w:cs="Times New Roman"/>
          <w:sz w:val="20"/>
          <w:szCs w:val="20"/>
        </w:rPr>
      </w:pPr>
      <w:r>
        <w:rPr>
          <w:rFonts w:eastAsia="Times New Roman" w:cs="Times New Roman"/>
          <w:b/>
          <w:bCs/>
          <w:sz w:val="20"/>
          <w:szCs w:val="20"/>
        </w:rPr>
        <w:t>Standard:</w:t>
      </w:r>
      <w:r>
        <w:rPr>
          <w:rFonts w:eastAsia="Times New Roman" w:cs="Times New Roman"/>
          <w:sz w:val="20"/>
          <w:szCs w:val="20"/>
        </w:rPr>
        <w:t xml:space="preserve"> We considered </w:t>
      </w:r>
      <w:r>
        <w:rPr>
          <w:rFonts w:eastAsia="Times New Roman" w:cs="Times New Roman"/>
          <w:i/>
          <w:sz w:val="20"/>
          <w:szCs w:val="20"/>
        </w:rPr>
        <w:t>χ</w:t>
      </w:r>
      <w:r>
        <w:rPr>
          <w:rFonts w:eastAsia="Times New Roman" w:cs="Times New Roman"/>
          <w:sz w:val="20"/>
          <w:szCs w:val="20"/>
          <w:vertAlign w:val="superscript"/>
        </w:rPr>
        <w:t>2</w:t>
      </w:r>
      <w:r>
        <w:rPr>
          <w:rFonts w:eastAsia="Times New Roman" w:cs="Times New Roman"/>
          <w:sz w:val="20"/>
          <w:szCs w:val="20"/>
        </w:rPr>
        <w:t xml:space="preserve">-value &lt;5 as acceptable </w:t>
      </w:r>
      <w:r>
        <w:rPr>
          <w:rFonts w:cs="Times New Roman"/>
          <w:sz w:val="20"/>
          <w:szCs w:val="20"/>
          <w:lang w:eastAsia="zh-CN"/>
        </w:rPr>
        <w:t>in</w:t>
      </w:r>
      <w:r>
        <w:rPr>
          <w:rFonts w:eastAsia="Times New Roman" w:cs="Times New Roman"/>
          <w:sz w:val="20"/>
          <w:szCs w:val="20"/>
        </w:rPr>
        <w:t xml:space="preserve"> this study. Note that when calculating </w:t>
      </w:r>
      <w:r>
        <w:rPr>
          <w:rFonts w:eastAsia="Times New Roman" w:cs="Times New Roman"/>
          <w:i/>
          <w:sz w:val="20"/>
          <w:szCs w:val="20"/>
        </w:rPr>
        <w:t>χ</w:t>
      </w:r>
      <w:r>
        <w:rPr>
          <w:rFonts w:eastAsia="Times New Roman" w:cs="Times New Roman"/>
          <w:sz w:val="20"/>
          <w:szCs w:val="20"/>
          <w:vertAlign w:val="superscript"/>
        </w:rPr>
        <w:t>2</w:t>
      </w:r>
      <w:r>
        <w:rPr>
          <w:rFonts w:eastAsia="Times New Roman" w:cs="Times New Roman"/>
          <w:sz w:val="20"/>
          <w:szCs w:val="20"/>
        </w:rPr>
        <w:t xml:space="preserve"> for CFA, a </w:t>
      </w:r>
      <w:r>
        <w:rPr>
          <w:rFonts w:eastAsia="Times New Roman" w:cs="Times New Roman"/>
          <w:i/>
          <w:sz w:val="20"/>
          <w:szCs w:val="20"/>
        </w:rPr>
        <w:t>P</w:t>
      </w:r>
      <w:r>
        <w:rPr>
          <w:rFonts w:eastAsia="Times New Roman" w:cs="Times New Roman"/>
          <w:sz w:val="20"/>
          <w:szCs w:val="20"/>
        </w:rPr>
        <w:t xml:space="preserve">-value &gt;0.05 is considered “significant” suggesting the proposed model represents the data; this standard, however, is affected by sample size. With samples sizes &gt;200 (e.g., as in our study: we sampled 3504 and 803 in our two CFAs), the P-value will nearly always be &gt;0.05 which undermines the utility of using </w:t>
      </w:r>
      <w:r>
        <w:rPr>
          <w:rFonts w:eastAsia="Times New Roman" w:cs="Times New Roman"/>
          <w:i/>
          <w:sz w:val="20"/>
          <w:szCs w:val="20"/>
        </w:rPr>
        <w:t>χ</w:t>
      </w:r>
      <w:r>
        <w:rPr>
          <w:rFonts w:eastAsia="Times New Roman" w:cs="Times New Roman"/>
          <w:sz w:val="20"/>
          <w:szCs w:val="20"/>
          <w:vertAlign w:val="superscript"/>
        </w:rPr>
        <w:t>2</w:t>
      </w:r>
      <w:r>
        <w:rPr>
          <w:rFonts w:eastAsia="Times New Roman" w:cs="Times New Roman"/>
          <w:sz w:val="20"/>
          <w:szCs w:val="20"/>
        </w:rPr>
        <w:t xml:space="preserve"> for CFA. The recommended statistical approach is to use “normed” </w:t>
      </w:r>
      <w:r>
        <w:rPr>
          <w:rFonts w:eastAsia="Times New Roman" w:cs="Times New Roman"/>
          <w:i/>
          <w:sz w:val="20"/>
          <w:szCs w:val="20"/>
        </w:rPr>
        <w:t>χ</w:t>
      </w:r>
      <w:r>
        <w:rPr>
          <w:rFonts w:eastAsia="Times New Roman" w:cs="Times New Roman"/>
          <w:sz w:val="20"/>
          <w:szCs w:val="20"/>
          <w:vertAlign w:val="superscript"/>
        </w:rPr>
        <w:t xml:space="preserve">2 </w:t>
      </w:r>
      <w:r>
        <w:rPr>
          <w:rFonts w:eastAsia="Times New Roman" w:cs="Times New Roman"/>
          <w:sz w:val="20"/>
          <w:szCs w:val="20"/>
        </w:rPr>
        <w:t xml:space="preserve">wherein </w:t>
      </w:r>
      <w:r>
        <w:rPr>
          <w:rFonts w:eastAsia="Times New Roman" w:cs="Times New Roman"/>
          <w:i/>
          <w:sz w:val="20"/>
          <w:szCs w:val="20"/>
        </w:rPr>
        <w:t>P</w:t>
      </w:r>
      <w:r>
        <w:rPr>
          <w:rFonts w:eastAsia="Times New Roman" w:cs="Times New Roman"/>
          <w:sz w:val="20"/>
          <w:szCs w:val="20"/>
        </w:rPr>
        <w:t>&lt;0.05 is acceptable.</w:t>
      </w:r>
    </w:p>
    <w:p>
      <w:pPr>
        <w:rPr>
          <w:rFonts w:eastAsia="Times New Roman" w:cs="Times New Roman"/>
          <w:b/>
          <w:bCs/>
          <w:sz w:val="20"/>
          <w:szCs w:val="20"/>
        </w:rPr>
      </w:pPr>
    </w:p>
    <w:p>
      <w:pPr>
        <w:rPr>
          <w:rFonts w:eastAsia="Times New Roman" w:cs="Times New Roman"/>
          <w:i/>
          <w:sz w:val="20"/>
          <w:szCs w:val="20"/>
        </w:rPr>
      </w:pPr>
      <w:r>
        <w:rPr>
          <w:rFonts w:eastAsia="Times New Roman" w:cs="Times New Roman"/>
          <w:b/>
          <w:bCs/>
          <w:sz w:val="20"/>
          <w:szCs w:val="20"/>
        </w:rPr>
        <w:t>Term:</w:t>
      </w:r>
      <w:r>
        <w:rPr>
          <w:rFonts w:eastAsia="Times New Roman" w:cs="Times New Roman"/>
          <w:sz w:val="20"/>
          <w:szCs w:val="20"/>
        </w:rPr>
        <w:t xml:space="preserve"> Cohen’s </w:t>
      </w:r>
      <w:r>
        <w:rPr>
          <w:rFonts w:eastAsia="Times New Roman" w:cs="Times New Roman"/>
          <w:i/>
          <w:sz w:val="20"/>
          <w:szCs w:val="20"/>
        </w:rPr>
        <w:t>d</w:t>
      </w:r>
    </w:p>
    <w:p>
      <w:pPr>
        <w:rPr>
          <w:rFonts w:eastAsia="Times New Roman" w:cs="Times New Roman"/>
          <w:sz w:val="20"/>
          <w:szCs w:val="20"/>
        </w:rPr>
      </w:pPr>
      <w:r>
        <w:rPr>
          <w:rFonts w:eastAsia="Times New Roman" w:cs="Times New Roman"/>
          <w:b/>
          <w:bCs/>
          <w:sz w:val="20"/>
          <w:szCs w:val="20"/>
        </w:rPr>
        <w:t>Purpose:</w:t>
      </w:r>
      <w:r>
        <w:rPr>
          <w:rFonts w:eastAsia="Times New Roman" w:cs="Times New Roman"/>
          <w:sz w:val="20"/>
          <w:szCs w:val="20"/>
        </w:rPr>
        <w:t xml:space="preserve"> </w:t>
      </w:r>
      <w:r>
        <w:rPr>
          <w:rFonts w:cs="Times New Roman"/>
          <w:sz w:val="20"/>
          <w:szCs w:val="20"/>
          <w:shd w:val="clear" w:color="auto" w:fill="FFFFFF"/>
        </w:rPr>
        <w:t xml:space="preserve">This calculation is a common way to measure effect size. </w:t>
      </w:r>
      <w:r>
        <w:rPr>
          <w:rFonts w:eastAsia="Times New Roman" w:cs="Times New Roman"/>
          <w:sz w:val="20"/>
          <w:szCs w:val="20"/>
        </w:rPr>
        <w:t xml:space="preserve">Cohen’s </w:t>
      </w:r>
      <w:r>
        <w:rPr>
          <w:rFonts w:eastAsia="Times New Roman" w:cs="Times New Roman"/>
          <w:i/>
          <w:iCs/>
          <w:sz w:val="20"/>
          <w:szCs w:val="20"/>
        </w:rPr>
        <w:t>d</w:t>
      </w:r>
      <w:r>
        <w:rPr>
          <w:rFonts w:eastAsia="Times New Roman" w:cs="Times New Roman"/>
          <w:sz w:val="20"/>
          <w:szCs w:val="20"/>
        </w:rPr>
        <w:t xml:space="preserve"> </w:t>
      </w:r>
      <w:r>
        <w:rPr>
          <w:rFonts w:cs="Times New Roman"/>
          <w:sz w:val="20"/>
          <w:szCs w:val="20"/>
          <w:shd w:val="clear" w:color="auto" w:fill="FFFFFF"/>
        </w:rPr>
        <w:t xml:space="preserve">is a standardized index of the strength of association between variables. Cohen’s </w:t>
      </w:r>
      <w:r>
        <w:rPr>
          <w:rFonts w:cs="Times New Roman"/>
          <w:i/>
          <w:iCs/>
          <w:sz w:val="20"/>
          <w:szCs w:val="20"/>
          <w:shd w:val="clear" w:color="auto" w:fill="FFFFFF"/>
        </w:rPr>
        <w:t xml:space="preserve">d </w:t>
      </w:r>
      <w:r>
        <w:rPr>
          <w:rFonts w:cs="Times New Roman"/>
          <w:sz w:val="20"/>
          <w:szCs w:val="20"/>
          <w:shd w:val="clear" w:color="auto" w:fill="FFFFFF"/>
        </w:rPr>
        <w:t xml:space="preserve">is defined as the difference between two groups’ means, divided by their pooled within-group standard deviation; this result, produces a metric expressed in standard deviation units. Effect size indices such as Cohen’s </w:t>
      </w:r>
      <w:r>
        <w:rPr>
          <w:rFonts w:cs="Times New Roman"/>
          <w:i/>
          <w:iCs/>
          <w:sz w:val="20"/>
          <w:szCs w:val="20"/>
          <w:shd w:val="clear" w:color="auto" w:fill="FFFFFF"/>
        </w:rPr>
        <w:t>d</w:t>
      </w:r>
      <w:r>
        <w:rPr>
          <w:rFonts w:cs="Times New Roman"/>
          <w:sz w:val="20"/>
          <w:szCs w:val="20"/>
          <w:shd w:val="clear" w:color="auto" w:fill="FFFFFF"/>
        </w:rPr>
        <w:t xml:space="preserve"> enable researchers to combine and compare results across studies, as is done in meta-analysis. </w:t>
      </w:r>
    </w:p>
    <w:p>
      <w:pPr>
        <w:rPr>
          <w:rFonts w:cs="Times New Roman"/>
          <w:b/>
          <w:bCs/>
          <w:sz w:val="20"/>
          <w:szCs w:val="20"/>
        </w:rPr>
      </w:pPr>
      <w:r>
        <w:rPr>
          <w:rFonts w:eastAsia="Times New Roman" w:cs="Times New Roman"/>
          <w:b/>
          <w:bCs/>
          <w:sz w:val="20"/>
          <w:szCs w:val="20"/>
        </w:rPr>
        <w:t>Standard:</w:t>
      </w:r>
      <w:r>
        <w:rPr>
          <w:rFonts w:eastAsia="Times New Roman" w:cs="Times New Roman"/>
          <w:sz w:val="20"/>
          <w:szCs w:val="20"/>
        </w:rPr>
        <w:t xml:space="preserve"> One’s interpretation of effect size is not universal, and depends on domain-specific factors. Very general guidelines for Cohen’s </w:t>
      </w:r>
      <w:r>
        <w:rPr>
          <w:rFonts w:eastAsia="Times New Roman" w:cs="Times New Roman"/>
          <w:i/>
          <w:iCs/>
          <w:sz w:val="20"/>
          <w:szCs w:val="20"/>
        </w:rPr>
        <w:t>d</w:t>
      </w:r>
      <w:r>
        <w:rPr>
          <w:rFonts w:eastAsia="Times New Roman" w:cs="Times New Roman"/>
          <w:sz w:val="20"/>
          <w:szCs w:val="20"/>
        </w:rPr>
        <w:t xml:space="preserve"> suggest effect sizes as “small” (when </w:t>
      </w:r>
      <w:r>
        <w:rPr>
          <w:rFonts w:eastAsia="Times New Roman" w:cs="Times New Roman"/>
          <w:i/>
          <w:sz w:val="20"/>
          <w:szCs w:val="20"/>
        </w:rPr>
        <w:t xml:space="preserve">d </w:t>
      </w:r>
      <w:r>
        <w:rPr>
          <w:rFonts w:eastAsia="Times New Roman" w:cs="Times New Roman"/>
          <w:sz w:val="20"/>
          <w:szCs w:val="20"/>
        </w:rPr>
        <w:t xml:space="preserve">= approximately 0.2), “medium” (when </w:t>
      </w:r>
      <w:r>
        <w:rPr>
          <w:rFonts w:eastAsia="Times New Roman" w:cs="Times New Roman"/>
          <w:i/>
          <w:sz w:val="20"/>
          <w:szCs w:val="20"/>
        </w:rPr>
        <w:t xml:space="preserve">d </w:t>
      </w:r>
      <w:r>
        <w:rPr>
          <w:rFonts w:eastAsia="Times New Roman" w:cs="Times New Roman"/>
          <w:sz w:val="20"/>
          <w:szCs w:val="20"/>
        </w:rPr>
        <w:t xml:space="preserve">= approximately 0.5) and “large” (when </w:t>
      </w:r>
      <w:r>
        <w:rPr>
          <w:rFonts w:eastAsia="Times New Roman" w:cs="Times New Roman"/>
          <w:i/>
          <w:sz w:val="20"/>
          <w:szCs w:val="20"/>
        </w:rPr>
        <w:t xml:space="preserve">d </w:t>
      </w:r>
      <w:r>
        <w:rPr>
          <w:rFonts w:eastAsia="Times New Roman" w:cs="Times New Roman"/>
          <w:sz w:val="20"/>
          <w:szCs w:val="20"/>
        </w:rPr>
        <w:t>= approximately 0.8 or greater).</w:t>
      </w:r>
    </w:p>
    <w:p>
      <w:pPr>
        <w:rPr>
          <w:rFonts w:eastAsia="Times New Roman" w:cs="Times New Roman"/>
          <w:b/>
          <w:bCs/>
          <w:sz w:val="20"/>
          <w:szCs w:val="20"/>
        </w:rPr>
      </w:pPr>
    </w:p>
    <w:p>
      <w:pPr>
        <w:rPr>
          <w:rFonts w:eastAsia="Times New Roman" w:cs="Times New Roman"/>
          <w:sz w:val="20"/>
          <w:szCs w:val="20"/>
        </w:rPr>
      </w:pPr>
      <w:r>
        <w:rPr>
          <w:rFonts w:eastAsia="Times New Roman" w:cs="Times New Roman"/>
          <w:b/>
          <w:bCs/>
          <w:sz w:val="20"/>
          <w:szCs w:val="20"/>
        </w:rPr>
        <w:t>Term:</w:t>
      </w:r>
      <w:r>
        <w:rPr>
          <w:rFonts w:eastAsia="Times New Roman" w:cs="Times New Roman"/>
          <w:sz w:val="20"/>
          <w:szCs w:val="20"/>
        </w:rPr>
        <w:t xml:space="preserve"> Comparative fit index (CFI)</w:t>
      </w:r>
    </w:p>
    <w:p>
      <w:pPr>
        <w:rPr>
          <w:rFonts w:eastAsia="Times New Roman" w:cs="Times New Roman"/>
          <w:sz w:val="20"/>
          <w:szCs w:val="20"/>
        </w:rPr>
      </w:pPr>
      <w:r>
        <w:rPr>
          <w:rFonts w:eastAsia="Times New Roman" w:cs="Times New Roman"/>
          <w:b/>
          <w:bCs/>
          <w:sz w:val="20"/>
          <w:szCs w:val="20"/>
        </w:rPr>
        <w:t>Purpose:</w:t>
      </w:r>
      <w:r>
        <w:rPr>
          <w:rFonts w:eastAsia="Times New Roman" w:cs="Times New Roman"/>
          <w:sz w:val="20"/>
          <w:szCs w:val="20"/>
        </w:rPr>
        <w:t xml:space="preserve"> This is one of several calculations to determine “model fit.” Model fit is an overall determination of the degree to which the data confirm the proposed model (in our study, the model is shown in Figure 2). CFI calculations estimate the proportion of sample data the proposed model explains. CFI measurements adjust for sample size issues that exist when calculating model fit by the chi-squared test.</w:t>
      </w:r>
    </w:p>
    <w:p>
      <w:pPr>
        <w:rPr>
          <w:rFonts w:eastAsia="Times New Roman" w:cs="Times New Roman"/>
          <w:sz w:val="20"/>
          <w:szCs w:val="20"/>
        </w:rPr>
      </w:pPr>
      <w:r>
        <w:rPr>
          <w:rFonts w:eastAsia="Times New Roman" w:cs="Times New Roman"/>
          <w:b/>
          <w:bCs/>
          <w:sz w:val="20"/>
          <w:szCs w:val="20"/>
        </w:rPr>
        <w:t>Standard:</w:t>
      </w:r>
      <w:r>
        <w:rPr>
          <w:rFonts w:eastAsia="Times New Roman" w:cs="Times New Roman"/>
          <w:sz w:val="20"/>
          <w:szCs w:val="20"/>
        </w:rPr>
        <w:t xml:space="preserve"> CFI values range</w:t>
      </w:r>
      <w:r>
        <w:rPr>
          <w:rFonts w:cs="Times New Roman"/>
          <w:sz w:val="20"/>
          <w:szCs w:val="20"/>
          <w:lang w:eastAsia="zh-CN"/>
        </w:rPr>
        <w:t xml:space="preserve"> </w:t>
      </w:r>
      <w:r>
        <w:rPr>
          <w:rFonts w:eastAsia="Times New Roman" w:cs="Times New Roman"/>
          <w:sz w:val="20"/>
          <w:szCs w:val="20"/>
        </w:rPr>
        <w:t>from 0 to 1; values above 0.90 are generally considered acceptable, to be used in the context of other results and not as a single strict cut off.</w:t>
      </w:r>
    </w:p>
    <w:p>
      <w:pPr>
        <w:rPr>
          <w:rFonts w:eastAsia="Times New Roman" w:cs="Times New Roman"/>
          <w:b/>
          <w:bCs/>
          <w:sz w:val="20"/>
          <w:szCs w:val="20"/>
        </w:rPr>
      </w:pPr>
    </w:p>
    <w:p>
      <w:pPr>
        <w:rPr>
          <w:rFonts w:eastAsia="Times New Roman" w:cs="Times New Roman"/>
          <w:sz w:val="20"/>
          <w:szCs w:val="20"/>
        </w:rPr>
      </w:pPr>
      <w:r>
        <w:rPr>
          <w:rFonts w:eastAsia="Times New Roman" w:cs="Times New Roman"/>
          <w:b/>
          <w:bCs/>
          <w:sz w:val="20"/>
          <w:szCs w:val="20"/>
        </w:rPr>
        <w:t>Term:</w:t>
      </w:r>
      <w:r>
        <w:rPr>
          <w:rFonts w:eastAsia="Times New Roman" w:cs="Times New Roman"/>
          <w:sz w:val="20"/>
          <w:szCs w:val="20"/>
        </w:rPr>
        <w:t xml:space="preserve"> Corrected item-total correlations (CITC) </w:t>
      </w:r>
    </w:p>
    <w:p>
      <w:pPr>
        <w:rPr>
          <w:rFonts w:eastAsia="Times New Roman" w:cs="Times New Roman"/>
          <w:sz w:val="20"/>
          <w:szCs w:val="20"/>
        </w:rPr>
      </w:pPr>
      <w:r>
        <w:rPr>
          <w:rFonts w:eastAsia="Times New Roman" w:cs="Times New Roman"/>
          <w:b/>
          <w:bCs/>
          <w:sz w:val="20"/>
          <w:szCs w:val="20"/>
        </w:rPr>
        <w:t>Purpose:</w:t>
      </w:r>
      <w:r>
        <w:rPr>
          <w:rFonts w:eastAsia="Times New Roman" w:cs="Times New Roman"/>
          <w:sz w:val="20"/>
          <w:szCs w:val="20"/>
        </w:rPr>
        <w:t xml:space="preserve"> </w:t>
      </w:r>
      <w:r>
        <w:rPr>
          <w:rFonts w:eastAsia="宋体" w:cs="Times New Roman"/>
          <w:sz w:val="20"/>
          <w:szCs w:val="20"/>
          <w:lang w:eastAsia="zh-CN"/>
        </w:rPr>
        <w:t>This calculation is used to define the association of one item with the total score of all other items.</w:t>
      </w:r>
      <w:r>
        <w:rPr>
          <w:rFonts w:cs="Times New Roman"/>
          <w:sz w:val="20"/>
          <w:szCs w:val="20"/>
        </w:rPr>
        <w:t xml:space="preserve"> </w:t>
      </w:r>
      <w:r>
        <w:rPr>
          <w:rFonts w:eastAsia="宋体" w:cs="Times New Roman"/>
          <w:sz w:val="20"/>
          <w:szCs w:val="20"/>
          <w:lang w:eastAsia="zh-CN"/>
        </w:rPr>
        <w:t>It refers to the correlation between the item score and the scale score minus the contribution of that item to the score.</w:t>
      </w:r>
    </w:p>
    <w:p>
      <w:pPr>
        <w:rPr>
          <w:rFonts w:eastAsia="宋体" w:cs="Times New Roman"/>
          <w:sz w:val="20"/>
          <w:szCs w:val="20"/>
          <w:lang w:eastAsia="zh-CN"/>
        </w:rPr>
      </w:pPr>
      <w:r>
        <w:rPr>
          <w:rFonts w:eastAsia="Times New Roman" w:cs="Times New Roman"/>
          <w:b/>
          <w:bCs/>
          <w:sz w:val="20"/>
          <w:szCs w:val="20"/>
        </w:rPr>
        <w:t>Standard:</w:t>
      </w:r>
      <w:r>
        <w:rPr>
          <w:rFonts w:eastAsia="Times New Roman" w:cs="Times New Roman"/>
          <w:sz w:val="20"/>
          <w:szCs w:val="20"/>
        </w:rPr>
        <w:t xml:space="preserve"> A CITC greater than 0.5 was considered acceptable </w:t>
      </w:r>
      <w:r>
        <w:rPr>
          <w:rFonts w:cs="Times New Roman"/>
          <w:sz w:val="20"/>
          <w:szCs w:val="20"/>
          <w:lang w:eastAsia="zh-CN"/>
        </w:rPr>
        <w:t>in</w:t>
      </w:r>
      <w:r>
        <w:rPr>
          <w:rFonts w:eastAsia="Times New Roman" w:cs="Times New Roman"/>
          <w:sz w:val="20"/>
          <w:szCs w:val="20"/>
        </w:rPr>
        <w:t xml:space="preserve"> this study.</w:t>
      </w:r>
    </w:p>
    <w:p>
      <w:pPr>
        <w:rPr>
          <w:rFonts w:eastAsia="Times New Roman" w:cs="Times New Roman"/>
          <w:sz w:val="20"/>
          <w:szCs w:val="20"/>
        </w:rPr>
      </w:pPr>
    </w:p>
    <w:p>
      <w:pPr>
        <w:rPr>
          <w:rFonts w:eastAsia="Times New Roman" w:cs="Times New Roman"/>
          <w:sz w:val="20"/>
          <w:szCs w:val="20"/>
        </w:rPr>
      </w:pPr>
      <w:r>
        <w:rPr>
          <w:rFonts w:eastAsia="Times New Roman" w:cs="Times New Roman"/>
          <w:b/>
          <w:bCs/>
          <w:sz w:val="20"/>
          <w:szCs w:val="20"/>
        </w:rPr>
        <w:t>Term:</w:t>
      </w:r>
      <w:r>
        <w:rPr>
          <w:rFonts w:eastAsia="Times New Roman" w:cs="Times New Roman"/>
          <w:sz w:val="20"/>
          <w:szCs w:val="20"/>
        </w:rPr>
        <w:t xml:space="preserve"> Cronbach’s Alpha</w:t>
      </w:r>
    </w:p>
    <w:p>
      <w:pPr>
        <w:rPr>
          <w:rFonts w:eastAsia="Times New Roman" w:cs="Times New Roman"/>
          <w:sz w:val="20"/>
          <w:szCs w:val="20"/>
        </w:rPr>
      </w:pPr>
      <w:r>
        <w:rPr>
          <w:rFonts w:eastAsia="Times New Roman" w:cs="Times New Roman"/>
          <w:b/>
          <w:bCs/>
          <w:sz w:val="20"/>
          <w:szCs w:val="20"/>
        </w:rPr>
        <w:t>Purpose:</w:t>
      </w:r>
      <w:r>
        <w:rPr>
          <w:rFonts w:eastAsia="Times New Roman" w:cs="Times New Roman"/>
          <w:sz w:val="20"/>
          <w:szCs w:val="20"/>
        </w:rPr>
        <w:t xml:space="preserve"> This calculation, a description of the internal consistency of a scale, is one kind of reliability coefficient. It measures the degree to which items in a group are related to one another and how consistently the items measure the same characteristic. Alpha is a joint function of the average correlation among the items and the number of items being considered.</w:t>
      </w:r>
    </w:p>
    <w:p>
      <w:pPr>
        <w:rPr>
          <w:rFonts w:eastAsia="Times New Roman" w:cs="Times New Roman"/>
          <w:sz w:val="20"/>
          <w:szCs w:val="20"/>
        </w:rPr>
      </w:pPr>
      <w:r>
        <w:rPr>
          <w:rFonts w:eastAsia="Times New Roman" w:cs="Times New Roman"/>
          <w:b/>
          <w:bCs/>
          <w:sz w:val="20"/>
          <w:szCs w:val="20"/>
        </w:rPr>
        <w:t>Standard:</w:t>
      </w:r>
      <w:r>
        <w:rPr>
          <w:rFonts w:eastAsia="Times New Roman" w:cs="Times New Roman"/>
          <w:sz w:val="20"/>
          <w:szCs w:val="20"/>
        </w:rPr>
        <w:t xml:space="preserve"> We considered Cronbach’s Alpha values larger than 0.7 to be acceptable in this study.</w:t>
      </w:r>
    </w:p>
    <w:p>
      <w:pPr>
        <w:rPr>
          <w:rFonts w:eastAsia="Times New Roman" w:cs="Times New Roman"/>
          <w:sz w:val="20"/>
          <w:szCs w:val="20"/>
        </w:rPr>
      </w:pPr>
    </w:p>
    <w:p>
      <w:pPr>
        <w:rPr>
          <w:rFonts w:eastAsia="Times New Roman" w:cs="Times New Roman"/>
          <w:sz w:val="20"/>
          <w:szCs w:val="20"/>
        </w:rPr>
      </w:pPr>
      <w:r>
        <w:rPr>
          <w:rFonts w:eastAsia="Times New Roman" w:cs="Times New Roman"/>
          <w:b/>
          <w:bCs/>
          <w:sz w:val="20"/>
          <w:szCs w:val="20"/>
        </w:rPr>
        <w:t>Term:</w:t>
      </w:r>
      <w:r>
        <w:rPr>
          <w:rFonts w:eastAsia="Times New Roman" w:cs="Times New Roman"/>
          <w:sz w:val="20"/>
          <w:szCs w:val="20"/>
        </w:rPr>
        <w:t xml:space="preserve"> Cronbach’s Alpha if Item Deleted (CAID) </w:t>
      </w:r>
    </w:p>
    <w:p>
      <w:pPr>
        <w:rPr>
          <w:rFonts w:eastAsia="Times New Roman" w:cs="Times New Roman"/>
          <w:sz w:val="20"/>
          <w:szCs w:val="20"/>
        </w:rPr>
      </w:pPr>
      <w:r>
        <w:rPr>
          <w:rFonts w:eastAsia="Times New Roman" w:cs="Times New Roman"/>
          <w:b/>
          <w:bCs/>
          <w:sz w:val="20"/>
          <w:szCs w:val="20"/>
        </w:rPr>
        <w:t>Purpose:</w:t>
      </w:r>
      <w:r>
        <w:rPr>
          <w:rFonts w:eastAsia="Times New Roman" w:cs="Times New Roman"/>
          <w:sz w:val="20"/>
          <w:szCs w:val="20"/>
        </w:rPr>
        <w:t xml:space="preserve"> This calculation represents the scale's Cronbach's Alpha reliability coefficient—a measure of internal consistency--if the individual item were to be removed from the scale. It is typically employed as a way to identify items that do not contribute to a scale’s overall reliability as much as other items do.</w:t>
      </w:r>
    </w:p>
    <w:p>
      <w:pPr>
        <w:rPr>
          <w:rFonts w:eastAsia="Times New Roman" w:cs="Times New Roman"/>
          <w:sz w:val="20"/>
          <w:szCs w:val="20"/>
        </w:rPr>
      </w:pPr>
      <w:r>
        <w:rPr>
          <w:rFonts w:eastAsia="Times New Roman" w:cs="Times New Roman"/>
          <w:b/>
          <w:bCs/>
          <w:sz w:val="20"/>
          <w:szCs w:val="20"/>
        </w:rPr>
        <w:t>Standard:</w:t>
      </w:r>
      <w:r>
        <w:rPr>
          <w:rFonts w:eastAsia="Times New Roman" w:cs="Times New Roman"/>
          <w:sz w:val="20"/>
          <w:szCs w:val="20"/>
        </w:rPr>
        <w:t xml:space="preserve"> We deleted items with a CAID higher than the full scale of Cronbach’s Alpha, (indicating that removing that item, therefore, increases the measure of internal consistency). </w:t>
      </w:r>
    </w:p>
    <w:p>
      <w:pPr>
        <w:rPr>
          <w:rFonts w:eastAsia="Times New Roman" w:cs="Times New Roman"/>
          <w:sz w:val="20"/>
          <w:szCs w:val="20"/>
        </w:rPr>
      </w:pPr>
    </w:p>
    <w:p>
      <w:pPr>
        <w:rPr>
          <w:rFonts w:eastAsia="Times New Roman" w:cs="Times New Roman"/>
          <w:sz w:val="20"/>
          <w:szCs w:val="20"/>
        </w:rPr>
      </w:pPr>
      <w:r>
        <w:rPr>
          <w:rFonts w:eastAsia="Times New Roman" w:cs="Times New Roman"/>
          <w:b/>
          <w:bCs/>
          <w:sz w:val="20"/>
          <w:szCs w:val="20"/>
        </w:rPr>
        <w:t>Term:</w:t>
      </w:r>
      <w:r>
        <w:rPr>
          <w:rFonts w:eastAsia="Times New Roman" w:cs="Times New Roman"/>
          <w:sz w:val="20"/>
          <w:szCs w:val="20"/>
        </w:rPr>
        <w:t xml:space="preserve"> Eigenvalue </w:t>
      </w:r>
    </w:p>
    <w:p>
      <w:pPr>
        <w:rPr>
          <w:rFonts w:eastAsia="Times New Roman" w:cs="Times New Roman"/>
          <w:sz w:val="20"/>
          <w:szCs w:val="20"/>
        </w:rPr>
      </w:pPr>
      <w:r>
        <w:rPr>
          <w:rFonts w:eastAsia="Times New Roman" w:cs="Times New Roman"/>
          <w:b/>
          <w:bCs/>
          <w:sz w:val="20"/>
          <w:szCs w:val="20"/>
        </w:rPr>
        <w:t>Purpose:</w:t>
      </w:r>
      <w:r>
        <w:rPr>
          <w:rFonts w:eastAsia="Times New Roman" w:cs="Times New Roman"/>
          <w:sz w:val="20"/>
          <w:szCs w:val="20"/>
        </w:rPr>
        <w:t xml:space="preserve"> Eigenvalues are relevant to various methods of reducing a larger number of variables to a smaller set of homogeneous and distinct groupings (factors), based on the patterns of association among the variables. The eigenvalue measures how much of the common variance of the observed variables a factor explains. Any factor with an eigenvalue ≥1 illustrates more variance than a single observed variable. Researchers often use the eigenvalue as a way to identify the “stronger” factors that have been extracted by the algorithm.</w:t>
      </w:r>
    </w:p>
    <w:p>
      <w:pPr>
        <w:rPr>
          <w:rFonts w:eastAsia="Times New Roman" w:cs="Times New Roman"/>
          <w:sz w:val="20"/>
          <w:szCs w:val="20"/>
        </w:rPr>
      </w:pPr>
      <w:r>
        <w:rPr>
          <w:rFonts w:eastAsia="Times New Roman" w:cs="Times New Roman"/>
          <w:b/>
          <w:bCs/>
          <w:sz w:val="20"/>
          <w:szCs w:val="20"/>
        </w:rPr>
        <w:t>Standard:</w:t>
      </w:r>
      <w:r>
        <w:rPr>
          <w:rFonts w:eastAsia="Times New Roman" w:cs="Times New Roman"/>
          <w:sz w:val="20"/>
          <w:szCs w:val="20"/>
        </w:rPr>
        <w:t xml:space="preserve"> We used a standard for eigenvalue &gt; 1, and each factor needed to contain at least three items. </w:t>
      </w:r>
    </w:p>
    <w:p>
      <w:pPr>
        <w:rPr>
          <w:rFonts w:eastAsia="Times New Roman" w:cs="Times New Roman"/>
          <w:sz w:val="20"/>
          <w:szCs w:val="20"/>
        </w:rPr>
      </w:pPr>
    </w:p>
    <w:p>
      <w:pPr>
        <w:rPr>
          <w:rFonts w:eastAsia="Times New Roman" w:cs="Times New Roman"/>
          <w:sz w:val="20"/>
          <w:szCs w:val="20"/>
        </w:rPr>
      </w:pPr>
      <w:r>
        <w:rPr>
          <w:rFonts w:eastAsia="Times New Roman" w:cs="Times New Roman"/>
          <w:b/>
          <w:bCs/>
          <w:sz w:val="20"/>
          <w:szCs w:val="20"/>
        </w:rPr>
        <w:t>Term:</w:t>
      </w:r>
      <w:r>
        <w:rPr>
          <w:rFonts w:eastAsia="Times New Roman" w:cs="Times New Roman"/>
          <w:sz w:val="20"/>
          <w:szCs w:val="20"/>
        </w:rPr>
        <w:t xml:space="preserve"> Factor loading </w:t>
      </w:r>
    </w:p>
    <w:p>
      <w:pPr>
        <w:rPr>
          <w:rFonts w:eastAsia="Times New Roman" w:cs="Times New Roman"/>
          <w:sz w:val="20"/>
          <w:szCs w:val="20"/>
        </w:rPr>
      </w:pPr>
      <w:r>
        <w:rPr>
          <w:rFonts w:eastAsia="Times New Roman" w:cs="Times New Roman"/>
          <w:b/>
          <w:bCs/>
          <w:sz w:val="20"/>
          <w:szCs w:val="20"/>
        </w:rPr>
        <w:t>Purpose:</w:t>
      </w:r>
      <w:r>
        <w:rPr>
          <w:rFonts w:eastAsia="Times New Roman" w:cs="Times New Roman"/>
          <w:sz w:val="20"/>
          <w:szCs w:val="20"/>
        </w:rPr>
        <w:t xml:space="preserve"> </w:t>
      </w:r>
      <w:r>
        <w:rPr>
          <w:rFonts w:cs="Times New Roman"/>
          <w:sz w:val="20"/>
          <w:szCs w:val="20"/>
          <w:shd w:val="clear" w:color="auto" w:fill="FFFFFF"/>
        </w:rPr>
        <w:t xml:space="preserve">Values for factor “loading” convey how much variance an individual item contributes to that factor’s overall variance. </w:t>
      </w:r>
      <w:r>
        <w:rPr>
          <w:sz w:val="20"/>
          <w:szCs w:val="20"/>
        </w:rPr>
        <w:t>Stated another way, factor loading represents each items' correlation with its respective factor.</w:t>
      </w:r>
      <w:r>
        <w:rPr>
          <w:rFonts w:cs="Times New Roman"/>
          <w:sz w:val="20"/>
          <w:szCs w:val="20"/>
          <w:shd w:val="clear" w:color="auto" w:fill="FFFFFF"/>
        </w:rPr>
        <w:t xml:space="preserve"> Factor loadings are used to make decisions about which variables “belong” to which factors.</w:t>
      </w:r>
    </w:p>
    <w:p>
      <w:pPr>
        <w:rPr>
          <w:rFonts w:eastAsia="Times New Roman" w:cs="Times New Roman"/>
          <w:sz w:val="20"/>
          <w:szCs w:val="20"/>
        </w:rPr>
      </w:pPr>
      <w:r>
        <w:rPr>
          <w:rFonts w:eastAsia="Times New Roman" w:cs="Times New Roman"/>
          <w:b/>
          <w:bCs/>
          <w:sz w:val="20"/>
          <w:szCs w:val="20"/>
        </w:rPr>
        <w:t>Standard:</w:t>
      </w:r>
      <w:r>
        <w:rPr>
          <w:rFonts w:eastAsia="Times New Roman" w:cs="Times New Roman"/>
          <w:sz w:val="20"/>
          <w:szCs w:val="20"/>
        </w:rPr>
        <w:t xml:space="preserve"> The </w:t>
      </w:r>
      <w:r>
        <w:rPr>
          <w:rFonts w:cs="Times New Roman"/>
          <w:sz w:val="20"/>
          <w:szCs w:val="20"/>
          <w:shd w:val="clear" w:color="auto" w:fill="FFFFFF"/>
        </w:rPr>
        <w:t xml:space="preserve">values of &gt;0.3 are used as a modestly high benchmark for loading, and values &gt;0.5 indicate moderately high loading. We used </w:t>
      </w:r>
      <w:r>
        <w:rPr>
          <w:rFonts w:eastAsia="Times New Roman" w:cs="Times New Roman"/>
          <w:sz w:val="20"/>
          <w:szCs w:val="20"/>
        </w:rPr>
        <w:t>≥ 0.45 as a standard in this study.</w:t>
      </w:r>
    </w:p>
    <w:p>
      <w:pPr>
        <w:rPr>
          <w:rFonts w:eastAsia="Times New Roman" w:cs="Times New Roman"/>
          <w:sz w:val="20"/>
          <w:szCs w:val="20"/>
        </w:rPr>
      </w:pPr>
    </w:p>
    <w:p>
      <w:pPr>
        <w:rPr>
          <w:rFonts w:cs="Times New Roman"/>
          <w:sz w:val="20"/>
          <w:szCs w:val="20"/>
        </w:rPr>
      </w:pPr>
      <w:r>
        <w:rPr>
          <w:rFonts w:eastAsia="Times New Roman" w:cs="Times New Roman"/>
          <w:b/>
          <w:bCs/>
          <w:sz w:val="20"/>
          <w:szCs w:val="20"/>
        </w:rPr>
        <w:t>Term:</w:t>
      </w:r>
      <w:r>
        <w:rPr>
          <w:rFonts w:eastAsia="Times New Roman" w:cs="Times New Roman"/>
          <w:sz w:val="20"/>
          <w:szCs w:val="20"/>
        </w:rPr>
        <w:t xml:space="preserve"> Interfactor correlation</w:t>
      </w:r>
    </w:p>
    <w:p>
      <w:pPr>
        <w:rPr>
          <w:rFonts w:eastAsia="Times New Roman" w:cs="Times New Roman"/>
          <w:sz w:val="20"/>
          <w:szCs w:val="20"/>
        </w:rPr>
      </w:pPr>
      <w:r>
        <w:rPr>
          <w:rFonts w:eastAsia="Times New Roman" w:cs="Times New Roman"/>
          <w:b/>
          <w:bCs/>
          <w:sz w:val="20"/>
          <w:szCs w:val="20"/>
        </w:rPr>
        <w:t>Purpose:</w:t>
      </w:r>
      <w:r>
        <w:rPr>
          <w:rFonts w:eastAsia="Times New Roman" w:cs="Times New Roman"/>
          <w:sz w:val="20"/>
          <w:szCs w:val="20"/>
        </w:rPr>
        <w:t xml:space="preserve"> This calculation </w:t>
      </w:r>
      <w:r>
        <w:rPr>
          <w:rFonts w:cs="Times New Roman"/>
          <w:sz w:val="20"/>
          <w:szCs w:val="20"/>
          <w:shd w:val="clear" w:color="auto" w:fill="FFFFFF"/>
        </w:rPr>
        <w:t>measures the statistical association or relationship between a pair of scale factors. Correlations that are too high suggest redundancy or a wrong selection of the factors.</w:t>
      </w:r>
    </w:p>
    <w:p>
      <w:pPr>
        <w:rPr>
          <w:rFonts w:cs="Times New Roman"/>
          <w:sz w:val="20"/>
          <w:szCs w:val="20"/>
          <w:shd w:val="clear" w:color="auto" w:fill="FFFFFF"/>
        </w:rPr>
      </w:pPr>
      <w:r>
        <w:rPr>
          <w:rFonts w:eastAsia="Times New Roman" w:cs="Times New Roman"/>
          <w:b/>
          <w:bCs/>
          <w:sz w:val="20"/>
          <w:szCs w:val="20"/>
        </w:rPr>
        <w:t>Standard:</w:t>
      </w:r>
      <w:r>
        <w:rPr>
          <w:rFonts w:eastAsia="Times New Roman" w:cs="Times New Roman"/>
          <w:sz w:val="20"/>
          <w:szCs w:val="20"/>
        </w:rPr>
        <w:t xml:space="preserve"> We considered a </w:t>
      </w:r>
      <w:r>
        <w:rPr>
          <w:rFonts w:cs="Times New Roman"/>
          <w:sz w:val="20"/>
          <w:szCs w:val="20"/>
          <w:shd w:val="clear" w:color="auto" w:fill="FFFFFF"/>
        </w:rPr>
        <w:t>cut-off point of 0.85, above which would be too high.</w:t>
      </w:r>
    </w:p>
    <w:p>
      <w:pPr>
        <w:rPr>
          <w:rFonts w:cs="Times New Roman"/>
          <w:sz w:val="20"/>
          <w:szCs w:val="20"/>
        </w:rPr>
      </w:pPr>
    </w:p>
    <w:p>
      <w:pPr>
        <w:rPr>
          <w:rFonts w:eastAsia="Times New Roman" w:cs="Times New Roman"/>
          <w:sz w:val="20"/>
          <w:szCs w:val="20"/>
        </w:rPr>
      </w:pPr>
      <w:r>
        <w:rPr>
          <w:rFonts w:eastAsia="Times New Roman" w:cs="Times New Roman"/>
          <w:b/>
          <w:bCs/>
          <w:sz w:val="20"/>
          <w:szCs w:val="20"/>
        </w:rPr>
        <w:t>Term:</w:t>
      </w:r>
      <w:r>
        <w:rPr>
          <w:rFonts w:eastAsia="Times New Roman" w:cs="Times New Roman"/>
          <w:sz w:val="20"/>
          <w:szCs w:val="20"/>
        </w:rPr>
        <w:t xml:space="preserve"> Kaiser–Meyer–Olkin (KMO) test </w:t>
      </w:r>
    </w:p>
    <w:p>
      <w:pPr>
        <w:rPr>
          <w:rFonts w:eastAsia="Times New Roman" w:cs="Times New Roman"/>
          <w:sz w:val="20"/>
          <w:szCs w:val="20"/>
          <w:lang w:eastAsia="zh-CN"/>
        </w:rPr>
      </w:pPr>
      <w:r>
        <w:rPr>
          <w:rFonts w:eastAsia="Times New Roman" w:cs="Times New Roman"/>
          <w:b/>
          <w:bCs/>
          <w:sz w:val="20"/>
          <w:szCs w:val="20"/>
          <w:lang w:eastAsia="zh-CN"/>
        </w:rPr>
        <w:t>Purpose:</w:t>
      </w:r>
      <w:r>
        <w:rPr>
          <w:rFonts w:eastAsia="Times New Roman" w:cs="Times New Roman"/>
          <w:sz w:val="20"/>
          <w:szCs w:val="20"/>
          <w:lang w:eastAsia="zh-CN"/>
        </w:rPr>
        <w:t xml:space="preserve"> </w:t>
      </w:r>
      <w:r>
        <w:rPr>
          <w:rFonts w:cs="Times New Roman"/>
          <w:sz w:val="20"/>
          <w:szCs w:val="20"/>
          <w:shd w:val="clear" w:color="auto" w:fill="FFFFFF"/>
        </w:rPr>
        <w:t>This calculation measures sampling adequacy for each variable in the model and the complete model, in essence to determine whether factor analysis of the data is appropriate to commence.</w:t>
      </w:r>
    </w:p>
    <w:p>
      <w:pPr>
        <w:rPr>
          <w:rFonts w:cs="Times New Roman"/>
          <w:sz w:val="20"/>
          <w:szCs w:val="20"/>
          <w:shd w:val="clear" w:color="auto" w:fill="FFFFFF"/>
          <w:lang w:eastAsia="zh-CN"/>
        </w:rPr>
      </w:pPr>
      <w:r>
        <w:rPr>
          <w:rFonts w:eastAsia="Times New Roman" w:cs="Times New Roman"/>
          <w:b/>
          <w:bCs/>
          <w:sz w:val="20"/>
          <w:szCs w:val="20"/>
        </w:rPr>
        <w:t>Standard:</w:t>
      </w:r>
      <w:r>
        <w:rPr>
          <w:rFonts w:cs="Times New Roman"/>
          <w:sz w:val="20"/>
          <w:szCs w:val="20"/>
          <w:shd w:val="clear" w:color="auto" w:fill="FFFFFF"/>
        </w:rPr>
        <w:t xml:space="preserve"> KMO </w:t>
      </w:r>
      <w:r>
        <w:rPr>
          <w:rFonts w:eastAsia="Times New Roman" w:cs="Times New Roman"/>
          <w:sz w:val="20"/>
          <w:szCs w:val="20"/>
        </w:rPr>
        <w:t xml:space="preserve">values range from 0 to 1. </w:t>
      </w:r>
      <w:r>
        <w:rPr>
          <w:rFonts w:cs="Times New Roman"/>
          <w:sz w:val="20"/>
          <w:szCs w:val="20"/>
          <w:shd w:val="clear" w:color="auto" w:fill="FFFFFF"/>
          <w:lang w:eastAsia="zh-CN"/>
        </w:rPr>
        <w:t xml:space="preserve">KMO values closer to 1 suggest data </w:t>
      </w:r>
      <w:r>
        <w:rPr>
          <w:rFonts w:cs="Times New Roman"/>
          <w:sz w:val="20"/>
          <w:szCs w:val="20"/>
          <w:shd w:val="clear" w:color="auto" w:fill="FFFFFF"/>
        </w:rPr>
        <w:t>are more suited to factor analysis.</w:t>
      </w:r>
      <w:r>
        <w:rPr>
          <w:rFonts w:eastAsia="Times New Roman" w:cs="Times New Roman"/>
          <w:sz w:val="20"/>
          <w:szCs w:val="20"/>
        </w:rPr>
        <w:t xml:space="preserve"> Generally, values over 0.8 are considered well suited for factor analysis, 0.6-0.79 passable, under 0.6 poor, and under 0.5 not suitable for factor analysis.</w:t>
      </w:r>
    </w:p>
    <w:p>
      <w:pPr>
        <w:rPr>
          <w:rFonts w:eastAsia="Times New Roman" w:cs="Times New Roman"/>
          <w:sz w:val="20"/>
          <w:szCs w:val="20"/>
        </w:rPr>
      </w:pPr>
    </w:p>
    <w:p>
      <w:pPr>
        <w:rPr>
          <w:rFonts w:eastAsia="Times New Roman" w:cs="Times New Roman"/>
          <w:sz w:val="20"/>
          <w:szCs w:val="20"/>
        </w:rPr>
      </w:pPr>
      <w:r>
        <w:rPr>
          <w:rFonts w:eastAsia="Times New Roman" w:cs="Times New Roman"/>
          <w:b/>
          <w:bCs/>
          <w:sz w:val="20"/>
          <w:szCs w:val="20"/>
        </w:rPr>
        <w:t>Terms:</w:t>
      </w:r>
      <w:r>
        <w:rPr>
          <w:rFonts w:eastAsia="Times New Roman" w:cs="Times New Roman"/>
          <w:sz w:val="20"/>
          <w:szCs w:val="20"/>
        </w:rPr>
        <w:t xml:space="preserve"> Pearson correlation coefficient </w:t>
      </w:r>
    </w:p>
    <w:p>
      <w:pPr>
        <w:rPr>
          <w:rFonts w:eastAsia="Times New Roman" w:cs="Times New Roman"/>
          <w:sz w:val="20"/>
          <w:szCs w:val="20"/>
        </w:rPr>
      </w:pPr>
      <w:r>
        <w:rPr>
          <w:rFonts w:eastAsia="Times New Roman" w:cs="Times New Roman"/>
          <w:b/>
          <w:bCs/>
          <w:sz w:val="20"/>
          <w:szCs w:val="20"/>
        </w:rPr>
        <w:t>Purpose:</w:t>
      </w:r>
      <w:r>
        <w:rPr>
          <w:rFonts w:eastAsia="Times New Roman" w:cs="Times New Roman"/>
          <w:sz w:val="20"/>
          <w:szCs w:val="20"/>
        </w:rPr>
        <w:t xml:space="preserve"> The Pearson correlation is an indicator of effect size. It </w:t>
      </w:r>
      <w:r>
        <w:rPr>
          <w:rFonts w:cs="Times New Roman"/>
          <w:sz w:val="20"/>
          <w:szCs w:val="20"/>
          <w:shd w:val="clear" w:color="auto" w:fill="FFFFFF"/>
        </w:rPr>
        <w:t>measures the strength and direction of the relationship or (association) between two ordered variables, commonly two continuous variables although one or both can be dichotomous. The statistical significance of the Pearson correlation is calculated by reference to the “</w:t>
      </w:r>
      <w:r>
        <w:rPr>
          <w:rFonts w:cs="Times New Roman"/>
          <w:i/>
          <w:iCs/>
          <w:sz w:val="20"/>
          <w:szCs w:val="20"/>
          <w:shd w:val="clear" w:color="auto" w:fill="FFFFFF"/>
        </w:rPr>
        <w:t>t</w:t>
      </w:r>
      <w:r>
        <w:rPr>
          <w:rFonts w:cs="Times New Roman"/>
          <w:sz w:val="20"/>
          <w:szCs w:val="20"/>
          <w:shd w:val="clear" w:color="auto" w:fill="FFFFFF"/>
        </w:rPr>
        <w:t>-distribution” which takes into account the sample correlation coefficient and number of measured cases.</w:t>
      </w:r>
    </w:p>
    <w:p>
      <w:pPr>
        <w:rPr>
          <w:rFonts w:eastAsia="Times New Roman" w:cs="Times New Roman"/>
          <w:sz w:val="20"/>
          <w:szCs w:val="20"/>
        </w:rPr>
      </w:pPr>
      <w:r>
        <w:rPr>
          <w:rFonts w:eastAsia="Times New Roman" w:cs="Times New Roman"/>
          <w:b/>
          <w:bCs/>
          <w:sz w:val="20"/>
          <w:szCs w:val="20"/>
        </w:rPr>
        <w:t>Standard:</w:t>
      </w:r>
      <w:r>
        <w:rPr>
          <w:rFonts w:eastAsia="Times New Roman" w:cs="Times New Roman"/>
          <w:sz w:val="20"/>
          <w:szCs w:val="20"/>
        </w:rPr>
        <w:t xml:space="preserve"> Results range from -1 to 1. Positive results indicated positive correlation and negative results indicate negative correlation as follows: “small” </w:t>
      </w:r>
      <w:r>
        <w:rPr>
          <w:rFonts w:eastAsia="Times New Roman" w:cs="Times New Roman"/>
          <w:i/>
          <w:sz w:val="20"/>
          <w:szCs w:val="20"/>
        </w:rPr>
        <w:t>positive</w:t>
      </w:r>
      <w:r>
        <w:rPr>
          <w:rFonts w:eastAsia="Times New Roman" w:cs="Times New Roman"/>
          <w:sz w:val="20"/>
          <w:szCs w:val="20"/>
        </w:rPr>
        <w:t xml:space="preserve"> correlations range from 0.1 to 0.3; “medium” correlations 0.3 to 0.5; “large” correlations </w:t>
      </w:r>
      <w:r>
        <w:rPr>
          <w:rFonts w:hint="eastAsia" w:eastAsia="宋体" w:cs="Times New Roman"/>
          <w:sz w:val="20"/>
          <w:szCs w:val="20"/>
          <w:lang w:eastAsia="zh-CN"/>
        </w:rPr>
        <w:t>0</w:t>
      </w:r>
      <w:r>
        <w:rPr>
          <w:rFonts w:eastAsia="Times New Roman" w:cs="Times New Roman"/>
          <w:sz w:val="20"/>
          <w:szCs w:val="20"/>
        </w:rPr>
        <w:t xml:space="preserve">.5 to 1.0; “small” </w:t>
      </w:r>
      <w:r>
        <w:rPr>
          <w:rFonts w:eastAsia="Times New Roman" w:cs="Times New Roman"/>
          <w:i/>
          <w:sz w:val="20"/>
          <w:szCs w:val="20"/>
        </w:rPr>
        <w:t>negative</w:t>
      </w:r>
      <w:r>
        <w:rPr>
          <w:rFonts w:eastAsia="Times New Roman" w:cs="Times New Roman"/>
          <w:sz w:val="20"/>
          <w:szCs w:val="20"/>
        </w:rPr>
        <w:t xml:space="preserve"> correlations range from -0.1 to -0.3; “medium” correlations -0.3 to -0.5; “large” correlations -</w:t>
      </w:r>
      <w:r>
        <w:rPr>
          <w:rFonts w:hint="eastAsia" w:eastAsia="宋体" w:cs="Times New Roman"/>
          <w:sz w:val="20"/>
          <w:szCs w:val="20"/>
          <w:lang w:eastAsia="zh-CN"/>
        </w:rPr>
        <w:t>0</w:t>
      </w:r>
      <w:r>
        <w:rPr>
          <w:rFonts w:eastAsia="Times New Roman" w:cs="Times New Roman"/>
          <w:sz w:val="20"/>
          <w:szCs w:val="20"/>
        </w:rPr>
        <w:t>.5 to -1.0.</w:t>
      </w:r>
    </w:p>
    <w:p>
      <w:pPr>
        <w:rPr>
          <w:rFonts w:cs="Times New Roman"/>
          <w:sz w:val="20"/>
          <w:szCs w:val="20"/>
        </w:rPr>
      </w:pPr>
    </w:p>
    <w:p>
      <w:pPr>
        <w:rPr>
          <w:rFonts w:eastAsia="Times New Roman" w:cs="Times New Roman"/>
          <w:sz w:val="20"/>
          <w:szCs w:val="20"/>
        </w:rPr>
      </w:pPr>
      <w:r>
        <w:rPr>
          <w:rFonts w:eastAsia="Times New Roman" w:cs="Times New Roman"/>
          <w:b/>
          <w:bCs/>
          <w:sz w:val="20"/>
          <w:szCs w:val="20"/>
        </w:rPr>
        <w:t>Terms:</w:t>
      </w:r>
      <w:r>
        <w:rPr>
          <w:rFonts w:cs="Times New Roman"/>
          <w:sz w:val="20"/>
          <w:szCs w:val="20"/>
        </w:rPr>
        <w:t xml:space="preserve"> </w:t>
      </w:r>
      <w:r>
        <w:rPr>
          <w:rFonts w:eastAsia="Times New Roman" w:cs="Times New Roman"/>
          <w:sz w:val="20"/>
          <w:szCs w:val="20"/>
        </w:rPr>
        <w:t>Principal component factor extraction with a varimax rotation</w:t>
      </w:r>
    </w:p>
    <w:p>
      <w:pPr>
        <w:rPr>
          <w:rFonts w:eastAsia="Times New Roman" w:cs="Times New Roman"/>
          <w:bCs/>
          <w:sz w:val="20"/>
          <w:szCs w:val="20"/>
        </w:rPr>
      </w:pPr>
      <w:r>
        <w:rPr>
          <w:rFonts w:eastAsia="Times New Roman" w:cs="Times New Roman"/>
          <w:b/>
          <w:bCs/>
          <w:sz w:val="20"/>
          <w:szCs w:val="20"/>
        </w:rPr>
        <w:t xml:space="preserve">Purpose: </w:t>
      </w:r>
      <w:r>
        <w:rPr>
          <w:rFonts w:eastAsia="Times New Roman" w:cs="Times New Roman"/>
          <w:bCs/>
          <w:sz w:val="20"/>
          <w:szCs w:val="20"/>
        </w:rPr>
        <w:t>Principal component analysis is a statistical approach to increase the interpretability of large, complex (multidimensional) data sets. This technique is used to reduce the dimensionality and allow data to be displayed in a coordinate system. As part of exploratory factory analysis (EFA), the statistical technique of varimax rotation helps determine the association of variables and factors.</w:t>
      </w:r>
    </w:p>
    <w:p>
      <w:pPr>
        <w:rPr>
          <w:rFonts w:eastAsia="Times New Roman" w:cs="Times New Roman"/>
          <w:b/>
          <w:bCs/>
          <w:sz w:val="20"/>
          <w:szCs w:val="20"/>
        </w:rPr>
      </w:pPr>
      <w:r>
        <w:rPr>
          <w:rFonts w:eastAsia="Times New Roman" w:cs="Times New Roman"/>
          <w:b/>
          <w:bCs/>
          <w:sz w:val="20"/>
          <w:szCs w:val="20"/>
        </w:rPr>
        <w:t xml:space="preserve">Standard: </w:t>
      </w:r>
      <w:r>
        <w:rPr>
          <w:rFonts w:eastAsia="Times New Roman" w:cs="Times New Roman"/>
          <w:bCs/>
          <w:sz w:val="20"/>
          <w:szCs w:val="20"/>
        </w:rPr>
        <w:t xml:space="preserve">Ideally this process reveals each variable assigns to no more than a single factor.  </w:t>
      </w:r>
    </w:p>
    <w:p>
      <w:pPr>
        <w:rPr>
          <w:rFonts w:cs="Times New Roman"/>
          <w:sz w:val="20"/>
          <w:szCs w:val="20"/>
        </w:rPr>
      </w:pPr>
    </w:p>
    <w:p>
      <w:pPr>
        <w:rPr>
          <w:rFonts w:eastAsia="Times New Roman" w:cs="Times New Roman"/>
          <w:sz w:val="20"/>
          <w:szCs w:val="20"/>
        </w:rPr>
      </w:pPr>
      <w:r>
        <w:rPr>
          <w:rFonts w:eastAsia="Times New Roman" w:cs="Times New Roman"/>
          <w:b/>
          <w:bCs/>
          <w:sz w:val="20"/>
          <w:szCs w:val="20"/>
        </w:rPr>
        <w:t>Term:</w:t>
      </w:r>
      <w:r>
        <w:rPr>
          <w:rFonts w:eastAsia="Times New Roman" w:cs="Times New Roman"/>
          <w:sz w:val="20"/>
          <w:szCs w:val="20"/>
        </w:rPr>
        <w:t xml:space="preserve"> Standardized root mean square error of approximation (RMSEA) </w:t>
      </w:r>
    </w:p>
    <w:p>
      <w:pPr>
        <w:rPr>
          <w:rFonts w:eastAsia="Times New Roman" w:cs="Times New Roman"/>
          <w:sz w:val="20"/>
          <w:szCs w:val="20"/>
        </w:rPr>
      </w:pPr>
      <w:r>
        <w:rPr>
          <w:rFonts w:eastAsia="Times New Roman" w:cs="Times New Roman"/>
          <w:b/>
          <w:bCs/>
          <w:sz w:val="20"/>
          <w:szCs w:val="20"/>
        </w:rPr>
        <w:t>Purpose:</w:t>
      </w:r>
      <w:r>
        <w:rPr>
          <w:rFonts w:eastAsia="Times New Roman" w:cs="Times New Roman"/>
          <w:sz w:val="20"/>
          <w:szCs w:val="20"/>
        </w:rPr>
        <w:t xml:space="preserve"> This is one of several calculations to determine “model fit.” Model fit is an overall determination of the degree to which the data confirm the proposed model (in our study, the model is shown in Figure 2). RMSEA calculations take into account degrees of freedom in the covariance matrices. RMSEA results represent standardized differences between proposed model and predicted models. </w:t>
      </w:r>
    </w:p>
    <w:p>
      <w:pPr>
        <w:rPr>
          <w:rFonts w:eastAsia="Times New Roman" w:cs="Times New Roman"/>
          <w:sz w:val="20"/>
          <w:szCs w:val="20"/>
        </w:rPr>
      </w:pPr>
      <w:r>
        <w:rPr>
          <w:rFonts w:eastAsia="Times New Roman" w:cs="Times New Roman"/>
          <w:b/>
          <w:bCs/>
          <w:sz w:val="20"/>
          <w:szCs w:val="20"/>
        </w:rPr>
        <w:t>Standard:</w:t>
      </w:r>
      <w:r>
        <w:rPr>
          <w:rFonts w:eastAsia="Times New Roman" w:cs="Times New Roman"/>
          <w:sz w:val="20"/>
          <w:szCs w:val="20"/>
        </w:rPr>
        <w:t xml:space="preserve"> RMSEA values &lt;0.08</w:t>
      </w:r>
      <w:r>
        <w:rPr>
          <w:rFonts w:cs="Times New Roman"/>
          <w:sz w:val="20"/>
          <w:szCs w:val="20"/>
          <w:lang w:eastAsia="zh-CN"/>
        </w:rPr>
        <w:t xml:space="preserve"> </w:t>
      </w:r>
      <w:r>
        <w:rPr>
          <w:rFonts w:eastAsia="Times New Roman" w:cs="Times New Roman"/>
          <w:sz w:val="20"/>
          <w:szCs w:val="20"/>
        </w:rPr>
        <w:t>are considered an acceptable fit of the data to the proposed model.</w:t>
      </w:r>
    </w:p>
    <w:p>
      <w:pPr>
        <w:rPr>
          <w:rFonts w:cs="Times New Roman"/>
          <w:sz w:val="20"/>
          <w:szCs w:val="20"/>
        </w:rPr>
      </w:pPr>
    </w:p>
    <w:p>
      <w:pPr>
        <w:rPr>
          <w:rFonts w:cs="Times New Roman"/>
          <w:sz w:val="20"/>
          <w:szCs w:val="20"/>
        </w:rPr>
      </w:pPr>
      <w:r>
        <w:rPr>
          <w:rFonts w:cs="Times New Roman"/>
          <w:b/>
          <w:sz w:val="20"/>
          <w:szCs w:val="20"/>
        </w:rPr>
        <w:t>Term:</w:t>
      </w:r>
      <w:r>
        <w:rPr>
          <w:rFonts w:cs="Times New Roman"/>
          <w:sz w:val="20"/>
          <w:szCs w:val="20"/>
        </w:rPr>
        <w:t xml:space="preserve"> Standardized root mean square residual (SRMR)</w:t>
      </w:r>
    </w:p>
    <w:p>
      <w:pPr>
        <w:rPr>
          <w:rFonts w:eastAsia="Times New Roman" w:cs="Times New Roman"/>
          <w:sz w:val="20"/>
          <w:szCs w:val="20"/>
          <w:highlight w:val="yellow"/>
        </w:rPr>
      </w:pPr>
      <w:r>
        <w:rPr>
          <w:rFonts w:eastAsia="Times New Roman" w:cs="Times New Roman"/>
          <w:b/>
          <w:bCs/>
          <w:sz w:val="20"/>
          <w:szCs w:val="20"/>
        </w:rPr>
        <w:t>Purpose:</w:t>
      </w:r>
      <w:r>
        <w:rPr>
          <w:rFonts w:eastAsia="Times New Roman" w:cs="Times New Roman"/>
          <w:sz w:val="20"/>
          <w:szCs w:val="20"/>
        </w:rPr>
        <w:t xml:space="preserve"> This is one of several calculations to determine “model fit.” Model fit is an overall determination of the degree to which the data confirm the proposed model (in our study, the model is shown in Figure 2). The SRMR takes into account the standardized differences between proposed model and predicted models. The SRMR predictions of goodness of fit may be less affected by sample size.</w:t>
      </w:r>
    </w:p>
    <w:p>
      <w:pPr>
        <w:rPr>
          <w:rFonts w:eastAsia="Times New Roman" w:cs="Times New Roman"/>
          <w:sz w:val="20"/>
          <w:szCs w:val="20"/>
        </w:rPr>
      </w:pPr>
      <w:r>
        <w:rPr>
          <w:rFonts w:eastAsia="Times New Roman" w:cs="Times New Roman"/>
          <w:b/>
          <w:bCs/>
          <w:sz w:val="20"/>
          <w:szCs w:val="20"/>
        </w:rPr>
        <w:t>Standard:</w:t>
      </w:r>
      <w:r>
        <w:rPr>
          <w:rFonts w:eastAsia="Times New Roman" w:cs="Times New Roman"/>
          <w:sz w:val="20"/>
          <w:szCs w:val="20"/>
        </w:rPr>
        <w:t xml:space="preserve"> </w:t>
      </w:r>
      <w:r>
        <w:rPr>
          <w:rFonts w:cs="Times New Roman"/>
          <w:sz w:val="20"/>
          <w:szCs w:val="20"/>
        </w:rPr>
        <w:t xml:space="preserve">SRMR </w:t>
      </w:r>
      <w:r>
        <w:rPr>
          <w:rFonts w:eastAsia="Times New Roman" w:cs="Times New Roman"/>
          <w:sz w:val="20"/>
          <w:szCs w:val="20"/>
        </w:rPr>
        <w:t>values &lt;0.08</w:t>
      </w:r>
      <w:r>
        <w:rPr>
          <w:rFonts w:cs="Times New Roman"/>
          <w:sz w:val="20"/>
          <w:szCs w:val="20"/>
          <w:lang w:eastAsia="zh-CN"/>
        </w:rPr>
        <w:t xml:space="preserve"> </w:t>
      </w:r>
      <w:r>
        <w:rPr>
          <w:rFonts w:eastAsia="Times New Roman" w:cs="Times New Roman"/>
          <w:sz w:val="20"/>
          <w:szCs w:val="20"/>
        </w:rPr>
        <w:t>are considered an acceptable fit of the data to the proposed model.</w:t>
      </w:r>
    </w:p>
    <w:p>
      <w:pPr>
        <w:rPr>
          <w:rFonts w:cs="Times New Roman"/>
          <w:sz w:val="20"/>
          <w:szCs w:val="20"/>
        </w:rPr>
      </w:pPr>
    </w:p>
    <w:p>
      <w:pPr>
        <w:rPr>
          <w:rFonts w:cs="Times New Roman"/>
          <w:sz w:val="20"/>
          <w:szCs w:val="20"/>
        </w:rPr>
      </w:pPr>
    </w:p>
    <w:p>
      <w:pPr>
        <w:rPr>
          <w:rFonts w:eastAsia="Times New Roman" w:cs="Times New Roman"/>
          <w:sz w:val="20"/>
          <w:szCs w:val="20"/>
        </w:rPr>
      </w:pPr>
      <w:r>
        <w:rPr>
          <w:rFonts w:eastAsia="Times New Roman" w:cs="Times New Roman"/>
          <w:b/>
          <w:bCs/>
          <w:sz w:val="20"/>
          <w:szCs w:val="20"/>
        </w:rPr>
        <w:t>Term:</w:t>
      </w:r>
      <w:r>
        <w:rPr>
          <w:rFonts w:eastAsia="Times New Roman" w:cs="Times New Roman"/>
          <w:sz w:val="20"/>
          <w:szCs w:val="20"/>
        </w:rPr>
        <w:t xml:space="preserve"> Tucker-Lewis Index (TLI) </w:t>
      </w:r>
    </w:p>
    <w:p>
      <w:pPr>
        <w:rPr>
          <w:rFonts w:eastAsia="Times New Roman" w:cs="Times New Roman"/>
          <w:sz w:val="20"/>
          <w:szCs w:val="20"/>
        </w:rPr>
      </w:pPr>
      <w:r>
        <w:rPr>
          <w:rFonts w:eastAsia="Times New Roman" w:cs="Times New Roman"/>
          <w:b/>
          <w:bCs/>
          <w:sz w:val="20"/>
          <w:szCs w:val="20"/>
        </w:rPr>
        <w:t>Purpose:</w:t>
      </w:r>
      <w:r>
        <w:rPr>
          <w:rFonts w:eastAsia="Times New Roman" w:cs="Times New Roman"/>
          <w:sz w:val="20"/>
          <w:szCs w:val="20"/>
        </w:rPr>
        <w:t xml:space="preserve"> This is one of several calculations to determine “model fit.” Model fit is an overall determination of the degree to which the data confirm the proposed model (in our study, the model is shown in Figure 2). For example, TLI of 0.95 would suggests that the proposed model would increase fit by 95% compared to a theoretical model positing </w:t>
      </w:r>
      <w:r>
        <w:rPr>
          <w:sz w:val="20"/>
          <w:szCs w:val="20"/>
        </w:rPr>
        <w:t>no relationships among any items.</w:t>
      </w:r>
    </w:p>
    <w:p>
      <w:pPr>
        <w:rPr>
          <w:rFonts w:eastAsia="Times New Roman" w:cs="Times New Roman"/>
          <w:sz w:val="20"/>
          <w:szCs w:val="20"/>
        </w:rPr>
      </w:pPr>
      <w:r>
        <w:rPr>
          <w:rFonts w:eastAsia="Times New Roman" w:cs="Times New Roman"/>
          <w:b/>
          <w:bCs/>
          <w:sz w:val="20"/>
          <w:szCs w:val="20"/>
        </w:rPr>
        <w:t>Standard:</w:t>
      </w:r>
      <w:r>
        <w:rPr>
          <w:rFonts w:eastAsia="Times New Roman" w:cs="Times New Roman"/>
          <w:sz w:val="20"/>
          <w:szCs w:val="20"/>
        </w:rPr>
        <w:t xml:space="preserve"> TLI values of &gt;0.80 are usually considered acceptable. </w:t>
      </w:r>
    </w:p>
    <w:p>
      <w:pPr>
        <w:rPr>
          <w:rFonts w:cs="Times New Roman"/>
          <w:sz w:val="20"/>
          <w:szCs w:val="20"/>
        </w:rPr>
      </w:pPr>
    </w:p>
    <w:p>
      <w:pPr>
        <w:rPr>
          <w:rFonts w:cs="Times New Roman"/>
          <w:b/>
          <w:bCs/>
          <w:sz w:val="20"/>
          <w:szCs w:val="20"/>
        </w:rPr>
      </w:pPr>
    </w:p>
    <w:p>
      <w:pPr>
        <w:rPr>
          <w:rFonts w:cs="Times New Roman"/>
          <w:b/>
          <w:bCs/>
          <w:sz w:val="20"/>
          <w:szCs w:val="20"/>
        </w:rPr>
      </w:pPr>
      <w:r>
        <w:rPr>
          <w:rFonts w:cs="Times New Roman"/>
          <w:b/>
          <w:bCs/>
          <w:sz w:val="20"/>
          <w:szCs w:val="20"/>
        </w:rPr>
        <w:t>Sample References for Terms and Standards</w:t>
      </w:r>
      <w:bookmarkStart w:id="0" w:name="_GoBack"/>
      <w:bookmarkEnd w:id="0"/>
    </w:p>
    <w:p>
      <w:pPr>
        <w:shd w:val="clear" w:color="auto" w:fill="FFFFFF"/>
        <w:spacing w:afterAutospacing="1"/>
        <w:rPr>
          <w:rStyle w:val="10"/>
          <w:sz w:val="20"/>
          <w:szCs w:val="20"/>
        </w:rPr>
      </w:pPr>
      <w:r>
        <w:rPr>
          <w:color w:val="000000"/>
          <w:sz w:val="20"/>
          <w:szCs w:val="20"/>
          <w:highlight w:val="white"/>
        </w:rPr>
        <w:t>Beavers, Amy S.; Lounsbury, John W.; Richards, Jennifer K.; Huck, Schuyler W.; Skolits, Gary J.; and Esquivel, Shelley L. (2019) "Practical Considerations for Using Exploratory Factor Analysis in Educational Research," </w:t>
      </w:r>
      <w:r>
        <w:rPr>
          <w:i/>
          <w:iCs/>
          <w:color w:val="000000"/>
          <w:sz w:val="20"/>
          <w:szCs w:val="20"/>
          <w:highlight w:val="white"/>
        </w:rPr>
        <w:t>Practical Assessment, Research, and Evaluation</w:t>
      </w:r>
      <w:r>
        <w:rPr>
          <w:color w:val="000000"/>
          <w:sz w:val="20"/>
          <w:szCs w:val="20"/>
          <w:highlight w:val="white"/>
        </w:rPr>
        <w:t xml:space="preserve">: Vol. 18, Article 6. DOI: https://doi.org/10.7275/qv2q-rk76 </w:t>
      </w:r>
      <w:r>
        <w:rPr>
          <w:color w:val="000000"/>
          <w:sz w:val="20"/>
          <w:szCs w:val="20"/>
          <w:highlight w:val="white"/>
        </w:rPr>
        <w:br w:type="textWrapping"/>
      </w:r>
      <w:r>
        <w:rPr>
          <w:color w:val="000000"/>
          <w:sz w:val="20"/>
          <w:szCs w:val="20"/>
          <w:highlight w:val="white"/>
        </w:rPr>
        <w:t xml:space="preserve">Available at: </w:t>
      </w:r>
      <w:r>
        <w:rPr>
          <w:sz w:val="20"/>
          <w:szCs w:val="20"/>
        </w:rPr>
        <w:fldChar w:fldCharType="begin"/>
      </w:r>
      <w:r>
        <w:rPr>
          <w:sz w:val="20"/>
          <w:szCs w:val="20"/>
        </w:rPr>
        <w:instrText xml:space="preserve"> HYPERLINK "https://scholarworks.umass.edu/pare/vol18/iss1/6" </w:instrText>
      </w:r>
      <w:r>
        <w:rPr>
          <w:sz w:val="20"/>
          <w:szCs w:val="20"/>
        </w:rPr>
        <w:fldChar w:fldCharType="separate"/>
      </w:r>
      <w:r>
        <w:rPr>
          <w:rStyle w:val="10"/>
          <w:sz w:val="20"/>
          <w:szCs w:val="20"/>
          <w:highlight w:val="white"/>
        </w:rPr>
        <w:t>https://scholarworks.umass.edu/pare/vol18/iss1/6</w:t>
      </w:r>
      <w:r>
        <w:rPr>
          <w:rStyle w:val="10"/>
          <w:sz w:val="20"/>
          <w:szCs w:val="20"/>
          <w:highlight w:val="white"/>
        </w:rPr>
        <w:fldChar w:fldCharType="end"/>
      </w:r>
    </w:p>
    <w:p>
      <w:pPr>
        <w:shd w:val="clear" w:color="auto" w:fill="FFFFFF"/>
        <w:spacing w:afterAutospacing="1"/>
        <w:rPr>
          <w:rFonts w:eastAsia="Times New Roman" w:cs="Times New Roman"/>
          <w:sz w:val="20"/>
          <w:szCs w:val="20"/>
        </w:rPr>
      </w:pPr>
      <w:r>
        <w:rPr>
          <w:rFonts w:eastAsia="Times New Roman" w:cs="Times New Roman"/>
          <w:sz w:val="20"/>
          <w:szCs w:val="20"/>
        </w:rPr>
        <w:t>Boateng GO, Neilands TB, Frongillo EA, Melgar-Quiñonez HR, Young SL. Best practices for developing and validating scales for health, social, and behavioral research: a primer. Frontiers in public health. 2018 Jun 11;6:149.</w:t>
      </w:r>
    </w:p>
    <w:p>
      <w:pPr>
        <w:shd w:val="clear" w:color="auto" w:fill="FFFFFF"/>
        <w:spacing w:afterAutospacing="1"/>
        <w:rPr>
          <w:rFonts w:eastAsia="Times New Roman" w:cs="Times New Roman"/>
          <w:sz w:val="20"/>
          <w:szCs w:val="20"/>
        </w:rPr>
      </w:pPr>
      <w:r>
        <w:rPr>
          <w:rFonts w:eastAsia="Times New Roman" w:cs="Times New Roman"/>
          <w:sz w:val="20"/>
          <w:szCs w:val="20"/>
        </w:rPr>
        <w:t xml:space="preserve">Cohen, J. (1977). Statistical Power Analysis for the Behavioral Sciences (rev. edn). New York: Academic Press. </w:t>
      </w:r>
    </w:p>
    <w:p>
      <w:pPr>
        <w:shd w:val="clear" w:color="auto" w:fill="FFFFFF"/>
        <w:spacing w:afterAutospacing="1"/>
        <w:rPr>
          <w:rFonts w:eastAsia="Times New Roman" w:cs="Times New Roman"/>
          <w:sz w:val="20"/>
          <w:szCs w:val="20"/>
        </w:rPr>
      </w:pPr>
      <w:r>
        <w:rPr>
          <w:rFonts w:eastAsia="Times New Roman" w:cs="Times New Roman"/>
          <w:sz w:val="20"/>
          <w:szCs w:val="20"/>
        </w:rPr>
        <w:t>Cohen, J. (1988). Statistical Power Analysis for the Behavioral Sciences (2nd edn). Hillsdale, NJ: LEA.</w:t>
      </w:r>
    </w:p>
    <w:p>
      <w:pPr>
        <w:shd w:val="clear" w:color="auto" w:fill="FFFFFF"/>
        <w:spacing w:afterAutospacing="1"/>
        <w:rPr>
          <w:rFonts w:cs="Times New Roman"/>
          <w:sz w:val="20"/>
          <w:szCs w:val="20"/>
        </w:rPr>
      </w:pPr>
      <w:r>
        <w:rPr>
          <w:rStyle w:val="14"/>
          <w:rFonts w:cs="Times New Roman"/>
          <w:bCs/>
          <w:sz w:val="20"/>
          <w:szCs w:val="20"/>
        </w:rPr>
        <w:t>H</w:t>
      </w:r>
      <w:r>
        <w:rPr>
          <w:rFonts w:cs="Times New Roman"/>
          <w:bCs/>
          <w:sz w:val="20"/>
          <w:szCs w:val="20"/>
        </w:rPr>
        <w:t>ooper D,</w:t>
      </w:r>
      <w:r>
        <w:rPr>
          <w:rFonts w:cs="Times New Roman"/>
          <w:sz w:val="20"/>
          <w:szCs w:val="20"/>
        </w:rPr>
        <w:t xml:space="preserve"> Coughlan J, Mullen M. Structural equation modelling: guidelines for determining model fit. Electr J Bus Res Methods. 2008;6(1):53-60</w:t>
      </w:r>
    </w:p>
    <w:p>
      <w:pPr>
        <w:shd w:val="clear" w:color="auto" w:fill="FFFFFF"/>
        <w:spacing w:afterAutospacing="1"/>
        <w:rPr>
          <w:rFonts w:cs="Times New Roman"/>
          <w:sz w:val="20"/>
          <w:szCs w:val="20"/>
        </w:rPr>
      </w:pPr>
      <w:r>
        <w:rPr>
          <w:rFonts w:cs="Times New Roman"/>
          <w:sz w:val="20"/>
          <w:szCs w:val="20"/>
        </w:rPr>
        <w:t>Li‐tze Hu &amp; Peter M. Bentler (1999) Cutoff criteria for fit indexes in covariance structure analysis: Conventional criteria versus new alternatives, Structural Equation Modeling: A Multidisciplinary Journal, 6:1, 1-55, DOI: </w:t>
      </w:r>
      <w:r>
        <w:rPr>
          <w:sz w:val="20"/>
          <w:szCs w:val="20"/>
        </w:rPr>
        <w:fldChar w:fldCharType="begin"/>
      </w:r>
      <w:r>
        <w:rPr>
          <w:sz w:val="20"/>
          <w:szCs w:val="20"/>
        </w:rPr>
        <w:instrText xml:space="preserve"> HYPERLINK "https://doi-org.ezp-prod1.hul.harvard.edu/10.1080/10705519909540118" </w:instrText>
      </w:r>
      <w:r>
        <w:rPr>
          <w:sz w:val="20"/>
          <w:szCs w:val="20"/>
        </w:rPr>
        <w:fldChar w:fldCharType="separate"/>
      </w:r>
      <w:r>
        <w:rPr>
          <w:rFonts w:cs="Times New Roman"/>
          <w:sz w:val="20"/>
          <w:szCs w:val="20"/>
        </w:rPr>
        <w:t>10.1080/10705519909540118</w:t>
      </w:r>
      <w:r>
        <w:rPr>
          <w:rFonts w:cs="Times New Roman"/>
          <w:sz w:val="20"/>
          <w:szCs w:val="20"/>
        </w:rPr>
        <w:fldChar w:fldCharType="end"/>
      </w:r>
    </w:p>
    <w:p>
      <w:pPr>
        <w:shd w:val="clear" w:color="auto" w:fill="FFFFFF"/>
        <w:spacing w:afterAutospacing="1"/>
        <w:rPr>
          <w:rFonts w:eastAsia="Times New Roman" w:cs="Times New Roman"/>
          <w:sz w:val="20"/>
          <w:szCs w:val="20"/>
        </w:rPr>
      </w:pPr>
      <w:r>
        <w:rPr>
          <w:rFonts w:eastAsia="Times New Roman" w:cs="Times New Roman"/>
          <w:sz w:val="20"/>
          <w:szCs w:val="20"/>
        </w:rPr>
        <w:t>Sullivan GM, Feinn R. Using Effect Size-or Why the P Value Is Not Enough. J Grad Med Educ. 2012 Sep;4(3):279-82. doi: 10.4300/JGME-D-12-00156.1. PMID: 23997866; PMCID: PMC3444174.</w:t>
      </w:r>
    </w:p>
    <w:p>
      <w:pPr>
        <w:shd w:val="clear" w:color="auto" w:fill="FFFFFF"/>
        <w:spacing w:afterAutospacing="1"/>
        <w:rPr>
          <w:rFonts w:eastAsia="Times New Roman" w:cs="Times New Roman"/>
          <w:szCs w:val="24"/>
        </w:rPr>
      </w:pPr>
    </w:p>
    <w:sectPr>
      <w:pgSz w:w="12240" w:h="15840"/>
      <w:pgMar w:top="1440" w:right="1440" w:bottom="1440" w:left="1440" w:header="720" w:footer="720" w:gutter="0"/>
      <w:cols w:space="720" w:num="1"/>
      <w:docGrid w:linePitch="360"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Arial">
    <w:panose1 w:val="020B0604020202020204"/>
    <w:charset w:val="00"/>
    <w:family w:val="swiss"/>
    <w:pitch w:val="default"/>
    <w:sig w:usb0="E0002EFF" w:usb1="C000785B" w:usb2="00000009" w:usb3="00000000" w:csb0="400001FF" w:csb1="FFFF0000"/>
  </w:font>
  <w:font w:name="等线">
    <w:panose1 w:val="02010600030101010101"/>
    <w:charset w:val="86"/>
    <w:family w:val="auto"/>
    <w:pitch w:val="default"/>
    <w:sig w:usb0="A00002BF" w:usb1="38CF7CFA" w:usb2="00000016" w:usb3="00000000" w:csb0="0004000F" w:csb1="00000000"/>
  </w:font>
  <w:font w:name="Segoe UI">
    <w:panose1 w:val="020B0502040204020203"/>
    <w:charset w:val="00"/>
    <w:family w:val="swiss"/>
    <w:pitch w:val="default"/>
    <w:sig w:usb0="E4002EFF" w:usb1="C000E47F" w:usb2="00000009" w:usb3="00000000" w:csb0="200001FF" w:csb1="00000000"/>
  </w:font>
  <w:font w:name="MS PGothic">
    <w:panose1 w:val="020B0600070205080204"/>
    <w:charset w:val="80"/>
    <w:family w:val="auto"/>
    <w:pitch w:val="default"/>
    <w:sig w:usb0="E00002FF" w:usb1="6AC7FDFB" w:usb2="08000012" w:usb3="00000000" w:csb0="4002009F" w:csb1="DFD70000"/>
  </w:font>
  <w:font w:name="MS Gothic">
    <w:panose1 w:val="020B0609070205080204"/>
    <w:charset w:val="80"/>
    <w:family w:val="auto"/>
    <w:pitch w:val="default"/>
    <w:sig w:usb0="E00002FF" w:usb1="6AC7FDFB" w:usb2="08000012" w:usb3="00000000" w:csb0="4002009F" w:csb1="DFD70000"/>
  </w:font>
  <w:font w:name="方正姚体">
    <w:panose1 w:val="02010601030101010101"/>
    <w:charset w:val="86"/>
    <w:family w:val="auto"/>
    <w:pitch w:val="default"/>
    <w:sig w:usb0="00000003" w:usb1="080E0000" w:usb2="00000000" w:usb3="00000000" w:csb0="0004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bordersDoNotSurroundHeader w:val="1"/>
  <w:bordersDoNotSurroundFooter w:val="1"/>
  <w:documentProtection w:enforcement="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NDBkNzI5M2YwMWU0YjY1OGQ0NDJjOTU1NTdjMjUzYjgifQ=="/>
  </w:docVars>
  <w:rsids>
    <w:rsidRoot w:val="00DE20CE"/>
    <w:rsid w:val="00016AB9"/>
    <w:rsid w:val="00041084"/>
    <w:rsid w:val="00046175"/>
    <w:rsid w:val="0006206A"/>
    <w:rsid w:val="00075ED0"/>
    <w:rsid w:val="000854C4"/>
    <w:rsid w:val="00093C56"/>
    <w:rsid w:val="000B39DB"/>
    <w:rsid w:val="000C031D"/>
    <w:rsid w:val="000C326D"/>
    <w:rsid w:val="000E01AE"/>
    <w:rsid w:val="000E582F"/>
    <w:rsid w:val="000E5CC2"/>
    <w:rsid w:val="00102ED0"/>
    <w:rsid w:val="00127A03"/>
    <w:rsid w:val="001359A6"/>
    <w:rsid w:val="00170F31"/>
    <w:rsid w:val="001820F1"/>
    <w:rsid w:val="001E7DD1"/>
    <w:rsid w:val="00203C90"/>
    <w:rsid w:val="0021526B"/>
    <w:rsid w:val="00217822"/>
    <w:rsid w:val="0025326E"/>
    <w:rsid w:val="002659A5"/>
    <w:rsid w:val="002944E2"/>
    <w:rsid w:val="002B7566"/>
    <w:rsid w:val="002D060B"/>
    <w:rsid w:val="00301A22"/>
    <w:rsid w:val="003577DC"/>
    <w:rsid w:val="00366202"/>
    <w:rsid w:val="00371CDE"/>
    <w:rsid w:val="003A24FB"/>
    <w:rsid w:val="003C1920"/>
    <w:rsid w:val="003C5876"/>
    <w:rsid w:val="00420390"/>
    <w:rsid w:val="00426D30"/>
    <w:rsid w:val="0045275C"/>
    <w:rsid w:val="0047744A"/>
    <w:rsid w:val="0049078D"/>
    <w:rsid w:val="0049288B"/>
    <w:rsid w:val="004951C3"/>
    <w:rsid w:val="004A2706"/>
    <w:rsid w:val="004B2F32"/>
    <w:rsid w:val="004F4047"/>
    <w:rsid w:val="00553D4F"/>
    <w:rsid w:val="00562000"/>
    <w:rsid w:val="0056769B"/>
    <w:rsid w:val="0058446D"/>
    <w:rsid w:val="005916AB"/>
    <w:rsid w:val="005A351E"/>
    <w:rsid w:val="005A62B3"/>
    <w:rsid w:val="005A7452"/>
    <w:rsid w:val="005E1FB7"/>
    <w:rsid w:val="0060364B"/>
    <w:rsid w:val="006066E3"/>
    <w:rsid w:val="00621356"/>
    <w:rsid w:val="00623FFF"/>
    <w:rsid w:val="0064074E"/>
    <w:rsid w:val="0067695B"/>
    <w:rsid w:val="0069448E"/>
    <w:rsid w:val="006A57F2"/>
    <w:rsid w:val="006B266A"/>
    <w:rsid w:val="006D4CEC"/>
    <w:rsid w:val="006E6FF2"/>
    <w:rsid w:val="0070244A"/>
    <w:rsid w:val="00741337"/>
    <w:rsid w:val="00757C02"/>
    <w:rsid w:val="007812BF"/>
    <w:rsid w:val="007902DA"/>
    <w:rsid w:val="007A4724"/>
    <w:rsid w:val="007A59F3"/>
    <w:rsid w:val="007D2CE4"/>
    <w:rsid w:val="007D6D99"/>
    <w:rsid w:val="00826C82"/>
    <w:rsid w:val="008357F2"/>
    <w:rsid w:val="00843913"/>
    <w:rsid w:val="008477C4"/>
    <w:rsid w:val="00866E75"/>
    <w:rsid w:val="00870704"/>
    <w:rsid w:val="008802E5"/>
    <w:rsid w:val="00883CA5"/>
    <w:rsid w:val="00883F49"/>
    <w:rsid w:val="008A06A8"/>
    <w:rsid w:val="008B67F6"/>
    <w:rsid w:val="008C0D8B"/>
    <w:rsid w:val="008F5A11"/>
    <w:rsid w:val="008F6F01"/>
    <w:rsid w:val="009032C2"/>
    <w:rsid w:val="0091778E"/>
    <w:rsid w:val="0093199F"/>
    <w:rsid w:val="00933492"/>
    <w:rsid w:val="00946A06"/>
    <w:rsid w:val="00953B0B"/>
    <w:rsid w:val="0096569A"/>
    <w:rsid w:val="009807D4"/>
    <w:rsid w:val="00993662"/>
    <w:rsid w:val="009F5F45"/>
    <w:rsid w:val="00A109B2"/>
    <w:rsid w:val="00A272A9"/>
    <w:rsid w:val="00A55B9E"/>
    <w:rsid w:val="00A864C1"/>
    <w:rsid w:val="00AA30A5"/>
    <w:rsid w:val="00AD5714"/>
    <w:rsid w:val="00AE7BAE"/>
    <w:rsid w:val="00B11AA7"/>
    <w:rsid w:val="00B139F9"/>
    <w:rsid w:val="00B14C90"/>
    <w:rsid w:val="00B83F0C"/>
    <w:rsid w:val="00BB1963"/>
    <w:rsid w:val="00BD7C34"/>
    <w:rsid w:val="00C12517"/>
    <w:rsid w:val="00C35D88"/>
    <w:rsid w:val="00C40AF4"/>
    <w:rsid w:val="00C45E2A"/>
    <w:rsid w:val="00C47EB3"/>
    <w:rsid w:val="00C51174"/>
    <w:rsid w:val="00C601AC"/>
    <w:rsid w:val="00C72A05"/>
    <w:rsid w:val="00CB0049"/>
    <w:rsid w:val="00CC1025"/>
    <w:rsid w:val="00CC18E4"/>
    <w:rsid w:val="00CD60DE"/>
    <w:rsid w:val="00CF7525"/>
    <w:rsid w:val="00D058B9"/>
    <w:rsid w:val="00D4223D"/>
    <w:rsid w:val="00D618D1"/>
    <w:rsid w:val="00D96705"/>
    <w:rsid w:val="00DB2DFC"/>
    <w:rsid w:val="00DC119C"/>
    <w:rsid w:val="00DE20CE"/>
    <w:rsid w:val="00E036B4"/>
    <w:rsid w:val="00E05738"/>
    <w:rsid w:val="00E067FC"/>
    <w:rsid w:val="00E20630"/>
    <w:rsid w:val="00E4042E"/>
    <w:rsid w:val="00E50465"/>
    <w:rsid w:val="00E65605"/>
    <w:rsid w:val="00E84F54"/>
    <w:rsid w:val="00EB4F9F"/>
    <w:rsid w:val="00F271F1"/>
    <w:rsid w:val="00F27780"/>
    <w:rsid w:val="00F74DCD"/>
    <w:rsid w:val="00F76C36"/>
    <w:rsid w:val="00FB3235"/>
    <w:rsid w:val="52B95125"/>
  </w:rsids>
  <m:mathPr>
    <m:mathFont m:val="Cambria Math"/>
    <m:brkBin m:val="before"/>
    <m:brkBinSub m:val="--"/>
    <m:smallFrac m:val="0"/>
    <m:dispDef/>
    <m:lMargin m:val="0"/>
    <m:rMargin m:val="0"/>
    <m:defJc m:val="centerGroup"/>
    <m:wrapIndent m:val="1440"/>
    <m:intLim m:val="subSup"/>
    <m:naryLim m:val="undOvr"/>
  </m:mathPr>
  <w:themeFontLang w:val="en-US" w:eastAsia="zh-CN" w:bidi="he-IL"/>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semiHidden="0" w:name="annotation text"/>
    <w:lsdException w:uiPriority="99" w:semiHidden="0" w:name="header"/>
    <w:lsdException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semiHidden="0" w:name="Hyperlink"/>
    <w:lsdException w:qFormat="1"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rPr>
      <w:rFonts w:ascii="Times New Roman" w:hAnsi="Times New Roman" w:eastAsiaTheme="minorEastAsia" w:cstheme="minorBidi"/>
      <w:sz w:val="24"/>
      <w:szCs w:val="22"/>
      <w:lang w:val="en-US" w:eastAsia="en-US" w:bidi="ar-SA"/>
    </w:rPr>
  </w:style>
  <w:style w:type="character" w:default="1" w:styleId="8">
    <w:name w:val="Default Paragraph Font"/>
    <w:semiHidden/>
    <w:unhideWhenUsed/>
    <w:uiPriority w:val="1"/>
  </w:style>
  <w:style w:type="table" w:default="1" w:styleId="7">
    <w:name w:val="Normal Table"/>
    <w:semiHidden/>
    <w:unhideWhenUsed/>
    <w:uiPriority w:val="99"/>
    <w:tblPr>
      <w:tblCellMar>
        <w:top w:w="0" w:type="dxa"/>
        <w:left w:w="108" w:type="dxa"/>
        <w:bottom w:w="0" w:type="dxa"/>
        <w:right w:w="108" w:type="dxa"/>
      </w:tblCellMar>
    </w:tblPr>
  </w:style>
  <w:style w:type="paragraph" w:styleId="2">
    <w:name w:val="annotation text"/>
    <w:basedOn w:val="1"/>
    <w:link w:val="12"/>
    <w:unhideWhenUsed/>
    <w:uiPriority w:val="99"/>
    <w:pPr>
      <w:spacing w:after="160" w:line="259" w:lineRule="auto"/>
    </w:pPr>
    <w:rPr>
      <w:rFonts w:ascii="Calibri" w:hAnsi="Calibri" w:eastAsia="宋体" w:cs="Calibri"/>
      <w:sz w:val="22"/>
      <w:lang w:eastAsia="zh-CN"/>
    </w:rPr>
  </w:style>
  <w:style w:type="paragraph" w:styleId="3">
    <w:name w:val="Balloon Text"/>
    <w:basedOn w:val="1"/>
    <w:link w:val="13"/>
    <w:semiHidden/>
    <w:unhideWhenUsed/>
    <w:uiPriority w:val="99"/>
    <w:rPr>
      <w:rFonts w:ascii="Segoe UI" w:hAnsi="Segoe UI" w:cs="Segoe UI"/>
      <w:sz w:val="18"/>
      <w:szCs w:val="18"/>
    </w:rPr>
  </w:style>
  <w:style w:type="paragraph" w:styleId="4">
    <w:name w:val="footer"/>
    <w:basedOn w:val="1"/>
    <w:link w:val="16"/>
    <w:unhideWhenUsed/>
    <w:uiPriority w:val="99"/>
    <w:pPr>
      <w:tabs>
        <w:tab w:val="center" w:pos="4153"/>
        <w:tab w:val="right" w:pos="8306"/>
      </w:tabs>
      <w:snapToGrid w:val="0"/>
    </w:pPr>
    <w:rPr>
      <w:sz w:val="18"/>
      <w:szCs w:val="18"/>
    </w:rPr>
  </w:style>
  <w:style w:type="paragraph" w:styleId="5">
    <w:name w:val="header"/>
    <w:basedOn w:val="1"/>
    <w:link w:val="15"/>
    <w:unhideWhenUsed/>
    <w:uiPriority w:val="99"/>
    <w:pPr>
      <w:pBdr>
        <w:bottom w:val="single" w:color="auto" w:sz="6" w:space="1"/>
      </w:pBdr>
      <w:tabs>
        <w:tab w:val="center" w:pos="4153"/>
        <w:tab w:val="right" w:pos="8306"/>
      </w:tabs>
      <w:snapToGrid w:val="0"/>
      <w:jc w:val="center"/>
    </w:pPr>
    <w:rPr>
      <w:sz w:val="18"/>
      <w:szCs w:val="18"/>
    </w:rPr>
  </w:style>
  <w:style w:type="paragraph" w:styleId="6">
    <w:name w:val="annotation subject"/>
    <w:basedOn w:val="2"/>
    <w:next w:val="2"/>
    <w:link w:val="17"/>
    <w:semiHidden/>
    <w:unhideWhenUsed/>
    <w:uiPriority w:val="99"/>
    <w:pPr>
      <w:spacing w:after="0" w:line="240" w:lineRule="auto"/>
    </w:pPr>
    <w:rPr>
      <w:rFonts w:ascii="Times New Roman" w:hAnsi="Times New Roman" w:eastAsiaTheme="minorEastAsia" w:cstheme="minorBidi"/>
      <w:b/>
      <w:bCs/>
      <w:sz w:val="20"/>
      <w:szCs w:val="20"/>
      <w:lang w:eastAsia="en-US"/>
    </w:rPr>
  </w:style>
  <w:style w:type="character" w:styleId="9">
    <w:name w:val="FollowedHyperlink"/>
    <w:basedOn w:val="8"/>
    <w:semiHidden/>
    <w:unhideWhenUsed/>
    <w:qFormat/>
    <w:uiPriority w:val="99"/>
    <w:rPr>
      <w:color w:val="954F72" w:themeColor="followedHyperlink"/>
      <w:u w:val="single"/>
      <w14:textFill>
        <w14:solidFill>
          <w14:schemeClr w14:val="folHlink"/>
        </w14:solidFill>
      </w14:textFill>
    </w:rPr>
  </w:style>
  <w:style w:type="character" w:styleId="10">
    <w:name w:val="Hyperlink"/>
    <w:basedOn w:val="8"/>
    <w:unhideWhenUsed/>
    <w:uiPriority w:val="99"/>
    <w:rPr>
      <w:color w:val="0000FF"/>
      <w:u w:val="single"/>
    </w:rPr>
  </w:style>
  <w:style w:type="character" w:styleId="11">
    <w:name w:val="annotation reference"/>
    <w:basedOn w:val="8"/>
    <w:semiHidden/>
    <w:unhideWhenUsed/>
    <w:uiPriority w:val="99"/>
    <w:rPr>
      <w:sz w:val="21"/>
      <w:szCs w:val="21"/>
    </w:rPr>
  </w:style>
  <w:style w:type="character" w:customStyle="1" w:styleId="12">
    <w:name w:val="Comment Text Char"/>
    <w:basedOn w:val="8"/>
    <w:link w:val="2"/>
    <w:qFormat/>
    <w:uiPriority w:val="99"/>
    <w:rPr>
      <w:rFonts w:ascii="Calibri" w:hAnsi="Calibri" w:eastAsia="宋体" w:cs="Calibri"/>
      <w:sz w:val="22"/>
      <w:lang w:eastAsia="zh-CN"/>
    </w:rPr>
  </w:style>
  <w:style w:type="character" w:customStyle="1" w:styleId="13">
    <w:name w:val="Balloon Text Char"/>
    <w:basedOn w:val="8"/>
    <w:link w:val="3"/>
    <w:semiHidden/>
    <w:uiPriority w:val="99"/>
    <w:rPr>
      <w:rFonts w:ascii="Segoe UI" w:hAnsi="Segoe UI" w:cs="Segoe UI"/>
      <w:sz w:val="18"/>
      <w:szCs w:val="18"/>
    </w:rPr>
  </w:style>
  <w:style w:type="character" w:customStyle="1" w:styleId="14">
    <w:name w:val="authors"/>
    <w:basedOn w:val="8"/>
    <w:uiPriority w:val="0"/>
  </w:style>
  <w:style w:type="character" w:customStyle="1" w:styleId="15">
    <w:name w:val="Header Char"/>
    <w:basedOn w:val="8"/>
    <w:link w:val="5"/>
    <w:uiPriority w:val="99"/>
    <w:rPr>
      <w:sz w:val="18"/>
      <w:szCs w:val="18"/>
    </w:rPr>
  </w:style>
  <w:style w:type="character" w:customStyle="1" w:styleId="16">
    <w:name w:val="Footer Char"/>
    <w:basedOn w:val="8"/>
    <w:link w:val="4"/>
    <w:uiPriority w:val="99"/>
    <w:rPr>
      <w:sz w:val="18"/>
      <w:szCs w:val="18"/>
    </w:rPr>
  </w:style>
  <w:style w:type="character" w:customStyle="1" w:styleId="17">
    <w:name w:val="Comment Subject Char"/>
    <w:basedOn w:val="12"/>
    <w:link w:val="6"/>
    <w:semiHidden/>
    <w:qFormat/>
    <w:uiPriority w:val="99"/>
    <w:rPr>
      <w:rFonts w:ascii="Calibri" w:hAnsi="Calibri" w:eastAsia="宋体" w:cs="Calibri"/>
      <w:b/>
      <w:bCs/>
      <w:sz w:val="20"/>
      <w:szCs w:val="20"/>
      <w:lang w:eastAsia="zh-CN"/>
    </w:rPr>
  </w:style>
  <w:style w:type="paragraph" w:customStyle="1" w:styleId="18">
    <w:name w:val="Revision"/>
    <w:hidden/>
    <w:semiHidden/>
    <w:uiPriority w:val="99"/>
    <w:rPr>
      <w:rFonts w:ascii="Times New Roman" w:hAnsi="Times New Roman" w:eastAsiaTheme="minorEastAsia" w:cstheme="minorBidi"/>
      <w:sz w:val="24"/>
      <w:szCs w:val="22"/>
      <w:lang w:val="en-US" w:eastAsia="en-US" w:bidi="ar-SA"/>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Company>Cambridge Health Alliance</Company>
  <Pages>4</Pages>
  <Words>1641</Words>
  <Characters>9359</Characters>
  <Lines>77</Lines>
  <Paragraphs>21</Paragraphs>
  <TotalTime>0</TotalTime>
  <ScaleCrop>false</ScaleCrop>
  <LinksUpToDate>false</LinksUpToDate>
  <CharactersWithSpaces>10979</CharactersWithSpaces>
  <Application>WPS Office_12.1.0.15358_F1E327BC-269C-435d-A152-05C5408002CA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2023-10-12T12:28:00Z</dcterms:created>
  <dc:creator>Hirsh, DA</dc:creator>
  <cp:lastModifiedBy>李鸿鹤</cp:lastModifiedBy>
  <dcterms:modified xsi:type="dcterms:W3CDTF">2023-11-14T01:55:30Z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2d889d20230139474d89624f7d139b1c066463335934c2c6f36fb7bbf6fb839c</vt:lpwstr>
  </property>
  <property fmtid="{D5CDD505-2E9C-101B-9397-08002B2CF9AE}" pid="3" name="KSOProductBuildVer">
    <vt:lpwstr>2052-12.1.0.15358</vt:lpwstr>
  </property>
  <property fmtid="{D5CDD505-2E9C-101B-9397-08002B2CF9AE}" pid="4" name="ICV">
    <vt:lpwstr>8958512A97D74FC2807CFFDFB186C109_12</vt:lpwstr>
  </property>
</Properties>
</file>