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Times New Roman" w:cs="Times New Roman"/>
          <w:b/>
          <w:sz w:val="24"/>
          <w:szCs w:val="24"/>
        </w:rPr>
      </w:pPr>
      <w:r>
        <w:rPr>
          <w:rFonts w:hint="default" w:ascii="Times New Roman" w:hAnsi="Times New Roman" w:eastAsia="Times New Roman" w:cs="Times New Roman"/>
          <w:b/>
          <w:color w:val="auto"/>
          <w:sz w:val="28"/>
          <w:szCs w:val="24"/>
        </w:rPr>
        <w:t>A</w:t>
      </w:r>
      <w:r>
        <w:rPr>
          <w:rFonts w:hint="default" w:ascii="Times New Roman" w:hAnsi="Times New Roman" w:eastAsia="宋体" w:cs="Times New Roman"/>
          <w:b/>
          <w:color w:val="auto"/>
          <w:sz w:val="28"/>
          <w:szCs w:val="24"/>
          <w:lang w:val="en-US" w:eastAsia="zh-CN"/>
        </w:rPr>
        <w:t>ppendix</w:t>
      </w:r>
      <w:r>
        <w:rPr>
          <w:rFonts w:hint="default" w:ascii="Times New Roman" w:hAnsi="Times New Roman" w:eastAsia="Times New Roman" w:cs="Times New Roman"/>
          <w:b/>
          <w:color w:val="auto"/>
          <w:sz w:val="28"/>
          <w:szCs w:val="24"/>
        </w:rPr>
        <w:t xml:space="preserve"> 3</w:t>
      </w:r>
      <w:r>
        <w:rPr>
          <w:rFonts w:hint="default" w:ascii="Times New Roman" w:hAnsi="Times New Roman" w:eastAsia="Times New Roman" w:cs="Times New Roman"/>
          <w:b/>
          <w:color w:val="7F7F7F" w:themeColor="background1" w:themeShade="80"/>
          <w:sz w:val="22"/>
          <w:szCs w:val="24"/>
        </w:rPr>
        <w:t xml:space="preserve">  </w:t>
      </w:r>
      <w:r>
        <w:rPr>
          <w:rFonts w:hint="default" w:ascii="Times New Roman" w:hAnsi="Times New Roman" w:eastAsia="Times New Roman" w:cs="Times New Roman"/>
          <w:b/>
          <w:sz w:val="24"/>
          <w:szCs w:val="24"/>
        </w:rPr>
        <w:t xml:space="preserve">  Long Version China Medical Professionalis</w:t>
      </w:r>
      <w:bookmarkStart w:id="0" w:name="_GoBack"/>
      <w:bookmarkEnd w:id="0"/>
      <w:r>
        <w:rPr>
          <w:rFonts w:hint="default" w:ascii="Times New Roman" w:hAnsi="Times New Roman" w:eastAsia="Times New Roman" w:cs="Times New Roman"/>
          <w:b/>
          <w:sz w:val="24"/>
          <w:szCs w:val="24"/>
        </w:rPr>
        <w:t>m Inventory (CMPI) in English, 40 items</w:t>
      </w:r>
    </w:p>
    <w:p>
      <w:pPr>
        <w:rPr>
          <w:rFonts w:hint="default" w:ascii="Times New Roman" w:hAnsi="Times New Roman" w:eastAsia="Times New Roman" w:cs="Times New Roman"/>
          <w:b/>
          <w:sz w:val="24"/>
          <w:szCs w:val="24"/>
        </w:rPr>
      </w:pPr>
    </w:p>
    <w:tbl>
      <w:tblPr>
        <w:tblStyle w:val="30"/>
        <w:tblW w:w="5295"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0"/>
        <w:gridCol w:w="8941"/>
        <w:gridCol w:w="790"/>
        <w:gridCol w:w="69"/>
        <w:gridCol w:w="858"/>
        <w:gridCol w:w="862"/>
        <w:gridCol w:w="577"/>
        <w:gridCol w:w="283"/>
        <w:gridCol w:w="862"/>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c>
          <w:tcPr>
            <w:tcW w:w="254" w:type="pct"/>
            <w:tcBorders>
              <w:bottom w:val="single" w:color="auto" w:sz="4" w:space="0"/>
            </w:tcBorders>
            <w:shd w:val="clear" w:color="auto" w:fill="auto"/>
          </w:tcPr>
          <w:p>
            <w:pPr>
              <w:snapToGrid w:val="0"/>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No.</w:t>
            </w:r>
          </w:p>
        </w:tc>
        <w:tc>
          <w:tcPr>
            <w:tcW w:w="3204" w:type="pct"/>
            <w:tcBorders>
              <w:bottom w:val="single" w:color="auto" w:sz="4" w:space="0"/>
            </w:tcBorders>
            <w:shd w:val="clear" w:color="auto" w:fill="auto"/>
          </w:tcPr>
          <w:p>
            <w:pPr>
              <w:snapToGrid w:val="0"/>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Please check how often you have demonstrated the following behaviors in practice:</w:t>
            </w:r>
          </w:p>
        </w:tc>
        <w:tc>
          <w:tcPr>
            <w:tcW w:w="346" w:type="pct"/>
            <w:tcBorders>
              <w:bottom w:val="single" w:color="auto" w:sz="4" w:space="0"/>
            </w:tcBorders>
            <w:shd w:val="clear" w:color="auto" w:fill="auto"/>
          </w:tcPr>
          <w:p>
            <w:pPr>
              <w:tabs>
                <w:tab w:val="left" w:pos="120"/>
                <w:tab w:val="left" w:pos="612"/>
              </w:tabs>
              <w:snapToGrid w:val="0"/>
              <w:jc w:val="center"/>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 xml:space="preserve">Not    </w:t>
            </w:r>
          </w:p>
          <w:p>
            <w:pPr>
              <w:tabs>
                <w:tab w:val="left" w:pos="120"/>
                <w:tab w:val="left" w:pos="612"/>
              </w:tabs>
              <w:snapToGrid w:val="0"/>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 xml:space="preserve">  at all</w:t>
            </w:r>
          </w:p>
        </w:tc>
        <w:tc>
          <w:tcPr>
            <w:tcW w:w="862" w:type="pct"/>
            <w:gridSpan w:val="4"/>
            <w:tcBorders>
              <w:bottom w:val="single" w:color="auto" w:sz="4" w:space="0"/>
            </w:tcBorders>
            <w:shd w:val="clear" w:color="auto" w:fill="auto"/>
          </w:tcPr>
          <w:p>
            <w:pPr>
              <w:snapToGrid w:val="0"/>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&lt;----------------------&gt;</w:t>
            </w:r>
          </w:p>
        </w:tc>
        <w:tc>
          <w:tcPr>
            <w:tcW w:w="334" w:type="pct"/>
            <w:gridSpan w:val="2"/>
            <w:tcBorders>
              <w:bottom w:val="single" w:color="auto" w:sz="4" w:space="0"/>
            </w:tcBorders>
            <w:shd w:val="clear" w:color="auto" w:fill="auto"/>
          </w:tcPr>
          <w:p>
            <w:pPr>
              <w:snapToGrid w:val="0"/>
              <w:rPr>
                <w:rFonts w:hint="default" w:ascii="Times New Roman" w:hAnsi="Times New Roman" w:eastAsia="Times New Roman" w:cs="Times New Roman"/>
                <w:b/>
                <w:color w:val="000000" w:themeColor="text1"/>
                <w:sz w:val="20"/>
                <w:szCs w:val="20"/>
                <w14:textFill>
                  <w14:solidFill>
                    <w14:schemeClr w14:val="tx1"/>
                  </w14:solidFill>
                </w14:textFill>
              </w:rPr>
            </w:pPr>
            <w:r>
              <w:rPr>
                <w:rFonts w:hint="default" w:ascii="Times New Roman" w:hAnsi="Times New Roman" w:eastAsia="Times New Roman" w:cs="Times New Roman"/>
                <w:b/>
                <w:color w:val="000000" w:themeColor="text1"/>
                <w:sz w:val="20"/>
                <w:szCs w:val="20"/>
                <w14:textFill>
                  <w14:solidFill>
                    <w14:schemeClr w14:val="tx1"/>
                  </w14:solidFill>
                </w14:textFill>
              </w:rPr>
              <w:t>Very much</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tcBorders>
              <w:top w:val="single" w:color="auto" w:sz="4" w:space="0"/>
            </w:tcBorders>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204" w:type="pct"/>
            <w:tcBorders>
              <w:top w:val="single" w:color="auto" w:sz="4" w:space="0"/>
            </w:tcBorders>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Presents professional opinions to the patient in a way the patient can understand.</w:t>
            </w:r>
          </w:p>
        </w:tc>
        <w:tc>
          <w:tcPr>
            <w:tcW w:w="308" w:type="pct"/>
            <w:gridSpan w:val="2"/>
            <w:tcBorders>
              <w:top w:val="single" w:color="auto" w:sz="4" w:space="0"/>
            </w:tcBorders>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tcBorders>
              <w:top w:val="single" w:color="auto" w:sz="4" w:space="0"/>
            </w:tcBorders>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tcBorders>
              <w:top w:val="single" w:color="auto" w:sz="4" w:space="0"/>
            </w:tcBorders>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tcBorders>
              <w:top w:val="single" w:color="auto" w:sz="4" w:space="0"/>
            </w:tcBorders>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tcBorders>
              <w:top w:val="single" w:color="auto" w:sz="4" w:space="0"/>
            </w:tcBorders>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Explains to the patient what they need to know about their problems, how and why they occurred, and what to expect next.</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Takes the patient’s embarrassment, shyness, and reluctance into account and provides timely emotional support when necessary.</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Demonstrates respect for patient autonomy and their informed decisions. </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Does not discriminate against or refuse to treat a patient due to gender, race, religion, nationality, family background, sexual orientation, or economic status. </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6</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Greets patients warmly; calling them by the names they prefer; be friendly, never crabby or rude.</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7</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Follows the regulations and procedures for declaration of a patient’s death and takes care of the family's emotions to give proper comfort.</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8</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Discusses options with patients, asks their opinions, offers choices, and lets them decide what to do before making decisions.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9</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Follows the patient’s preference to accept or refuse any clinical treatment. </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10</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Maintains a positive rapport with the whole healthcare team and provides emotional support for colleagues.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highlight w:val="yellow"/>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highlight w:val="yellow"/>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11</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Works collaboratively across disciplines to complete medical responsibilities.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12</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Demonstrates respect for clinical assistants, such as nurses and other staff.</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13</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Demonstrates trust in the professional knowledge and skills of coworkers.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14</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Resolves interdisciplinary conflicts in a collegial and respectful manner.</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15</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Avoids discussing and revealing confidential patient information in public.</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16</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Maintains patient/physician relationships that do not exploit personal financial gain, privacy, or sexual advantages.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17</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Takes responsibility for their own clinical decisions and medical practices (i.e., not seek to evade responsibility).</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18</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Avoids conducting non-scientific or unethical research supported by commercial sponsorship. </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19</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sell any medical products or prescribe drugs for personal benefit.</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20</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participate in commercially sponsored banquets, tourism, training, or other activities that may lead to medical bias.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21</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attract patients through misleading advertising.</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22</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Participates in peer evaluations of the quality of care provided by colleagues objectively.</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23</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give patients false hope and fully explains treatment risks to them.</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24</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Provides appropriate and clear information to colleagues for follow-up patient care.</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25</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Follows scientific standards and bases decisions on scientific evidence and experience.</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26</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Applies new clinical practice guidelines into patient care actively.</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27</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Acknowledges the meaning and relative value of scientific evidence in decision-making.</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28</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Uses practical experience as a basis for critical self-reflection.</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29</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Consults other medical colleagues to manage a situation that is beyond one’s ability.</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30</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Engages in continuous professional development (CPD).</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31</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Promotes the welfare and careers of junior faculty.</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i/>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32</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Shares experience, skills, and knowledge with junior colleagues. </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33</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Focuses on the risk factors that may threaten the safety of the patient and actively provides early warning and improvement suggestions to the relevant authority.</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34</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Does not provide unnecessary or excessive testing or medical treatment.</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35</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Advocates for public health and transfers knowledge of public health to patients.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36</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Ensures that the patient understands the content and meaning of informed consent correctly and fully.</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37</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Distinguishes between accepted treatment and experimental activities and abides by ethical standards.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38</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Does not harm the patient or put the patient at unnecessary risk by using medical knowledge and skills that the doctors know to not be in the best interest of the patient. </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39</w:t>
            </w:r>
          </w:p>
        </w:tc>
        <w:tc>
          <w:tcPr>
            <w:tcW w:w="320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Collaborates with peers to avoid unnecessary tests and optimizes the use of medical resources.</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254" w:type="pct"/>
            <w:shd w:val="clear" w:color="auto" w:fill="auto"/>
          </w:tcPr>
          <w:p>
            <w:pPr>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40</w:t>
            </w:r>
          </w:p>
        </w:tc>
        <w:tc>
          <w:tcPr>
            <w:tcW w:w="3204" w:type="pct"/>
            <w:shd w:val="clear" w:color="auto" w:fill="auto"/>
          </w:tcPr>
          <w:p>
            <w:pPr>
              <w:keepNext/>
              <w:keepLines/>
              <w:snapToGrid w:val="0"/>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 xml:space="preserve">Chooses appropriate medical treatment for a patient with financial constraints and helps them in finding other means of assistance. </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1</w:t>
            </w:r>
          </w:p>
        </w:tc>
        <w:tc>
          <w:tcPr>
            <w:tcW w:w="308"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2</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3</w:t>
            </w:r>
          </w:p>
        </w:tc>
        <w:tc>
          <w:tcPr>
            <w:tcW w:w="308" w:type="pct"/>
            <w:gridSpan w:val="2"/>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4</w:t>
            </w:r>
          </w:p>
        </w:tc>
        <w:tc>
          <w:tcPr>
            <w:tcW w:w="309" w:type="pct"/>
            <w:shd w:val="clear" w:color="auto" w:fill="auto"/>
            <w:vAlign w:val="center"/>
          </w:tcPr>
          <w:p>
            <w:pPr>
              <w:snapToGrid w:val="0"/>
              <w:jc w:val="center"/>
              <w:rPr>
                <w:rFonts w:hint="default" w:ascii="Times New Roman" w:hAnsi="Times New Roman" w:eastAsia="Times New Roman" w:cs="Times New Roman"/>
                <w:color w:val="000000" w:themeColor="text1"/>
                <w:sz w:val="20"/>
                <w:szCs w:val="20"/>
                <w14:textFill>
                  <w14:solidFill>
                    <w14:schemeClr w14:val="tx1"/>
                  </w14:solidFill>
                </w14:textFill>
              </w:rPr>
            </w:pPr>
            <w:r>
              <w:rPr>
                <w:rFonts w:hint="default" w:ascii="Times New Roman" w:hAnsi="Times New Roman" w:eastAsia="Times New Roman" w:cs="Times New Roman"/>
                <w:color w:val="000000" w:themeColor="text1"/>
                <w:sz w:val="20"/>
                <w:szCs w:val="20"/>
                <w14:textFill>
                  <w14:solidFill>
                    <w14:schemeClr w14:val="tx1"/>
                  </w14:solidFill>
                </w14:textFill>
              </w:rPr>
              <w:t>5</w:t>
            </w:r>
          </w:p>
        </w:tc>
      </w:tr>
    </w:tbl>
    <w:p>
      <w:pPr>
        <w:rPr>
          <w:rFonts w:ascii="Arial" w:hAnsi="Arial" w:eastAsia="Times New Roman" w:cs="Arial"/>
          <w:b/>
          <w:sz w:val="32"/>
          <w:szCs w:val="24"/>
        </w:rPr>
      </w:pPr>
    </w:p>
    <w:sectPr>
      <w:pgSz w:w="15840" w:h="12240"/>
      <w:pgMar w:top="1440" w:right="1440" w:bottom="1440" w:left="1440"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BkNzI5M2YwMWU0YjY1OGQ0NDJjOTU1NTdjMjUzYjgifQ=="/>
  </w:docVars>
  <w:rsids>
    <w:rsidRoot w:val="0000242F"/>
    <w:rsid w:val="0000242F"/>
    <w:rsid w:val="0001006A"/>
    <w:rsid w:val="00011BA2"/>
    <w:rsid w:val="00076F60"/>
    <w:rsid w:val="00086026"/>
    <w:rsid w:val="000876D9"/>
    <w:rsid w:val="000917E1"/>
    <w:rsid w:val="00095A7C"/>
    <w:rsid w:val="000C55BD"/>
    <w:rsid w:val="000E69E0"/>
    <w:rsid w:val="001032E5"/>
    <w:rsid w:val="001112AB"/>
    <w:rsid w:val="001216A9"/>
    <w:rsid w:val="00176566"/>
    <w:rsid w:val="001871D0"/>
    <w:rsid w:val="00197DF5"/>
    <w:rsid w:val="001A242D"/>
    <w:rsid w:val="001B4635"/>
    <w:rsid w:val="001C0315"/>
    <w:rsid w:val="001D1CA2"/>
    <w:rsid w:val="001D30F6"/>
    <w:rsid w:val="001E5399"/>
    <w:rsid w:val="001E6D1F"/>
    <w:rsid w:val="002365E8"/>
    <w:rsid w:val="00264F98"/>
    <w:rsid w:val="002659F9"/>
    <w:rsid w:val="00285D53"/>
    <w:rsid w:val="003147D6"/>
    <w:rsid w:val="00331EFC"/>
    <w:rsid w:val="0034335A"/>
    <w:rsid w:val="0034631F"/>
    <w:rsid w:val="003722D6"/>
    <w:rsid w:val="00392922"/>
    <w:rsid w:val="003A0990"/>
    <w:rsid w:val="003A2BD4"/>
    <w:rsid w:val="003A4718"/>
    <w:rsid w:val="003B2108"/>
    <w:rsid w:val="003C4151"/>
    <w:rsid w:val="003E537D"/>
    <w:rsid w:val="003E5552"/>
    <w:rsid w:val="003F689C"/>
    <w:rsid w:val="0040362B"/>
    <w:rsid w:val="00406529"/>
    <w:rsid w:val="004770A4"/>
    <w:rsid w:val="0049405E"/>
    <w:rsid w:val="004A11C6"/>
    <w:rsid w:val="004E1B38"/>
    <w:rsid w:val="004E2349"/>
    <w:rsid w:val="00501873"/>
    <w:rsid w:val="0054424C"/>
    <w:rsid w:val="00564F47"/>
    <w:rsid w:val="005A5360"/>
    <w:rsid w:val="005B33D4"/>
    <w:rsid w:val="005B4094"/>
    <w:rsid w:val="005E4B09"/>
    <w:rsid w:val="005E6B32"/>
    <w:rsid w:val="005E7ACA"/>
    <w:rsid w:val="005F11F1"/>
    <w:rsid w:val="005F2185"/>
    <w:rsid w:val="0062367A"/>
    <w:rsid w:val="006377C3"/>
    <w:rsid w:val="00660719"/>
    <w:rsid w:val="00681222"/>
    <w:rsid w:val="00685A3D"/>
    <w:rsid w:val="0069491D"/>
    <w:rsid w:val="006A4743"/>
    <w:rsid w:val="006E2B9E"/>
    <w:rsid w:val="00700B1E"/>
    <w:rsid w:val="00745B39"/>
    <w:rsid w:val="007700E2"/>
    <w:rsid w:val="007750C1"/>
    <w:rsid w:val="00783161"/>
    <w:rsid w:val="00786C57"/>
    <w:rsid w:val="007A3111"/>
    <w:rsid w:val="007B1672"/>
    <w:rsid w:val="007B4307"/>
    <w:rsid w:val="007C0EBF"/>
    <w:rsid w:val="007E1D75"/>
    <w:rsid w:val="007F3221"/>
    <w:rsid w:val="007F38C7"/>
    <w:rsid w:val="007F533C"/>
    <w:rsid w:val="00806973"/>
    <w:rsid w:val="0081469D"/>
    <w:rsid w:val="008174AE"/>
    <w:rsid w:val="00824C2E"/>
    <w:rsid w:val="00827B6E"/>
    <w:rsid w:val="00874981"/>
    <w:rsid w:val="00877C7A"/>
    <w:rsid w:val="00882C62"/>
    <w:rsid w:val="008A356B"/>
    <w:rsid w:val="008A5780"/>
    <w:rsid w:val="008A5CFA"/>
    <w:rsid w:val="008A74E7"/>
    <w:rsid w:val="008B687B"/>
    <w:rsid w:val="008B74AF"/>
    <w:rsid w:val="008B7604"/>
    <w:rsid w:val="008C5BC5"/>
    <w:rsid w:val="008D6E27"/>
    <w:rsid w:val="008E5F44"/>
    <w:rsid w:val="00940048"/>
    <w:rsid w:val="00990CE6"/>
    <w:rsid w:val="009A4CA5"/>
    <w:rsid w:val="009C6BF3"/>
    <w:rsid w:val="009D0EB6"/>
    <w:rsid w:val="009E6954"/>
    <w:rsid w:val="00A2104E"/>
    <w:rsid w:val="00A3715F"/>
    <w:rsid w:val="00A41B56"/>
    <w:rsid w:val="00A63604"/>
    <w:rsid w:val="00A848D5"/>
    <w:rsid w:val="00A90A4B"/>
    <w:rsid w:val="00A931D0"/>
    <w:rsid w:val="00A957B1"/>
    <w:rsid w:val="00AA5C3B"/>
    <w:rsid w:val="00AB4CD9"/>
    <w:rsid w:val="00AD1A66"/>
    <w:rsid w:val="00B01938"/>
    <w:rsid w:val="00B02DC1"/>
    <w:rsid w:val="00B22870"/>
    <w:rsid w:val="00B538F0"/>
    <w:rsid w:val="00B55091"/>
    <w:rsid w:val="00B608EC"/>
    <w:rsid w:val="00B8759B"/>
    <w:rsid w:val="00B91BE2"/>
    <w:rsid w:val="00BA0FBC"/>
    <w:rsid w:val="00BA5FDB"/>
    <w:rsid w:val="00BB7AD5"/>
    <w:rsid w:val="00C127EE"/>
    <w:rsid w:val="00C151D5"/>
    <w:rsid w:val="00C15FA7"/>
    <w:rsid w:val="00C2642A"/>
    <w:rsid w:val="00C32C9E"/>
    <w:rsid w:val="00C32EE7"/>
    <w:rsid w:val="00C3658D"/>
    <w:rsid w:val="00C36B16"/>
    <w:rsid w:val="00C45B28"/>
    <w:rsid w:val="00C60042"/>
    <w:rsid w:val="00C64294"/>
    <w:rsid w:val="00C66AE2"/>
    <w:rsid w:val="00C704E3"/>
    <w:rsid w:val="00C7223F"/>
    <w:rsid w:val="00C7791F"/>
    <w:rsid w:val="00CA0984"/>
    <w:rsid w:val="00CA7581"/>
    <w:rsid w:val="00CC2EE6"/>
    <w:rsid w:val="00CC38DF"/>
    <w:rsid w:val="00CD3717"/>
    <w:rsid w:val="00CD738A"/>
    <w:rsid w:val="00CE0A13"/>
    <w:rsid w:val="00CE54B6"/>
    <w:rsid w:val="00D06C07"/>
    <w:rsid w:val="00D16D96"/>
    <w:rsid w:val="00D33F82"/>
    <w:rsid w:val="00D45844"/>
    <w:rsid w:val="00D56CE7"/>
    <w:rsid w:val="00D603AD"/>
    <w:rsid w:val="00D72930"/>
    <w:rsid w:val="00D9038B"/>
    <w:rsid w:val="00DC5797"/>
    <w:rsid w:val="00E30921"/>
    <w:rsid w:val="00E3415B"/>
    <w:rsid w:val="00E36CCA"/>
    <w:rsid w:val="00E67F30"/>
    <w:rsid w:val="00E7102D"/>
    <w:rsid w:val="00E733EA"/>
    <w:rsid w:val="00E75CC8"/>
    <w:rsid w:val="00EB5E3B"/>
    <w:rsid w:val="00EE41B6"/>
    <w:rsid w:val="00EF176A"/>
    <w:rsid w:val="00F0144A"/>
    <w:rsid w:val="00F335C6"/>
    <w:rsid w:val="00F33658"/>
    <w:rsid w:val="00F57CDF"/>
    <w:rsid w:val="00F8432C"/>
    <w:rsid w:val="00F867A3"/>
    <w:rsid w:val="00FB0D03"/>
    <w:rsid w:val="00FB4664"/>
    <w:rsid w:val="00FC0DEB"/>
    <w:rsid w:val="00FE1A85"/>
    <w:rsid w:val="00FF59B4"/>
    <w:rsid w:val="0A5C2D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sz w:val="21"/>
      <w:szCs w:val="21"/>
      <w:lang w:val="en-US" w:eastAsia="zh-CN" w:bidi="ar-SA"/>
    </w:rPr>
  </w:style>
  <w:style w:type="paragraph" w:styleId="2">
    <w:name w:val="heading 1"/>
    <w:basedOn w:val="3"/>
    <w:next w:val="3"/>
    <w:uiPriority w:val="0"/>
    <w:pPr>
      <w:keepNext/>
      <w:keepLines/>
      <w:spacing w:before="480" w:after="120"/>
      <w:outlineLvl w:val="0"/>
    </w:pPr>
    <w:rPr>
      <w:b/>
      <w:sz w:val="48"/>
      <w:szCs w:val="48"/>
    </w:rPr>
  </w:style>
  <w:style w:type="paragraph" w:styleId="4">
    <w:name w:val="heading 2"/>
    <w:basedOn w:val="3"/>
    <w:next w:val="3"/>
    <w:uiPriority w:val="0"/>
    <w:pPr>
      <w:keepNext/>
      <w:keepLines/>
      <w:spacing w:before="360" w:after="80"/>
      <w:outlineLvl w:val="1"/>
    </w:pPr>
    <w:rPr>
      <w:b/>
      <w:sz w:val="36"/>
      <w:szCs w:val="36"/>
    </w:rPr>
  </w:style>
  <w:style w:type="paragraph" w:styleId="5">
    <w:name w:val="heading 3"/>
    <w:basedOn w:val="3"/>
    <w:next w:val="3"/>
    <w:uiPriority w:val="0"/>
    <w:pPr>
      <w:keepNext/>
      <w:keepLines/>
      <w:spacing w:before="280" w:after="80"/>
      <w:outlineLvl w:val="2"/>
    </w:pPr>
    <w:rPr>
      <w:b/>
      <w:sz w:val="28"/>
      <w:szCs w:val="28"/>
    </w:rPr>
  </w:style>
  <w:style w:type="paragraph" w:styleId="6">
    <w:name w:val="heading 4"/>
    <w:basedOn w:val="3"/>
    <w:next w:val="3"/>
    <w:uiPriority w:val="0"/>
    <w:pPr>
      <w:keepNext/>
      <w:keepLines/>
      <w:spacing w:before="240" w:after="40"/>
      <w:outlineLvl w:val="3"/>
    </w:pPr>
    <w:rPr>
      <w:b/>
      <w:sz w:val="24"/>
      <w:szCs w:val="24"/>
    </w:rPr>
  </w:style>
  <w:style w:type="paragraph" w:styleId="7">
    <w:name w:val="heading 5"/>
    <w:basedOn w:val="3"/>
    <w:next w:val="3"/>
    <w:uiPriority w:val="0"/>
    <w:pPr>
      <w:keepNext/>
      <w:keepLines/>
      <w:spacing w:before="220" w:after="40"/>
      <w:outlineLvl w:val="4"/>
    </w:pPr>
    <w:rPr>
      <w:b/>
      <w:sz w:val="22"/>
      <w:szCs w:val="22"/>
    </w:rPr>
  </w:style>
  <w:style w:type="paragraph" w:styleId="8">
    <w:name w:val="heading 6"/>
    <w:basedOn w:val="3"/>
    <w:next w:val="3"/>
    <w:uiPriority w:val="0"/>
    <w:pPr>
      <w:keepNext/>
      <w:keepLines/>
      <w:spacing w:before="200" w:after="40"/>
      <w:outlineLvl w:val="5"/>
    </w:pPr>
    <w:rPr>
      <w:b/>
      <w:sz w:val="20"/>
      <w:szCs w:val="20"/>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customStyle="1" w:styleId="3">
    <w:name w:val="Normal1"/>
    <w:uiPriority w:val="0"/>
    <w:pPr>
      <w:widowControl w:val="0"/>
      <w:jc w:val="both"/>
    </w:pPr>
    <w:rPr>
      <w:rFonts w:ascii="等线" w:hAnsi="等线" w:eastAsia="等线" w:cs="等线"/>
      <w:sz w:val="21"/>
      <w:szCs w:val="21"/>
      <w:lang w:val="en-US" w:eastAsia="zh-CN" w:bidi="ar-SA"/>
    </w:rPr>
  </w:style>
  <w:style w:type="paragraph" w:styleId="9">
    <w:name w:val="annotation text"/>
    <w:basedOn w:val="1"/>
    <w:link w:val="24"/>
    <w:semiHidden/>
    <w:unhideWhenUsed/>
    <w:uiPriority w:val="99"/>
    <w:pPr>
      <w:jc w:val="left"/>
    </w:pPr>
  </w:style>
  <w:style w:type="paragraph" w:styleId="10">
    <w:name w:val="Balloon Text"/>
    <w:basedOn w:val="1"/>
    <w:link w:val="26"/>
    <w:semiHidden/>
    <w:unhideWhenUsed/>
    <w:uiPriority w:val="99"/>
    <w:rPr>
      <w:sz w:val="18"/>
      <w:szCs w:val="18"/>
    </w:rPr>
  </w:style>
  <w:style w:type="paragraph" w:styleId="11">
    <w:name w:val="footer"/>
    <w:basedOn w:val="1"/>
    <w:link w:val="23"/>
    <w:unhideWhenUsed/>
    <w:uiPriority w:val="99"/>
    <w:pPr>
      <w:tabs>
        <w:tab w:val="center" w:pos="4153"/>
        <w:tab w:val="right" w:pos="8306"/>
      </w:tabs>
      <w:snapToGrid w:val="0"/>
      <w:jc w:val="left"/>
    </w:pPr>
    <w:rPr>
      <w:sz w:val="18"/>
      <w:szCs w:val="18"/>
    </w:rPr>
  </w:style>
  <w:style w:type="paragraph" w:styleId="12">
    <w:name w:val="header"/>
    <w:basedOn w:val="1"/>
    <w:link w:val="22"/>
    <w:unhideWhenUsed/>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3"/>
    <w:next w:val="3"/>
    <w:uiPriority w:val="0"/>
    <w:pPr>
      <w:keepNext/>
      <w:keepLines/>
      <w:spacing w:before="360" w:after="80"/>
    </w:pPr>
    <w:rPr>
      <w:rFonts w:ascii="Georgia" w:hAnsi="Georgia" w:eastAsia="Georgia" w:cs="Georgia"/>
      <w:i/>
      <w:color w:val="666666"/>
      <w:sz w:val="48"/>
      <w:szCs w:val="48"/>
    </w:rPr>
  </w:style>
  <w:style w:type="paragraph" w:styleId="14">
    <w:name w:val="Title"/>
    <w:basedOn w:val="3"/>
    <w:next w:val="3"/>
    <w:uiPriority w:val="0"/>
    <w:pPr>
      <w:keepNext/>
      <w:keepLines/>
      <w:spacing w:before="480" w:after="120"/>
    </w:pPr>
    <w:rPr>
      <w:b/>
      <w:sz w:val="72"/>
      <w:szCs w:val="72"/>
    </w:rPr>
  </w:style>
  <w:style w:type="paragraph" w:styleId="15">
    <w:name w:val="annotation subject"/>
    <w:basedOn w:val="9"/>
    <w:next w:val="9"/>
    <w:link w:val="25"/>
    <w:semiHidden/>
    <w:unhideWhenUsed/>
    <w:uiPriority w:val="99"/>
    <w:rPr>
      <w:b/>
      <w:bCs/>
    </w:rPr>
  </w:style>
  <w:style w:type="table" w:styleId="17">
    <w:name w:val="Table Grid"/>
    <w:basedOn w:val="1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Emphasis"/>
    <w:qFormat/>
    <w:uiPriority w:val="0"/>
    <w:rPr>
      <w:rFonts w:ascii="Times New Roman" w:hAnsi="Times New Roman" w:eastAsia="黑体" w:cs="Times New Roman"/>
      <w:sz w:val="24"/>
      <w:szCs w:val="24"/>
    </w:rPr>
  </w:style>
  <w:style w:type="character" w:styleId="20">
    <w:name w:val="annotation reference"/>
    <w:basedOn w:val="18"/>
    <w:semiHidden/>
    <w:unhideWhenUsed/>
    <w:uiPriority w:val="99"/>
    <w:rPr>
      <w:sz w:val="21"/>
      <w:szCs w:val="21"/>
    </w:rPr>
  </w:style>
  <w:style w:type="table" w:customStyle="1" w:styleId="21">
    <w:name w:val="Table Normal1"/>
    <w:uiPriority w:val="0"/>
    <w:tblPr>
      <w:tblCellMar>
        <w:top w:w="0" w:type="dxa"/>
        <w:left w:w="0" w:type="dxa"/>
        <w:bottom w:w="0" w:type="dxa"/>
        <w:right w:w="0" w:type="dxa"/>
      </w:tblCellMar>
    </w:tblPr>
  </w:style>
  <w:style w:type="character" w:customStyle="1" w:styleId="22">
    <w:name w:val="Header Char"/>
    <w:basedOn w:val="18"/>
    <w:link w:val="12"/>
    <w:uiPriority w:val="99"/>
    <w:rPr>
      <w:sz w:val="18"/>
      <w:szCs w:val="18"/>
    </w:rPr>
  </w:style>
  <w:style w:type="character" w:customStyle="1" w:styleId="23">
    <w:name w:val="Footer Char"/>
    <w:basedOn w:val="18"/>
    <w:link w:val="11"/>
    <w:uiPriority w:val="99"/>
    <w:rPr>
      <w:sz w:val="18"/>
      <w:szCs w:val="18"/>
    </w:rPr>
  </w:style>
  <w:style w:type="character" w:customStyle="1" w:styleId="24">
    <w:name w:val="Comment Text Char"/>
    <w:basedOn w:val="18"/>
    <w:link w:val="9"/>
    <w:semiHidden/>
    <w:uiPriority w:val="99"/>
  </w:style>
  <w:style w:type="character" w:customStyle="1" w:styleId="25">
    <w:name w:val="Comment Subject Char"/>
    <w:basedOn w:val="24"/>
    <w:link w:val="15"/>
    <w:semiHidden/>
    <w:uiPriority w:val="99"/>
    <w:rPr>
      <w:b/>
      <w:bCs/>
    </w:rPr>
  </w:style>
  <w:style w:type="character" w:customStyle="1" w:styleId="26">
    <w:name w:val="Balloon Text Char"/>
    <w:basedOn w:val="18"/>
    <w:link w:val="10"/>
    <w:semiHidden/>
    <w:uiPriority w:val="99"/>
    <w:rPr>
      <w:sz w:val="18"/>
      <w:szCs w:val="18"/>
    </w:rPr>
  </w:style>
  <w:style w:type="table" w:customStyle="1" w:styleId="27">
    <w:name w:val="_Style 26"/>
    <w:basedOn w:val="21"/>
    <w:uiPriority w:val="0"/>
    <w:tblPr>
      <w:tblCellMar>
        <w:left w:w="108" w:type="dxa"/>
        <w:right w:w="108" w:type="dxa"/>
      </w:tblCellMar>
    </w:tblPr>
  </w:style>
  <w:style w:type="table" w:customStyle="1" w:styleId="28">
    <w:name w:val="_Style 27"/>
    <w:basedOn w:val="21"/>
    <w:uiPriority w:val="0"/>
    <w:tblPr>
      <w:tblCellMar>
        <w:left w:w="108" w:type="dxa"/>
        <w:right w:w="108" w:type="dxa"/>
      </w:tblCellMar>
    </w:tblPr>
  </w:style>
  <w:style w:type="paragraph" w:customStyle="1" w:styleId="29">
    <w:name w:val="Revision"/>
    <w:hidden/>
    <w:semiHidden/>
    <w:uiPriority w:val="99"/>
    <w:pPr>
      <w:widowControl/>
      <w:jc w:val="left"/>
    </w:pPr>
    <w:rPr>
      <w:rFonts w:ascii="等线" w:hAnsi="等线" w:eastAsia="等线" w:cs="等线"/>
      <w:sz w:val="21"/>
      <w:szCs w:val="21"/>
      <w:lang w:val="en-US" w:eastAsia="zh-CN" w:bidi="ar-SA"/>
    </w:rPr>
  </w:style>
  <w:style w:type="table" w:customStyle="1" w:styleId="30">
    <w:name w:val="Grid Table 4 Accent 3"/>
    <w:basedOn w:val="16"/>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il7EzR1OawmNAzkwQpGD44rGpvOA==">AMUW2mXuPJawK8rux/pE6WHq7mjpIXtmDOcf1/GwfW7Yrj5VnKiPNmGqN5WMLPDLehAIpWQkMjQLczESXBICCrYaC/jN9c/z9ahOu6JGrt9CwbEcGMsYcDWGV9G1q0ky1+BKrURPEVsOCPYTPrzrCqxMH9P/EnyxRA==</go:docsCustomData>
</go:gDocsCustomXmlDataStorage>
</file>

<file path=customXml/itemProps1.xml><?xml version="1.0" encoding="utf-8"?>
<ds:datastoreItem xmlns:ds="http://schemas.openxmlformats.org/officeDocument/2006/customXml" ds:itemID="{460B8DE7-0EBE-4A5A-BA27-7A7DFAD02285}">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3</Pages>
  <Words>689</Words>
  <Characters>3932</Characters>
  <Lines>32</Lines>
  <Paragraphs>9</Paragraphs>
  <TotalTime>1</TotalTime>
  <ScaleCrop>false</ScaleCrop>
  <LinksUpToDate>false</LinksUpToDate>
  <CharactersWithSpaces>4612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2023-10-09T12:41:00Z</dcterms:created>
  <dc:creator>Windows 用户</dc:creator>
  <cp:lastModifiedBy>李鸿鹤</cp:lastModifiedBy>
  <dcterms:modified xsi:type="dcterms:W3CDTF">2023-11-14T01:58:18Z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81B7BB43C1ED49AC8F2B3EEEF49A2803_12</vt:lpwstr>
  </property>
</Properties>
</file>