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Times New Roman" w:hAnsi="Times New Roman" w:eastAsia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auto"/>
          <w:sz w:val="28"/>
          <w:szCs w:val="24"/>
        </w:rPr>
        <w:t>Appendix 5</w:t>
      </w:r>
      <w:r>
        <w:rPr>
          <w:rFonts w:hint="default" w:ascii="Times New Roman" w:hAnsi="Times New Roman" w:eastAsia="Times New Roman" w:cs="Times New Roman"/>
          <w:b/>
          <w:sz w:val="32"/>
          <w:szCs w:val="24"/>
        </w:rPr>
        <w:t xml:space="preserve"> </w:t>
      </w:r>
      <w:r>
        <w:rPr>
          <w:rFonts w:hint="default" w:ascii="Times New Roman" w:hAnsi="Times New Roman" w:eastAsia="Times New Roman" w:cs="Times New Roman"/>
          <w:sz w:val="24"/>
          <w:szCs w:val="24"/>
        </w:rPr>
        <w:t>Short Version China Medical Professionalism Inventory (CMPI) in English, 20 items</w:t>
      </w:r>
    </w:p>
    <w:p>
      <w:pPr>
        <w:rPr>
          <w:rFonts w:hint="default" w:ascii="Times New Roman" w:hAnsi="Times New Roman" w:eastAsia="Times New Roman" w:cs="Times New Roman"/>
          <w:b/>
          <w:sz w:val="24"/>
          <w:szCs w:val="24"/>
        </w:rPr>
      </w:pPr>
    </w:p>
    <w:tbl>
      <w:tblPr>
        <w:tblStyle w:val="15"/>
        <w:tblW w:w="5031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4"/>
        <w:gridCol w:w="8743"/>
        <w:gridCol w:w="742"/>
        <w:gridCol w:w="2"/>
        <w:gridCol w:w="741"/>
        <w:gridCol w:w="742"/>
        <w:gridCol w:w="413"/>
        <w:gridCol w:w="329"/>
        <w:gridCol w:w="822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73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No.</w:t>
            </w:r>
          </w:p>
        </w:tc>
        <w:tc>
          <w:tcPr>
            <w:tcW w:w="3297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Please check how often you have demonstrated the following behaviors in pr</w:t>
            </w:r>
            <w:bookmarkStart w:id="1" w:name="_GoBack"/>
            <w:bookmarkEnd w:id="1"/>
            <w:r>
              <w:rPr>
                <w:rFonts w:hint="default"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actice:</w:t>
            </w:r>
          </w:p>
        </w:tc>
        <w:tc>
          <w:tcPr>
            <w:tcW w:w="345" w:type="pct"/>
            <w:gridSpan w:val="2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Not </w:t>
            </w:r>
          </w:p>
          <w:p>
            <w:pPr>
              <w:jc w:val="center"/>
              <w:rPr>
                <w:rFonts w:hint="default"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 at all</w:t>
            </w:r>
          </w:p>
        </w:tc>
        <w:tc>
          <w:tcPr>
            <w:tcW w:w="727" w:type="pct"/>
            <w:gridSpan w:val="3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&lt;-----------------&gt;</w:t>
            </w:r>
          </w:p>
        </w:tc>
        <w:tc>
          <w:tcPr>
            <w:tcW w:w="359" w:type="pct"/>
            <w:gridSpan w:val="2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Very much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73" w:type="pct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bookmarkStart w:id="0" w:name="_heading=h.gjdgxs" w:colFirst="0" w:colLast="0"/>
            <w:bookmarkEnd w:id="0"/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3297" w:type="pct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contextualSpacing/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Presents professional opinions to the patient in a way the patient can understand.</w:t>
            </w:r>
          </w:p>
        </w:tc>
        <w:tc>
          <w:tcPr>
            <w:tcW w:w="280" w:type="pct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80" w:type="pct"/>
            <w:gridSpan w:val="2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80" w:type="pct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80" w:type="pct"/>
            <w:gridSpan w:val="2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310" w:type="pct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73" w:type="pct"/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3297" w:type="pct"/>
            <w:shd w:val="clear" w:color="auto" w:fill="auto"/>
            <w:vAlign w:val="center"/>
          </w:tcPr>
          <w:p>
            <w:pPr>
              <w:contextualSpacing/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Explains to the patient what they need to know about their problems, how and why they occurred, and what to expect next.</w:t>
            </w:r>
          </w:p>
        </w:tc>
        <w:tc>
          <w:tcPr>
            <w:tcW w:w="280" w:type="pct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80" w:type="pct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310" w:type="pct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73" w:type="pct"/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3297" w:type="pct"/>
            <w:shd w:val="clear" w:color="auto" w:fill="auto"/>
            <w:vAlign w:val="center"/>
          </w:tcPr>
          <w:p>
            <w:pPr>
              <w:contextualSpacing/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Demonstrates respect for patient autonomy and their informed decisions. </w:t>
            </w:r>
          </w:p>
        </w:tc>
        <w:tc>
          <w:tcPr>
            <w:tcW w:w="280" w:type="pct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80" w:type="pct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310" w:type="pct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73" w:type="pct"/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3297" w:type="pct"/>
            <w:shd w:val="clear" w:color="auto" w:fill="auto"/>
            <w:vAlign w:val="center"/>
          </w:tcPr>
          <w:p>
            <w:pPr>
              <w:contextualSpacing/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Discusses options with patients, asks their opinions, offers choices, and lets them decide what to do before making decisions.</w:t>
            </w:r>
          </w:p>
        </w:tc>
        <w:tc>
          <w:tcPr>
            <w:tcW w:w="280" w:type="pct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80" w:type="pct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310" w:type="pct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73" w:type="pct"/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3297" w:type="pct"/>
            <w:shd w:val="clear" w:color="auto" w:fill="auto"/>
            <w:vAlign w:val="center"/>
          </w:tcPr>
          <w:p>
            <w:pPr>
              <w:contextualSpacing/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Follows the patient’s preference to accept or refuse any clinical treatment.</w:t>
            </w:r>
          </w:p>
        </w:tc>
        <w:tc>
          <w:tcPr>
            <w:tcW w:w="280" w:type="pct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80" w:type="pct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310" w:type="pct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73" w:type="pct"/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3297" w:type="pct"/>
            <w:shd w:val="clear" w:color="auto" w:fill="auto"/>
            <w:vAlign w:val="center"/>
          </w:tcPr>
          <w:p>
            <w:pPr>
              <w:contextualSpacing/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Maintains a positive rapport with the whole healthcare team and provides emotional support for colleagues.</w:t>
            </w:r>
          </w:p>
        </w:tc>
        <w:tc>
          <w:tcPr>
            <w:tcW w:w="280" w:type="pct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80" w:type="pct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310" w:type="pct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73" w:type="pct"/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3297" w:type="pct"/>
            <w:shd w:val="clear" w:color="auto" w:fill="auto"/>
            <w:vAlign w:val="center"/>
          </w:tcPr>
          <w:p>
            <w:pPr>
              <w:contextualSpacing/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Resolves interdisciplinary conflicts in a collegial and respectful manner.</w:t>
            </w:r>
          </w:p>
        </w:tc>
        <w:tc>
          <w:tcPr>
            <w:tcW w:w="280" w:type="pct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80" w:type="pct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310" w:type="pct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73" w:type="pct"/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3297" w:type="pct"/>
            <w:shd w:val="clear" w:color="auto" w:fill="auto"/>
            <w:vAlign w:val="center"/>
          </w:tcPr>
          <w:p>
            <w:pPr>
              <w:contextualSpacing/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Avoids discussing and revealing confidential patient information in public.</w:t>
            </w:r>
          </w:p>
        </w:tc>
        <w:tc>
          <w:tcPr>
            <w:tcW w:w="280" w:type="pct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80" w:type="pct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310" w:type="pct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73" w:type="pct"/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3297" w:type="pct"/>
            <w:shd w:val="clear" w:color="auto" w:fill="auto"/>
            <w:vAlign w:val="center"/>
          </w:tcPr>
          <w:p>
            <w:pPr>
              <w:contextualSpacing/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Maintains patient/physician relationships that do not exploit personal financial gain, privacy, or sexual advantages.</w:t>
            </w:r>
          </w:p>
        </w:tc>
        <w:tc>
          <w:tcPr>
            <w:tcW w:w="280" w:type="pct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80" w:type="pct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310" w:type="pct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73" w:type="pct"/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3297" w:type="pct"/>
            <w:shd w:val="clear" w:color="auto" w:fill="auto"/>
            <w:vAlign w:val="center"/>
          </w:tcPr>
          <w:p>
            <w:pPr>
              <w:contextualSpacing/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Avoids conducting non-scientific or unethical research supported by commercial sponsorship.</w:t>
            </w:r>
          </w:p>
        </w:tc>
        <w:tc>
          <w:tcPr>
            <w:tcW w:w="280" w:type="pct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80" w:type="pct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310" w:type="pct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73" w:type="pct"/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3297" w:type="pct"/>
            <w:shd w:val="clear" w:color="auto" w:fill="auto"/>
            <w:vAlign w:val="center"/>
          </w:tcPr>
          <w:p>
            <w:pPr>
              <w:contextualSpacing/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Does not give patients false hope and fully explains treatment risks to them.</w:t>
            </w:r>
          </w:p>
        </w:tc>
        <w:tc>
          <w:tcPr>
            <w:tcW w:w="280" w:type="pct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80" w:type="pct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310" w:type="pct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73" w:type="pct"/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3297" w:type="pct"/>
            <w:shd w:val="clear" w:color="auto" w:fill="auto"/>
            <w:vAlign w:val="center"/>
          </w:tcPr>
          <w:p>
            <w:pPr>
              <w:contextualSpacing/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Provides appropriate and clear information to colleagues for follow-up patient care.</w:t>
            </w:r>
          </w:p>
        </w:tc>
        <w:tc>
          <w:tcPr>
            <w:tcW w:w="280" w:type="pct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80" w:type="pct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310" w:type="pct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73" w:type="pct"/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3297" w:type="pct"/>
            <w:shd w:val="clear" w:color="auto" w:fill="auto"/>
            <w:vAlign w:val="center"/>
          </w:tcPr>
          <w:p>
            <w:pPr>
              <w:contextualSpacing/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Applies new clinical practice guidelines into patient care actively.</w:t>
            </w:r>
          </w:p>
        </w:tc>
        <w:tc>
          <w:tcPr>
            <w:tcW w:w="280" w:type="pct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80" w:type="pct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310" w:type="pct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73" w:type="pct"/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3297" w:type="pct"/>
            <w:shd w:val="clear" w:color="auto" w:fill="auto"/>
            <w:vAlign w:val="center"/>
          </w:tcPr>
          <w:p>
            <w:pPr>
              <w:contextualSpacing/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Acknowledges the meaning and relative value of scientific evidence in decision-making.</w:t>
            </w:r>
          </w:p>
        </w:tc>
        <w:tc>
          <w:tcPr>
            <w:tcW w:w="280" w:type="pct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80" w:type="pct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310" w:type="pct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73" w:type="pct"/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3297" w:type="pct"/>
            <w:shd w:val="clear" w:color="auto" w:fill="auto"/>
            <w:vAlign w:val="center"/>
          </w:tcPr>
          <w:p>
            <w:pPr>
              <w:contextualSpacing/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Consults other medical colleagues to manage a situation that is beyond one’s ability.</w:t>
            </w:r>
          </w:p>
        </w:tc>
        <w:tc>
          <w:tcPr>
            <w:tcW w:w="280" w:type="pct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80" w:type="pct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310" w:type="pct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73" w:type="pct"/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3297" w:type="pct"/>
            <w:shd w:val="clear" w:color="auto" w:fill="auto"/>
            <w:vAlign w:val="center"/>
          </w:tcPr>
          <w:p>
            <w:pPr>
              <w:contextualSpacing/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Shares experience, skills, and knowledge with junior colleagues. </w:t>
            </w:r>
          </w:p>
        </w:tc>
        <w:tc>
          <w:tcPr>
            <w:tcW w:w="280" w:type="pct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80" w:type="pct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310" w:type="pct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73" w:type="pct"/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3297" w:type="pct"/>
            <w:shd w:val="clear" w:color="auto" w:fill="auto"/>
            <w:vAlign w:val="center"/>
          </w:tcPr>
          <w:p>
            <w:pPr>
              <w:contextualSpacing/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Focuses on the risk factors that may threaten the safety of the patient and actively provides early warning and improvement suggestions to the relevant authority.</w:t>
            </w:r>
          </w:p>
        </w:tc>
        <w:tc>
          <w:tcPr>
            <w:tcW w:w="280" w:type="pct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80" w:type="pct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310" w:type="pct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73" w:type="pct"/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3297" w:type="pct"/>
            <w:shd w:val="clear" w:color="auto" w:fill="auto"/>
            <w:vAlign w:val="center"/>
          </w:tcPr>
          <w:p>
            <w:pPr>
              <w:contextualSpacing/>
              <w:rPr>
                <w:rFonts w:hint="default"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Does not provide unnecessary or excessive testing or medical treatment.</w:t>
            </w:r>
          </w:p>
        </w:tc>
        <w:tc>
          <w:tcPr>
            <w:tcW w:w="280" w:type="pct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80" w:type="pct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310" w:type="pct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73" w:type="pct"/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3297" w:type="pct"/>
            <w:shd w:val="clear" w:color="auto" w:fill="auto"/>
            <w:vAlign w:val="center"/>
          </w:tcPr>
          <w:p>
            <w:pPr>
              <w:contextualSpacing/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Ensures that the patient understands the content and meaning of informed consent correctly and fully.</w:t>
            </w:r>
          </w:p>
        </w:tc>
        <w:tc>
          <w:tcPr>
            <w:tcW w:w="280" w:type="pct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80" w:type="pct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310" w:type="pct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73" w:type="pct"/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3297" w:type="pct"/>
            <w:shd w:val="clear" w:color="auto" w:fill="auto"/>
            <w:vAlign w:val="center"/>
          </w:tcPr>
          <w:p>
            <w:pPr>
              <w:contextualSpacing/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Distinguishes between accepted treatment and experimental activities and abides by ethical standards.</w:t>
            </w:r>
          </w:p>
        </w:tc>
        <w:tc>
          <w:tcPr>
            <w:tcW w:w="280" w:type="pct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80" w:type="pct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310" w:type="pct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</w:tr>
    </w:tbl>
    <w:p>
      <w:pPr>
        <w:rPr>
          <w:rFonts w:hint="default" w:ascii="Times New Roman" w:hAnsi="Times New Roman" w:cs="Times New Roman"/>
        </w:rPr>
      </w:pPr>
    </w:p>
    <w:sectPr>
      <w:pgSz w:w="15840" w:h="12240" w:orient="landscape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BkNzI5M2YwMWU0YjY1OGQ0NDJjOTU1NTdjMjUzYjgifQ=="/>
  </w:docVars>
  <w:rsids>
    <w:rsidRoot w:val="00431574"/>
    <w:rsid w:val="000C5258"/>
    <w:rsid w:val="000E1167"/>
    <w:rsid w:val="0015462D"/>
    <w:rsid w:val="00227F7C"/>
    <w:rsid w:val="002421C3"/>
    <w:rsid w:val="00252AE4"/>
    <w:rsid w:val="00286FB9"/>
    <w:rsid w:val="00301C89"/>
    <w:rsid w:val="0030607E"/>
    <w:rsid w:val="003B4ED1"/>
    <w:rsid w:val="003D4230"/>
    <w:rsid w:val="00431574"/>
    <w:rsid w:val="0049288B"/>
    <w:rsid w:val="004D5A4C"/>
    <w:rsid w:val="00537A7F"/>
    <w:rsid w:val="00554557"/>
    <w:rsid w:val="005934BE"/>
    <w:rsid w:val="006F1E6E"/>
    <w:rsid w:val="00701983"/>
    <w:rsid w:val="0074320D"/>
    <w:rsid w:val="007E3EB3"/>
    <w:rsid w:val="007F64DD"/>
    <w:rsid w:val="0083719C"/>
    <w:rsid w:val="008371BE"/>
    <w:rsid w:val="008970A5"/>
    <w:rsid w:val="008C35F2"/>
    <w:rsid w:val="008F4C56"/>
    <w:rsid w:val="00942BF4"/>
    <w:rsid w:val="00955305"/>
    <w:rsid w:val="00962C5D"/>
    <w:rsid w:val="009856F1"/>
    <w:rsid w:val="00A75F11"/>
    <w:rsid w:val="00A9580B"/>
    <w:rsid w:val="00B2693F"/>
    <w:rsid w:val="00B775D5"/>
    <w:rsid w:val="00B916A9"/>
    <w:rsid w:val="00BB00A4"/>
    <w:rsid w:val="00C9522A"/>
    <w:rsid w:val="00CF70CC"/>
    <w:rsid w:val="00D160D4"/>
    <w:rsid w:val="00D842B7"/>
    <w:rsid w:val="00D85D3C"/>
    <w:rsid w:val="00DD422D"/>
    <w:rsid w:val="00DD6D19"/>
    <w:rsid w:val="00E1306F"/>
    <w:rsid w:val="00EB5540"/>
    <w:rsid w:val="00EC204D"/>
    <w:rsid w:val="00ED4B7D"/>
    <w:rsid w:val="00FD4C2E"/>
    <w:rsid w:val="00FF76B6"/>
    <w:rsid w:val="5D510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等线"/>
      <w:sz w:val="21"/>
      <w:szCs w:val="21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semiHidden/>
    <w:unhideWhenUsed/>
    <w:uiPriority w:val="99"/>
    <w:rPr>
      <w:sz w:val="20"/>
      <w:szCs w:val="20"/>
    </w:rPr>
  </w:style>
  <w:style w:type="paragraph" w:styleId="3">
    <w:name w:val="Balloon Text"/>
    <w:basedOn w:val="1"/>
    <w:link w:val="12"/>
    <w:semiHidden/>
    <w:unhideWhenUsed/>
    <w:qFormat/>
    <w:uiPriority w:val="99"/>
    <w:rPr>
      <w:rFonts w:ascii="Segoe UI" w:hAnsi="Segoe UI" w:cs="Segoe UI"/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4"/>
    <w:semiHidden/>
    <w:unhideWhenUsed/>
    <w:qFormat/>
    <w:uiPriority w:val="99"/>
    <w:rPr>
      <w:b/>
      <w:bCs/>
    </w:rPr>
  </w:style>
  <w:style w:type="character" w:styleId="9">
    <w:name w:val="annotation reference"/>
    <w:basedOn w:val="8"/>
    <w:semiHidden/>
    <w:unhideWhenUsed/>
    <w:uiPriority w:val="99"/>
    <w:rPr>
      <w:sz w:val="16"/>
      <w:szCs w:val="16"/>
    </w:rPr>
  </w:style>
  <w:style w:type="character" w:customStyle="1" w:styleId="10">
    <w:name w:val="Header Char"/>
    <w:basedOn w:val="8"/>
    <w:link w:val="5"/>
    <w:qFormat/>
    <w:uiPriority w:val="99"/>
    <w:rPr>
      <w:rFonts w:ascii="等线" w:hAnsi="等线" w:eastAsia="等线" w:cs="等线"/>
      <w:sz w:val="18"/>
      <w:szCs w:val="18"/>
      <w:lang w:eastAsia="zh-CN"/>
    </w:rPr>
  </w:style>
  <w:style w:type="character" w:customStyle="1" w:styleId="11">
    <w:name w:val="Footer Char"/>
    <w:basedOn w:val="8"/>
    <w:link w:val="4"/>
    <w:qFormat/>
    <w:uiPriority w:val="99"/>
    <w:rPr>
      <w:rFonts w:ascii="等线" w:hAnsi="等线" w:eastAsia="等线" w:cs="等线"/>
      <w:sz w:val="18"/>
      <w:szCs w:val="18"/>
      <w:lang w:eastAsia="zh-CN"/>
    </w:rPr>
  </w:style>
  <w:style w:type="character" w:customStyle="1" w:styleId="12">
    <w:name w:val="Balloon Text Char"/>
    <w:basedOn w:val="8"/>
    <w:link w:val="3"/>
    <w:semiHidden/>
    <w:uiPriority w:val="99"/>
    <w:rPr>
      <w:rFonts w:ascii="Segoe UI" w:hAnsi="Segoe UI" w:eastAsia="等线" w:cs="Segoe UI"/>
      <w:sz w:val="18"/>
      <w:szCs w:val="18"/>
      <w:lang w:eastAsia="zh-CN"/>
    </w:rPr>
  </w:style>
  <w:style w:type="character" w:customStyle="1" w:styleId="13">
    <w:name w:val="Comment Text Char"/>
    <w:basedOn w:val="8"/>
    <w:link w:val="2"/>
    <w:semiHidden/>
    <w:qFormat/>
    <w:uiPriority w:val="99"/>
    <w:rPr>
      <w:rFonts w:ascii="等线" w:hAnsi="等线" w:eastAsia="等线" w:cs="等线"/>
      <w:sz w:val="20"/>
      <w:szCs w:val="20"/>
      <w:lang w:eastAsia="zh-CN"/>
    </w:rPr>
  </w:style>
  <w:style w:type="character" w:customStyle="1" w:styleId="14">
    <w:name w:val="Comment Subject Char"/>
    <w:basedOn w:val="13"/>
    <w:link w:val="6"/>
    <w:semiHidden/>
    <w:qFormat/>
    <w:uiPriority w:val="99"/>
    <w:rPr>
      <w:rFonts w:ascii="等线" w:hAnsi="等线" w:eastAsia="等线" w:cs="等线"/>
      <w:b/>
      <w:bCs/>
      <w:sz w:val="20"/>
      <w:szCs w:val="20"/>
      <w:lang w:eastAsia="zh-CN"/>
    </w:rPr>
  </w:style>
  <w:style w:type="table" w:customStyle="1" w:styleId="15">
    <w:name w:val="Plain Table 1"/>
    <w:basedOn w:val="7"/>
    <w:uiPriority w:val="41"/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double" w:color="BEBEBE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Cambridge Health Alliance</Company>
  <Pages>2</Pages>
  <Words>351</Words>
  <Characters>2006</Characters>
  <Lines>16</Lines>
  <Paragraphs>4</Paragraphs>
  <TotalTime>0</TotalTime>
  <ScaleCrop>false</ScaleCrop>
  <LinksUpToDate>false</LinksUpToDate>
  <CharactersWithSpaces>2353</CharactersWithSpaces>
  <Application>WPS Office_12.1.0.15358_F1E327BC-269C-435d-A152-05C5408002CA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2023-10-09T12:41:00Z</dcterms:created>
  <dc:creator>Hirsh, DA</dc:creator>
  <cp:lastModifiedBy>李鸿鹤</cp:lastModifiedBy>
  <dcterms:modified xsi:type="dcterms:W3CDTF">2023-11-14T02:02:06Z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2052-12.1.0.15358</vt:lpwstr>
  </property>
  <property fmtid="{D5CDD505-2E9C-101B-9397-08002B2CF9AE}" pid="3" name="ICV">
    <vt:lpwstr>65B605E7D0F14DA79371945EBBE0B6E6_12</vt:lpwstr>
  </property>
</Properties>
</file>