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Times New Roman" w:cs="Times New Roman"/>
          <w:sz w:val="24"/>
          <w:szCs w:val="24"/>
        </w:rPr>
      </w:pPr>
      <w:r>
        <w:rPr>
          <w:rFonts w:hint="default" w:ascii="Times New Roman" w:hAnsi="Times New Roman" w:eastAsia="Times New Roman" w:cs="Times New Roman"/>
          <w:b/>
          <w:color w:val="auto"/>
          <w:sz w:val="24"/>
          <w:szCs w:val="24"/>
        </w:rPr>
        <w:t>A</w:t>
      </w:r>
      <w:r>
        <w:rPr>
          <w:rFonts w:hint="default" w:ascii="Times New Roman" w:hAnsi="Times New Roman" w:eastAsia="宋体" w:cs="Times New Roman"/>
          <w:b/>
          <w:color w:val="auto"/>
          <w:sz w:val="24"/>
          <w:szCs w:val="24"/>
          <w:lang w:val="en-US" w:eastAsia="zh-CN"/>
        </w:rPr>
        <w:t>ppendix</w:t>
      </w:r>
      <w:r>
        <w:rPr>
          <w:rFonts w:hint="default" w:ascii="Times New Roman" w:hAnsi="Times New Roman" w:eastAsia="Times New Roman" w:cs="Times New Roman"/>
          <w:b/>
          <w:color w:val="auto"/>
          <w:sz w:val="24"/>
          <w:szCs w:val="24"/>
        </w:rPr>
        <w:t xml:space="preserve"> 2</w:t>
      </w:r>
      <w:r>
        <w:rPr>
          <w:rFonts w:hint="default" w:ascii="Times New Roman" w:hAnsi="Times New Roman" w:eastAsia="Times New Roman" w:cs="Times New Roman"/>
          <w:b/>
          <w:color w:val="auto"/>
          <w:sz w:val="24"/>
          <w:szCs w:val="24"/>
        </w:rPr>
        <w:t>A</w:t>
      </w:r>
      <w:r>
        <w:rPr>
          <w:rFonts w:hint="default" w:ascii="Times New Roman" w:hAnsi="Times New Roman" w:eastAsia="Times New Roman" w:cs="Times New Roman"/>
          <w:b/>
          <w:color w:val="auto"/>
          <w:sz w:val="32"/>
          <w:szCs w:val="24"/>
        </w:rPr>
        <w:t xml:space="preserve"> </w:t>
      </w:r>
      <w:r>
        <w:rPr>
          <w:rFonts w:hint="default" w:ascii="Times New Roman" w:hAnsi="Times New Roman" w:eastAsia="Times New Roman" w:cs="Times New Roman"/>
          <w:sz w:val="24"/>
          <w:szCs w:val="24"/>
        </w:rPr>
        <w:t xml:space="preserve">Items Included in Three Versions of the China Medical Professionalism Inventory (CMPI) </w:t>
      </w:r>
    </w:p>
    <w:p>
      <w:pPr>
        <w:rPr>
          <w:rFonts w:ascii="Times New Roman" w:hAnsi="Times New Roman" w:eastAsia="Times New Roman" w:cs="Times New Roman"/>
          <w:b/>
          <w:sz w:val="24"/>
          <w:szCs w:val="24"/>
        </w:rPr>
      </w:pPr>
    </w:p>
    <w:tbl>
      <w:tblPr>
        <w:tblStyle w:val="30"/>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74"/>
        <w:gridCol w:w="722"/>
        <w:gridCol w:w="6485"/>
        <w:gridCol w:w="1299"/>
        <w:gridCol w:w="1442"/>
        <w:gridCol w:w="135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711" w:type="pct"/>
            <w:tcBorders>
              <w:bottom w:val="single" w:color="auto" w:sz="4" w:space="0"/>
            </w:tcBorders>
            <w:shd w:val="clear" w:color="auto" w:fill="auto"/>
            <w:vAlign w:val="center"/>
          </w:tcPr>
          <w:p>
            <w:pPr>
              <w:snapToGrid w:val="0"/>
              <w:rPr>
                <w:rFonts w:hint="default" w:ascii="Times New Roman" w:hAnsi="Times New Roman" w:eastAsia="Times New Roman" w:cs="Times New Roman"/>
                <w:b/>
                <w:color w:val="000000" w:themeColor="text1"/>
                <w:sz w:val="20"/>
                <w:szCs w:val="20"/>
                <w14:textFill>
                  <w14:solidFill>
                    <w14:schemeClr w14:val="tx1"/>
                  </w14:solidFill>
                </w14:textFill>
              </w:rPr>
            </w:pPr>
            <w:r>
              <w:rPr>
                <w:rFonts w:hint="default" w:ascii="Times New Roman" w:hAnsi="Times New Roman" w:eastAsia="Times New Roman" w:cs="Times New Roman"/>
                <w:b/>
                <w:color w:val="000000" w:themeColor="text1"/>
                <w:sz w:val="20"/>
                <w:szCs w:val="20"/>
                <w14:textFill>
                  <w14:solidFill>
                    <w14:schemeClr w14:val="tx1"/>
                  </w14:solidFill>
                </w14:textFill>
              </w:rPr>
              <w:t>Domain</w:t>
            </w:r>
          </w:p>
        </w:tc>
        <w:tc>
          <w:tcPr>
            <w:tcW w:w="274" w:type="pct"/>
            <w:tcBorders>
              <w:bottom w:val="single" w:color="auto" w:sz="4" w:space="0"/>
            </w:tcBorders>
            <w:shd w:val="clear" w:color="auto" w:fill="auto"/>
            <w:vAlign w:val="center"/>
          </w:tcPr>
          <w:p>
            <w:pPr>
              <w:snapToGrid w:val="0"/>
              <w:rPr>
                <w:rFonts w:hint="default" w:ascii="Times New Roman" w:hAnsi="Times New Roman" w:eastAsia="Times New Roman" w:cs="Times New Roman"/>
                <w:b/>
                <w:color w:val="000000" w:themeColor="text1"/>
                <w:sz w:val="20"/>
                <w:szCs w:val="20"/>
                <w14:textFill>
                  <w14:solidFill>
                    <w14:schemeClr w14:val="tx1"/>
                  </w14:solidFill>
                </w14:textFill>
              </w:rPr>
            </w:pPr>
            <w:r>
              <w:rPr>
                <w:rFonts w:hint="default" w:ascii="Times New Roman" w:hAnsi="Times New Roman" w:eastAsia="Times New Roman" w:cs="Times New Roman"/>
                <w:b/>
                <w:color w:val="000000" w:themeColor="text1"/>
                <w:sz w:val="20"/>
                <w:szCs w:val="20"/>
                <w14:textFill>
                  <w14:solidFill>
                    <w14:schemeClr w14:val="tx1"/>
                  </w14:solidFill>
                </w14:textFill>
              </w:rPr>
              <w:t>Item No.</w:t>
            </w:r>
            <w:r>
              <w:rPr>
                <w:rFonts w:hint="default" w:ascii="Times New Roman" w:hAnsi="Times New Roman" w:eastAsia="Times New Roman" w:cs="Times New Roman"/>
                <w:b/>
                <w:color w:val="000000" w:themeColor="text1"/>
                <w:sz w:val="20"/>
                <w:szCs w:val="20"/>
                <w:vertAlign w:val="superscript"/>
                <w14:textFill>
                  <w14:solidFill>
                    <w14:schemeClr w14:val="tx1"/>
                  </w14:solidFill>
                </w14:textFill>
              </w:rPr>
              <w:t>$</w:t>
            </w:r>
          </w:p>
        </w:tc>
        <w:tc>
          <w:tcPr>
            <w:tcW w:w="2461" w:type="pct"/>
            <w:tcBorders>
              <w:bottom w:val="single" w:color="auto" w:sz="4" w:space="0"/>
            </w:tcBorders>
            <w:shd w:val="clear" w:color="auto" w:fill="auto"/>
            <w:vAlign w:val="center"/>
          </w:tcPr>
          <w:p>
            <w:pPr>
              <w:snapToGrid w:val="0"/>
              <w:rPr>
                <w:rFonts w:hint="default" w:ascii="Times New Roman" w:hAnsi="Times New Roman" w:eastAsia="Times New Roman" w:cs="Times New Roman"/>
                <w:b/>
                <w:color w:val="000000" w:themeColor="text1"/>
                <w:sz w:val="20"/>
                <w:szCs w:val="20"/>
                <w14:textFill>
                  <w14:solidFill>
                    <w14:schemeClr w14:val="tx1"/>
                  </w14:solidFill>
                </w14:textFill>
              </w:rPr>
            </w:pPr>
            <w:r>
              <w:rPr>
                <w:rFonts w:hint="default" w:ascii="Times New Roman" w:hAnsi="Times New Roman" w:eastAsia="Times New Roman" w:cs="Times New Roman"/>
                <w:b/>
                <w:color w:val="000000" w:themeColor="text1"/>
                <w:sz w:val="20"/>
                <w:szCs w:val="20"/>
                <w14:textFill>
                  <w14:solidFill>
                    <w14:schemeClr w14:val="tx1"/>
                  </w14:solidFill>
                </w14:textFill>
              </w:rPr>
              <w:t>Item</w:t>
            </w:r>
          </w:p>
          <w:p>
            <w:pPr>
              <w:snapToGrid w:val="0"/>
              <w:rPr>
                <w:rFonts w:hint="default" w:ascii="Times New Roman" w:hAnsi="Times New Roman" w:eastAsia="Times New Roman" w:cs="Times New Roman"/>
                <w:b/>
                <w:color w:val="000000" w:themeColor="text1"/>
                <w:sz w:val="20"/>
                <w:szCs w:val="20"/>
                <w14:textFill>
                  <w14:solidFill>
                    <w14:schemeClr w14:val="tx1"/>
                  </w14:solidFill>
                </w14:textFill>
              </w:rPr>
            </w:pPr>
          </w:p>
        </w:tc>
        <w:tc>
          <w:tcPr>
            <w:tcW w:w="493" w:type="pct"/>
            <w:tcBorders>
              <w:bottom w:val="single" w:color="auto" w:sz="4" w:space="0"/>
            </w:tcBorders>
            <w:shd w:val="clear" w:color="auto" w:fill="auto"/>
          </w:tcPr>
          <w:p>
            <w:pPr>
              <w:snapToGrid w:val="0"/>
              <w:jc w:val="right"/>
              <w:rPr>
                <w:rFonts w:hint="default" w:ascii="Times New Roman" w:hAnsi="Times New Roman" w:eastAsia="Times New Roman" w:cs="Times New Roman"/>
                <w:b/>
                <w:color w:val="000000" w:themeColor="text1"/>
                <w:sz w:val="20"/>
                <w:szCs w:val="20"/>
                <w14:textFill>
                  <w14:solidFill>
                    <w14:schemeClr w14:val="tx1"/>
                  </w14:solidFill>
                </w14:textFill>
              </w:rPr>
            </w:pPr>
            <w:r>
              <w:rPr>
                <w:rFonts w:hint="default" w:ascii="Times New Roman" w:hAnsi="Times New Roman" w:eastAsia="Times New Roman" w:cs="Times New Roman"/>
                <w:b/>
                <w:color w:val="000000" w:themeColor="text1"/>
                <w:sz w:val="20"/>
                <w:szCs w:val="20"/>
                <w14:textFill>
                  <w14:solidFill>
                    <w14:schemeClr w14:val="tx1"/>
                  </w14:solidFill>
                </w14:textFill>
              </w:rPr>
              <w:t>CMPI Version 2</w:t>
            </w:r>
          </w:p>
          <w:p>
            <w:pPr>
              <w:snapToGrid w:val="0"/>
              <w:jc w:val="right"/>
              <w:rPr>
                <w:rFonts w:hint="default" w:ascii="Times New Roman" w:hAnsi="Times New Roman" w:eastAsia="Times New Roman" w:cs="Times New Roman"/>
                <w:b/>
                <w:color w:val="000000" w:themeColor="text1"/>
                <w:sz w:val="20"/>
                <w:szCs w:val="20"/>
                <w14:textFill>
                  <w14:solidFill>
                    <w14:schemeClr w14:val="tx1"/>
                  </w14:solidFill>
                </w14:textFill>
              </w:rPr>
            </w:pPr>
            <w:r>
              <w:rPr>
                <w:rFonts w:hint="default" w:ascii="Times New Roman" w:hAnsi="Times New Roman" w:eastAsia="Times New Roman" w:cs="Times New Roman"/>
                <w:b/>
                <w:color w:val="000000" w:themeColor="text1"/>
                <w:sz w:val="20"/>
                <w:szCs w:val="20"/>
                <w14:textFill>
                  <w14:solidFill>
                    <w14:schemeClr w14:val="tx1"/>
                  </w14:solidFill>
                </w14:textFill>
              </w:rPr>
              <w:t>(58 items)</w:t>
            </w:r>
          </w:p>
        </w:tc>
        <w:tc>
          <w:tcPr>
            <w:tcW w:w="547" w:type="pct"/>
            <w:tcBorders>
              <w:bottom w:val="single" w:color="auto" w:sz="4" w:space="0"/>
            </w:tcBorders>
            <w:shd w:val="clear" w:color="auto" w:fill="auto"/>
          </w:tcPr>
          <w:p>
            <w:pPr>
              <w:snapToGrid w:val="0"/>
              <w:ind w:right="210"/>
              <w:jc w:val="right"/>
              <w:rPr>
                <w:rFonts w:hint="default" w:ascii="Times New Roman" w:hAnsi="Times New Roman" w:eastAsia="Times New Roman" w:cs="Times New Roman"/>
                <w:b/>
                <w:color w:val="000000" w:themeColor="text1"/>
                <w:sz w:val="20"/>
                <w:szCs w:val="20"/>
                <w14:textFill>
                  <w14:solidFill>
                    <w14:schemeClr w14:val="tx1"/>
                  </w14:solidFill>
                </w14:textFill>
              </w:rPr>
            </w:pPr>
            <w:r>
              <w:rPr>
                <w:rFonts w:hint="default" w:ascii="Times New Roman" w:hAnsi="Times New Roman" w:eastAsia="Times New Roman" w:cs="Times New Roman"/>
                <w:b/>
                <w:color w:val="000000" w:themeColor="text1"/>
                <w:sz w:val="20"/>
                <w:szCs w:val="20"/>
                <w14:textFill>
                  <w14:solidFill>
                    <w14:schemeClr w14:val="tx1"/>
                  </w14:solidFill>
                </w14:textFill>
              </w:rPr>
              <w:t>Long  Version (40 items)</w:t>
            </w:r>
          </w:p>
        </w:tc>
        <w:tc>
          <w:tcPr>
            <w:tcW w:w="514" w:type="pct"/>
            <w:tcBorders>
              <w:bottom w:val="single" w:color="auto" w:sz="4" w:space="0"/>
            </w:tcBorders>
            <w:shd w:val="clear" w:color="auto" w:fill="auto"/>
          </w:tcPr>
          <w:p>
            <w:pPr>
              <w:snapToGrid w:val="0"/>
              <w:jc w:val="right"/>
              <w:rPr>
                <w:rFonts w:hint="default" w:ascii="Times New Roman" w:hAnsi="Times New Roman" w:eastAsia="Times New Roman" w:cs="Times New Roman"/>
                <w:b/>
                <w:color w:val="000000" w:themeColor="text1"/>
                <w:sz w:val="20"/>
                <w:szCs w:val="20"/>
                <w14:textFill>
                  <w14:solidFill>
                    <w14:schemeClr w14:val="tx1"/>
                  </w14:solidFill>
                </w14:textFill>
              </w:rPr>
            </w:pPr>
            <w:r>
              <w:rPr>
                <w:rFonts w:hint="default" w:ascii="Times New Roman" w:hAnsi="Times New Roman" w:eastAsia="Times New Roman" w:cs="Times New Roman"/>
                <w:b/>
                <w:color w:val="000000" w:themeColor="text1"/>
                <w:sz w:val="20"/>
                <w:szCs w:val="20"/>
                <w14:textFill>
                  <w14:solidFill>
                    <w14:schemeClr w14:val="tx1"/>
                  </w14:solidFill>
                </w14:textFill>
              </w:rPr>
              <w:t>Short Version</w:t>
            </w:r>
          </w:p>
          <w:p>
            <w:pPr>
              <w:snapToGrid w:val="0"/>
              <w:jc w:val="right"/>
              <w:rPr>
                <w:rFonts w:hint="default" w:ascii="Times New Roman" w:hAnsi="Times New Roman" w:eastAsia="Times New Roman" w:cs="Times New Roman"/>
                <w:b/>
                <w:color w:val="000000" w:themeColor="text1"/>
                <w:sz w:val="20"/>
                <w:szCs w:val="20"/>
                <w14:textFill>
                  <w14:solidFill>
                    <w14:schemeClr w14:val="tx1"/>
                  </w14:solidFill>
                </w14:textFill>
              </w:rPr>
            </w:pPr>
            <w:r>
              <w:rPr>
                <w:rFonts w:hint="default" w:ascii="Times New Roman" w:hAnsi="Times New Roman" w:eastAsia="Times New Roman" w:cs="Times New Roman"/>
                <w:b/>
                <w:color w:val="000000" w:themeColor="text1"/>
                <w:sz w:val="20"/>
                <w:szCs w:val="20"/>
                <w14:textFill>
                  <w14:solidFill>
                    <w14:schemeClr w14:val="tx1"/>
                  </w14:solidFill>
                </w14:textFill>
              </w:rPr>
              <w:t>(20 items)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restart"/>
            <w:tcBorders>
              <w:top w:val="single" w:color="auto" w:sz="4" w:space="0"/>
            </w:tcBorders>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Respect, Compassion, and Communication</w:t>
            </w:r>
          </w:p>
        </w:tc>
        <w:tc>
          <w:tcPr>
            <w:tcW w:w="274" w:type="pct"/>
            <w:tcBorders>
              <w:top w:val="single" w:color="auto" w:sz="4" w:space="0"/>
            </w:tcBorders>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2461" w:type="pct"/>
            <w:tcBorders>
              <w:top w:val="single" w:color="auto" w:sz="4" w:space="0"/>
            </w:tcBorders>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Attends to psychological and emotional factors and socio-psychological factors related to the patient’s health.</w:t>
            </w:r>
          </w:p>
        </w:tc>
        <w:tc>
          <w:tcPr>
            <w:tcW w:w="493" w:type="pct"/>
            <w:tcBorders>
              <w:top w:val="single" w:color="auto" w:sz="4" w:space="0"/>
            </w:tcBorders>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tcBorders>
              <w:top w:val="single" w:color="auto" w:sz="4" w:space="0"/>
            </w:tcBorders>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tcBorders>
              <w:top w:val="single" w:color="auto" w:sz="4" w:space="0"/>
            </w:tcBorders>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Talks about preventative care (e.g. quitting smoking, weight control, sleeping, alcohol, exercise, etc.).</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Presents professional opinion to the patient in a way the patient can understand.</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Takes the time and effort necessary to explain information to patients.</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Helps the patient with their fears and worries.</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6</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Explains to the patient what they need to know about their problems, how and why they occurred, and what to expect next.</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7</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Takes the patient’s embarrassment, shyness, and reluctance into account and provides timely emotional support when necessary.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8</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Demonstrates respect for patient autonomy and their informed decisions.  </w:t>
            </w:r>
            <w:r>
              <w:rPr>
                <w:rFonts w:hint="default" w:ascii="Times New Roman" w:hAnsi="Times New Roman" w:eastAsia="Times New Roman" w:cs="Times New Roman"/>
                <w:i/>
                <w:color w:val="000000" w:themeColor="text1"/>
                <w:sz w:val="20"/>
                <w:szCs w:val="20"/>
                <w14:textFill>
                  <w14:solidFill>
                    <w14:schemeClr w14:val="tx1"/>
                  </w14:solidFill>
                </w14:textFill>
              </w:rPr>
              <w:t>[added by expert review*]</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9</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Does not use degrading or mocking words when discussing a patient with coworkers.</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10</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Does not discriminate against or refuse to treat a patient due to gender, race, religion, nationality, family background, sexual orientation, or economic status.</w:t>
            </w:r>
            <w:r>
              <w:rPr>
                <w:rFonts w:hint="default" w:ascii="Times New Roman" w:hAnsi="Times New Roman" w:eastAsia="Times New Roman" w:cs="Times New Roman"/>
                <w:i/>
                <w:color w:val="000000" w:themeColor="text1"/>
                <w:sz w:val="20"/>
                <w:szCs w:val="20"/>
                <w14:textFill>
                  <w14:solidFill>
                    <w14:schemeClr w14:val="tx1"/>
                  </w14:solidFill>
                </w14:textFill>
              </w:rPr>
              <w:t xml:space="preserve"> [Chinese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11</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Greets patients warmly; calling them by the names they prefer; be friendly, never crabby or rude.</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12</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Deals appropriately with a patient who is emotionally out of control.</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13</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Follows the regulations and procedures for declaration of a patient’s death and takes care of the family's emotions to give proper comfort. </w:t>
            </w:r>
            <w:r>
              <w:rPr>
                <w:rFonts w:hint="default" w:ascii="Times New Roman" w:hAnsi="Times New Roman" w:eastAsia="Times New Roman" w:cs="Times New Roman"/>
                <w:i/>
                <w:color w:val="000000" w:themeColor="text1"/>
                <w:sz w:val="20"/>
                <w:szCs w:val="20"/>
                <w14:textFill>
                  <w14:solidFill>
                    <w14:schemeClr w14:val="tx1"/>
                  </w14:solidFill>
                </w14:textFill>
              </w:rPr>
              <w:t>[Chinese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14</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Discusses options with patients, asks their opinions, offers choices, and lets them decide what to do before making decisions.</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15</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Does not treat the patient’s informed consent for surgery, tests, or treatment as a means to escape from responsibility. </w:t>
            </w:r>
            <w:r>
              <w:rPr>
                <w:rFonts w:hint="default" w:ascii="Times New Roman" w:hAnsi="Times New Roman" w:eastAsia="Times New Roman" w:cs="Times New Roman"/>
                <w:i/>
                <w:color w:val="000000" w:themeColor="text1"/>
                <w:sz w:val="20"/>
                <w:szCs w:val="20"/>
                <w14:textFill>
                  <w14:solidFill>
                    <w14:schemeClr w14:val="tx1"/>
                  </w14:solidFill>
                </w14:textFill>
              </w:rPr>
              <w:t>[Chinese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16</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Follows the patient’s preference to accept or refuse any clinical treatment. </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17</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Places their patient’s convenience before their own when arranging the tests and treatment. </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18</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Follows the patient’s decisions before loss of cognitive capacity and protect their rights and interests by means of a will or alternative consent by a close relative.</w:t>
            </w:r>
            <w:r>
              <w:rPr>
                <w:rFonts w:hint="default" w:ascii="Times New Roman" w:hAnsi="Times New Roman" w:eastAsia="Times New Roman" w:cs="Times New Roman"/>
                <w:i/>
                <w:color w:val="000000" w:themeColor="text1"/>
                <w:sz w:val="20"/>
                <w:szCs w:val="20"/>
                <w14:textFill>
                  <w14:solidFill>
                    <w14:schemeClr w14:val="tx1"/>
                  </w14:solidFill>
                </w14:textFill>
              </w:rPr>
              <w:t xml:space="preserve"> [Chinese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19</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Maintains a positive rapport with the whole healthcare team and provides emotional support for colleagues.</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20</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Works collaboratively across disciplines to complete medical responsibilities.</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21</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Demonstrates respect for clinical assistants, such as nurses and other staff.</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22</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Demonstrates trust in the professional knowledge and skills of coworkers.</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23</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Resolves interdisciplinary conflicts in a collegial and respectful manner.</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restar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Integrity</w:t>
            </w: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24</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Avoids discussing and revealing confidential patient information in public.</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25</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Maintains patient/physician relationships that do not exploit personal financial gain, privacy, or sexual advantages.</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26</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Actively reports any personal medical or research errors. </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27</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Acts to minimize the possibility of treatment failure and medical error.</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28</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Takes responsibility for their own clinical decisions and medical practices (i.e., not seek to evade responsibility).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adjustRightInd w:val="0"/>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29</w:t>
            </w:r>
          </w:p>
        </w:tc>
        <w:tc>
          <w:tcPr>
            <w:tcW w:w="2461" w:type="pct"/>
            <w:shd w:val="clear" w:color="auto" w:fill="auto"/>
          </w:tcPr>
          <w:p>
            <w:pPr>
              <w:adjustRightInd w:val="0"/>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Takes responsibility even in the face of difficulties.</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30</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Does not allow any possible personal benefit to impact on professional behavioral and decision making. </w:t>
            </w:r>
            <w:r>
              <w:rPr>
                <w:rFonts w:hint="default" w:ascii="Times New Roman" w:hAnsi="Times New Roman" w:eastAsia="Times New Roman" w:cs="Times New Roman"/>
                <w:i/>
                <w:color w:val="000000" w:themeColor="text1"/>
                <w:sz w:val="20"/>
                <w:szCs w:val="20"/>
                <w14:textFill>
                  <w14:solidFill>
                    <w14:schemeClr w14:val="tx1"/>
                  </w14:solidFill>
                </w14:textFill>
              </w:rPr>
              <w:t>[Chinese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31</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Avoids conducting non-scientific or unethical research supported by commercial sponsorship. </w:t>
            </w:r>
            <w:r>
              <w:rPr>
                <w:rFonts w:hint="default" w:ascii="Times New Roman" w:hAnsi="Times New Roman" w:eastAsia="Times New Roman" w:cs="Times New Roman"/>
                <w:i/>
                <w:color w:val="000000" w:themeColor="text1"/>
                <w:sz w:val="20"/>
                <w:szCs w:val="20"/>
                <w14:textFill>
                  <w14:solidFill>
                    <w14:schemeClr w14:val="tx1"/>
                  </w14:solidFill>
                </w14:textFill>
              </w:rPr>
              <w:t>[Chinese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32</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Does not sell any medical products or prescribe drugs for personal benefit.</w:t>
            </w:r>
            <w:r>
              <w:rPr>
                <w:rFonts w:hint="default" w:ascii="Times New Roman" w:hAnsi="Times New Roman" w:eastAsia="Times New Roman" w:cs="Times New Roman"/>
                <w:i/>
                <w:color w:val="000000" w:themeColor="text1"/>
                <w:sz w:val="20"/>
                <w:szCs w:val="20"/>
                <w14:textFill>
                  <w14:solidFill>
                    <w14:schemeClr w14:val="tx1"/>
                  </w14:solidFill>
                </w14:textFill>
              </w:rPr>
              <w:t xml:space="preserve"> [Chinese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33</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Does not participate in commercially sponsored banquets, tourism, training, or other activities that may lead to medical bias. </w:t>
            </w:r>
            <w:r>
              <w:rPr>
                <w:rFonts w:hint="default" w:ascii="Times New Roman" w:hAnsi="Times New Roman" w:eastAsia="Times New Roman" w:cs="Times New Roman"/>
                <w:i/>
                <w:color w:val="000000" w:themeColor="text1"/>
                <w:sz w:val="20"/>
                <w:szCs w:val="20"/>
                <w14:textFill>
                  <w14:solidFill>
                    <w14:schemeClr w14:val="tx1"/>
                  </w14:solidFill>
                </w14:textFill>
              </w:rPr>
              <w:t>[Chinese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34</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Does not attract patients through misleading advertising.</w:t>
            </w:r>
            <w:r>
              <w:rPr>
                <w:rFonts w:hint="default" w:ascii="Times New Roman" w:hAnsi="Times New Roman" w:eastAsia="Times New Roman" w:cs="Times New Roman"/>
                <w:i/>
                <w:color w:val="000000" w:themeColor="text1"/>
                <w:sz w:val="20"/>
                <w:szCs w:val="20"/>
                <w14:textFill>
                  <w14:solidFill>
                    <w14:schemeClr w14:val="tx1"/>
                  </w14:solidFill>
                </w14:textFill>
              </w:rPr>
              <w:t xml:space="preserve"> [Chinese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35</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Participates in peer evaluations of the quality of care provided by colleagues objectively.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36</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Reports colleagues’ misconduct or medical error to a hospital or a professional organization, and not shield peers. </w:t>
            </w:r>
            <w:r>
              <w:rPr>
                <w:rFonts w:hint="default" w:ascii="Times New Roman" w:hAnsi="Times New Roman" w:eastAsia="Times New Roman" w:cs="Times New Roman"/>
                <w:i/>
                <w:color w:val="000000" w:themeColor="text1"/>
                <w:sz w:val="20"/>
                <w:szCs w:val="20"/>
                <w14:textFill>
                  <w14:solidFill>
                    <w14:schemeClr w14:val="tx1"/>
                  </w14:solidFill>
                </w14:textFill>
              </w:rPr>
              <w:t>[Chinese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37</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Does not give patients false hope and fully explains treatment risks to them.</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38</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Provides appropriate and clear information to colleagues for follow-up patient care.</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restar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Excellence</w:t>
            </w: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39</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Follows scientific standards and bases decisions on scientific evidence and experience.</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40</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Applies new clinical practice guidelines into patient care actively.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41</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Acknowledges the meaning and relative value of scientific evidence in decision-making.</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42</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Uses practical experience as a basis for critical self-reflection.</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43</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Consults other medical colleagues to manage a situation that is beyond one’s ability.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44</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Seeks additional learning opportunities to acquire new knowledge and skills to remain current in their profession.</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45</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Engages in continuous professional development (CPD).</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46</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Commits to keep up with current academic literature and participate in peer discussions in their field. </w:t>
            </w:r>
            <w:r>
              <w:rPr>
                <w:rFonts w:hint="default" w:ascii="Times New Roman" w:hAnsi="Times New Roman" w:eastAsia="Times New Roman" w:cs="Times New Roman"/>
                <w:i/>
                <w:color w:val="000000" w:themeColor="text1"/>
                <w:sz w:val="20"/>
                <w:szCs w:val="20"/>
                <w14:textFill>
                  <w14:solidFill>
                    <w14:schemeClr w14:val="tx1"/>
                  </w14:solidFill>
                </w14:textFill>
              </w:rPr>
              <w:t>[Chinese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47</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Promotes the welfare and career of junior faculty.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i/>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48</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Shares experience, skills, and knowledge with junior colleagues. </w:t>
            </w:r>
            <w:r>
              <w:rPr>
                <w:rFonts w:hint="default" w:ascii="Times New Roman" w:hAnsi="Times New Roman" w:eastAsia="Times New Roman" w:cs="Times New Roman"/>
                <w:i/>
                <w:color w:val="000000" w:themeColor="text1"/>
                <w:sz w:val="20"/>
                <w:szCs w:val="20"/>
                <w14:textFill>
                  <w14:solidFill>
                    <w14:schemeClr w14:val="tx1"/>
                  </w14:solidFill>
                </w14:textFill>
              </w:rPr>
              <w:t>[added by expert review*]</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restart"/>
            <w:tcBorders>
              <w:bottom w:val="single" w:color="A6A6A6" w:sz="12" w:space="0"/>
            </w:tcBorders>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Responsibility</w:t>
            </w: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49</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Focuses on the risk factors that may threaten the safety of the patient and actively provide early warning and improvement suggestions to the relevant authority. </w:t>
            </w:r>
            <w:r>
              <w:rPr>
                <w:rFonts w:hint="default" w:ascii="Times New Roman" w:hAnsi="Times New Roman" w:eastAsia="Times New Roman" w:cs="Times New Roman"/>
                <w:i/>
                <w:color w:val="000000" w:themeColor="text1"/>
                <w:sz w:val="20"/>
                <w:szCs w:val="20"/>
                <w14:textFill>
                  <w14:solidFill>
                    <w14:schemeClr w14:val="tx1"/>
                  </w14:solidFill>
                </w14:textFill>
              </w:rPr>
              <w:t>[Chinese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tcBorders>
              <w:top w:val="single" w:color="A6A6A6" w:sz="4" w:space="0"/>
              <w:bottom w:val="single" w:color="A6A6A6" w:sz="12"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50</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Does not provide unnecessary or excessive testing or medical treatment.</w:t>
            </w:r>
            <w:r>
              <w:rPr>
                <w:rFonts w:hint="default" w:ascii="Times New Roman" w:hAnsi="Times New Roman" w:eastAsia="Times New Roman" w:cs="Times New Roman"/>
                <w:i/>
                <w:color w:val="000000" w:themeColor="text1"/>
                <w:sz w:val="20"/>
                <w:szCs w:val="20"/>
                <w14:textFill>
                  <w14:solidFill>
                    <w14:schemeClr w14:val="tx1"/>
                  </w14:solidFill>
                </w14:textFill>
              </w:rPr>
              <w:t xml:space="preserve"> [Chinese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tcBorders>
              <w:top w:val="single" w:color="A6A6A6" w:sz="4" w:space="0"/>
              <w:bottom w:val="single" w:color="A6A6A6" w:sz="12"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51</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Does not change care practice due to the social status and economic situation of the patient. </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tcBorders>
              <w:top w:val="single" w:color="A6A6A6" w:sz="4" w:space="0"/>
              <w:bottom w:val="single" w:color="A6A6A6" w:sz="12"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52</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Advocates for public health and transfers knowledge of public health to patients. </w:t>
            </w:r>
            <w:r>
              <w:rPr>
                <w:rFonts w:hint="default" w:ascii="Times New Roman" w:hAnsi="Times New Roman" w:eastAsia="Times New Roman" w:cs="Times New Roman"/>
                <w:i/>
                <w:color w:val="000000" w:themeColor="text1"/>
                <w:sz w:val="20"/>
                <w:szCs w:val="20"/>
                <w14:textFill>
                  <w14:solidFill>
                    <w14:schemeClr w14:val="tx1"/>
                  </w14:solidFill>
                </w14:textFill>
              </w:rPr>
              <w:t>[Chinese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tcBorders>
              <w:top w:val="single" w:color="A6A6A6" w:sz="4" w:space="0"/>
              <w:bottom w:val="single" w:color="A6A6A6" w:sz="12"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53</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Ensures that the patient understands the content and meaning of the informed consent correctly and fully.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tcBorders>
              <w:top w:val="single" w:color="A6A6A6" w:sz="4" w:space="0"/>
              <w:bottom w:val="single" w:color="A6A6A6" w:sz="12"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54</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Does not participate in or support behavior or academic activities that go against humanism.</w:t>
            </w:r>
            <w:r>
              <w:rPr>
                <w:rFonts w:hint="default" w:ascii="Times New Roman" w:hAnsi="Times New Roman" w:eastAsia="Times New Roman" w:cs="Times New Roman"/>
                <w:i/>
                <w:color w:val="000000" w:themeColor="text1"/>
                <w:sz w:val="20"/>
                <w:szCs w:val="20"/>
                <w14:textFill>
                  <w14:solidFill>
                    <w14:schemeClr w14:val="tx1"/>
                  </w14:solidFill>
                </w14:textFill>
              </w:rPr>
              <w:t xml:space="preserve"> [Chinese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tcBorders>
              <w:top w:val="single" w:color="A6A6A6" w:sz="4" w:space="0"/>
              <w:bottom w:val="single" w:color="A6A6A6" w:sz="12"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55</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Distinguishes between accepted treatment and experimental activities and abides by ethical standards.</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tcBorders>
              <w:top w:val="single" w:color="A6A6A6" w:sz="4" w:space="0"/>
              <w:bottom w:val="single" w:color="A6A6A6" w:sz="12"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56</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Does not harm the patient or put the patient at unnecessary risk by using medical knowledge and skills that the doctors know to not be in the best interest of the patient.</w:t>
            </w:r>
            <w:r>
              <w:rPr>
                <w:rFonts w:hint="default" w:ascii="Times New Roman" w:hAnsi="Times New Roman" w:eastAsia="Times New Roman" w:cs="Times New Roman"/>
                <w:i/>
                <w:color w:val="000000" w:themeColor="text1"/>
                <w:sz w:val="20"/>
                <w:szCs w:val="20"/>
                <w14:textFill>
                  <w14:solidFill>
                    <w14:schemeClr w14:val="tx1"/>
                  </w14:solidFill>
                </w14:textFill>
              </w:rPr>
              <w:t xml:space="preserve"> [Chinese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tcBorders>
              <w:top w:val="single" w:color="A6A6A6" w:sz="4" w:space="0"/>
              <w:bottom w:val="single" w:color="A6A6A6" w:sz="12"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57</w:t>
            </w:r>
          </w:p>
        </w:tc>
        <w:tc>
          <w:tcPr>
            <w:tcW w:w="2461" w:type="pct"/>
            <w:shd w:val="clear" w:color="auto" w:fill="auto"/>
          </w:tcPr>
          <w:p>
            <w:pP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Collaborates with peers to avoid unnecessary tests and optimizes the use of medical resources.</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11" w:type="pct"/>
            <w:vMerge w:val="continue"/>
            <w:tcBorders>
              <w:top w:val="single" w:color="A6A6A6"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p>
        </w:tc>
        <w:tc>
          <w:tcPr>
            <w:tcW w:w="27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58</w:t>
            </w:r>
          </w:p>
        </w:tc>
        <w:tc>
          <w:tcPr>
            <w:tcW w:w="2461" w:type="pct"/>
            <w:shd w:val="clear" w:color="auto" w:fill="auto"/>
          </w:tcPr>
          <w:p>
            <w:pPr>
              <w:keepNext/>
              <w:keepLines/>
              <w:snapToGrid w:val="0"/>
              <w:jc w:val="left"/>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Chooses appropriate medical treatment for a patient with financial constraints and helps them in finding other means of assistance. </w:t>
            </w:r>
          </w:p>
          <w:p>
            <w:pPr>
              <w:keepNext/>
              <w:keepLines/>
              <w:snapToGrid w:val="0"/>
              <w:jc w:val="left"/>
              <w:rPr>
                <w:rFonts w:hint="default" w:ascii="Times New Roman" w:hAnsi="Times New Roman" w:eastAsia="Times New Roman" w:cs="Times New Roman"/>
                <w:i/>
                <w:color w:val="000000" w:themeColor="text1"/>
                <w:sz w:val="20"/>
                <w:szCs w:val="20"/>
                <w14:textFill>
                  <w14:solidFill>
                    <w14:schemeClr w14:val="tx1"/>
                  </w14:solidFill>
                </w14:textFill>
              </w:rPr>
            </w:pPr>
            <w:r>
              <w:rPr>
                <w:rFonts w:hint="default" w:ascii="Times New Roman" w:hAnsi="Times New Roman" w:eastAsia="Times New Roman" w:cs="Times New Roman"/>
                <w:i/>
                <w:color w:val="000000" w:themeColor="text1"/>
                <w:sz w:val="20"/>
                <w:szCs w:val="20"/>
                <w14:textFill>
                  <w14:solidFill>
                    <w14:schemeClr w14:val="tx1"/>
                  </w14:solidFill>
                </w14:textFill>
              </w:rPr>
              <w:t xml:space="preserve"> [Chinese policy^]</w:t>
            </w:r>
          </w:p>
        </w:tc>
        <w:tc>
          <w:tcPr>
            <w:tcW w:w="493"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47"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t>
            </w:r>
          </w:p>
        </w:tc>
        <w:tc>
          <w:tcPr>
            <w:tcW w:w="514"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p>
        </w:tc>
      </w:tr>
    </w:tbl>
    <w:p>
      <w:pPr>
        <w:rPr>
          <w:rFonts w:hint="default" w:ascii="Times New Roman" w:hAnsi="Times New Roman" w:eastAsia="Times New Roman" w:cs="Times New Roman"/>
          <w:color w:val="000000" w:themeColor="text1"/>
          <w14:textFill>
            <w14:solidFill>
              <w14:schemeClr w14:val="tx1"/>
            </w14:solidFill>
          </w14:textFill>
        </w:rPr>
      </w:pPr>
      <w:bookmarkStart w:id="0" w:name="_heading=h.30j0zll" w:colFirst="0" w:colLast="0"/>
      <w:bookmarkEnd w:id="0"/>
      <w:r>
        <w:rPr>
          <w:rFonts w:hint="default" w:ascii="Times New Roman" w:hAnsi="Times New Roman" w:eastAsia="Times New Roman" w:cs="Times New Roman"/>
          <w:color w:val="000000" w:themeColor="text1"/>
          <w:vertAlign w:val="superscript"/>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Item numbers correspond to the 58-item CMPI Version 2, the first of three pilot studies.</w:t>
      </w:r>
    </w:p>
    <w:p>
      <w:pPr>
        <w:rPr>
          <w:rFonts w:hint="default" w:ascii="Times New Roman" w:hAnsi="Times New Roman" w:eastAsia="Times New Roman" w:cs="Times New Roman"/>
          <w:color w:val="000000" w:themeColor="text1"/>
          <w14:textFill>
            <w14:solidFill>
              <w14:schemeClr w14:val="tx1"/>
            </w14:solidFill>
          </w14:textFill>
        </w:rPr>
      </w:pPr>
      <w:r>
        <w:rPr>
          <w:rFonts w:hint="default" w:ascii="Times New Roman" w:hAnsi="Times New Roman" w:eastAsia="Calibri" w:cs="Times New Roman"/>
          <w:color w:val="000000" w:themeColor="text1"/>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 xml:space="preserve">Added by expert review during Phase II. </w:t>
      </w:r>
    </w:p>
    <w:p>
      <w:pPr>
        <w:rPr>
          <w:rFonts w:hint="default" w:ascii="Times New Roman" w:hAnsi="Times New Roman" w:eastAsia="Times New Roman" w:cs="Times New Roman"/>
          <w:color w:val="000000" w:themeColor="text1"/>
          <w14:textFill>
            <w14:solidFill>
              <w14:schemeClr w14:val="tx1"/>
            </w14:solidFill>
          </w14:textFill>
        </w:rPr>
      </w:pPr>
      <w:r>
        <w:rPr>
          <w:rFonts w:hint="default" w:ascii="Times New Roman" w:hAnsi="Times New Roman" w:eastAsia="Times New Roman" w:cs="Times New Roman"/>
          <w:color w:val="000000" w:themeColor="text1"/>
          <w14:textFill>
            <w14:solidFill>
              <w14:schemeClr w14:val="tx1"/>
            </w14:solidFill>
          </w14:textFill>
        </w:rPr>
        <w:t>^Added from Chinese policies about medical professionalism by researchers in Phase I.</w:t>
      </w: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Times New Roman" w:hAnsi="Times New Roman" w:eastAsia="Times New Roman" w:cs="Times New Roman"/>
          <w:sz w:val="24"/>
          <w:szCs w:val="24"/>
        </w:rPr>
      </w:pPr>
    </w:p>
    <w:p>
      <w:pPr>
        <w:rPr>
          <w:rFonts w:ascii="Arial" w:hAnsi="Arial" w:eastAsia="Times New Roman" w:cs="Arial"/>
          <w:b/>
          <w:color w:val="7F7F7F" w:themeColor="background1" w:themeShade="80"/>
          <w:sz w:val="24"/>
          <w:szCs w:val="24"/>
        </w:rPr>
      </w:pPr>
    </w:p>
    <w:p>
      <w:pPr>
        <w:rPr>
          <w:rFonts w:hint="default" w:ascii="Times New Roman" w:hAnsi="Times New Roman" w:eastAsia="Times New Roman" w:cs="Times New Roman"/>
          <w:sz w:val="24"/>
          <w:szCs w:val="24"/>
        </w:rPr>
      </w:pPr>
      <w:r>
        <w:rPr>
          <w:rFonts w:hint="default" w:ascii="Times New Roman" w:hAnsi="Times New Roman" w:eastAsia="Times New Roman" w:cs="Times New Roman"/>
          <w:b/>
          <w:color w:val="auto"/>
          <w:sz w:val="24"/>
          <w:szCs w:val="24"/>
        </w:rPr>
        <w:t>A</w:t>
      </w:r>
      <w:r>
        <w:rPr>
          <w:rFonts w:hint="default" w:ascii="Times New Roman" w:hAnsi="Times New Roman" w:eastAsia="宋体" w:cs="Times New Roman"/>
          <w:b/>
          <w:color w:val="auto"/>
          <w:sz w:val="24"/>
          <w:szCs w:val="24"/>
          <w:lang w:val="en-US" w:eastAsia="zh-CN"/>
        </w:rPr>
        <w:t>ppendix</w:t>
      </w:r>
      <w:r>
        <w:rPr>
          <w:rFonts w:hint="default" w:ascii="Times New Roman" w:hAnsi="Times New Roman" w:eastAsia="Times New Roman" w:cs="Times New Roman"/>
          <w:b/>
          <w:color w:val="auto"/>
          <w:sz w:val="24"/>
          <w:szCs w:val="24"/>
        </w:rPr>
        <w:t xml:space="preserve"> 2B</w:t>
      </w:r>
      <w:r>
        <w:rPr>
          <w:rFonts w:hint="default" w:ascii="Times New Roman" w:hAnsi="Times New Roman" w:eastAsia="Times New Roman" w:cs="Times New Roman"/>
          <w:b/>
          <w:color w:val="7F7F7F" w:themeColor="background1" w:themeShade="80"/>
          <w:sz w:val="24"/>
          <w:szCs w:val="24"/>
        </w:rPr>
        <w:t xml:space="preserve"> </w:t>
      </w:r>
      <w:r>
        <w:rPr>
          <w:rFonts w:hint="default" w:ascii="Times New Roman" w:hAnsi="Times New Roman" w:eastAsia="Times New Roman" w:cs="Times New Roman"/>
          <w:sz w:val="24"/>
          <w:szCs w:val="24"/>
        </w:rPr>
        <w:t>Items Included and Excluded: Policy and Expert Summary</w:t>
      </w:r>
    </w:p>
    <w:tbl>
      <w:tblPr>
        <w:tblStyle w:val="30"/>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70"/>
        <w:gridCol w:w="270"/>
        <w:gridCol w:w="1440"/>
        <w:gridCol w:w="1710"/>
        <w:gridCol w:w="2210"/>
        <w:gridCol w:w="2020"/>
        <w:gridCol w:w="2330"/>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40" w:type="dxa"/>
            <w:gridSpan w:val="2"/>
            <w:tcBorders>
              <w:bottom w:val="single" w:color="auto" w:sz="4" w:space="0"/>
              <w:right w:val="nil"/>
              <w:insideH w:val="single" w:sz="12" w:space="0"/>
              <w:insideV w:val="nil"/>
            </w:tcBorders>
            <w:shd w:val="clear" w:color="auto" w:fill="auto"/>
          </w:tcPr>
          <w:p>
            <w:pPr>
              <w:jc w:val="left"/>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rPr>
              <w:t>Process Resulting in Change to Item Pool</w:t>
            </w:r>
          </w:p>
        </w:tc>
        <w:tc>
          <w:tcPr>
            <w:tcW w:w="1440" w:type="dxa"/>
            <w:tcBorders>
              <w:bottom w:val="single" w:color="auto" w:sz="4" w:space="0"/>
              <w:right w:val="nil"/>
              <w:insideH w:val="single" w:sz="12" w:space="0"/>
              <w:insideV w:val="nil"/>
            </w:tcBorders>
            <w:shd w:val="clear" w:color="auto" w:fill="auto"/>
          </w:tcPr>
          <w:p>
            <w:pPr>
              <w:ind w:right="210"/>
              <w:jc w:val="left"/>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rPr>
              <w:t xml:space="preserve">CMPI </w:t>
            </w:r>
          </w:p>
          <w:p>
            <w:pPr>
              <w:ind w:right="210"/>
              <w:jc w:val="left"/>
              <w:rPr>
                <w:rFonts w:hint="default" w:ascii="Times New Roman" w:hAnsi="Times New Roman" w:eastAsia="宋体" w:cs="Times New Roman"/>
                <w:b w:val="0"/>
                <w:bCs/>
                <w:sz w:val="20"/>
                <w:szCs w:val="20"/>
              </w:rPr>
            </w:pPr>
            <w:r>
              <w:rPr>
                <w:rFonts w:hint="default" w:ascii="Times New Roman" w:hAnsi="Times New Roman" w:eastAsia="宋体" w:cs="Times New Roman"/>
                <w:b/>
                <w:bCs/>
                <w:sz w:val="20"/>
                <w:szCs w:val="20"/>
              </w:rPr>
              <w:t>Version 1</w:t>
            </w:r>
          </w:p>
        </w:tc>
        <w:tc>
          <w:tcPr>
            <w:tcW w:w="1710" w:type="dxa"/>
            <w:tcBorders>
              <w:bottom w:val="single" w:color="auto" w:sz="4" w:space="0"/>
              <w:right w:val="nil"/>
              <w:insideH w:val="single" w:sz="12" w:space="0"/>
              <w:insideV w:val="nil"/>
            </w:tcBorders>
            <w:shd w:val="clear" w:color="auto" w:fill="auto"/>
          </w:tcPr>
          <w:p>
            <w:pPr>
              <w:jc w:val="left"/>
              <w:rPr>
                <w:rFonts w:hint="default" w:ascii="Times New Roman" w:hAnsi="Times New Roman" w:eastAsia="宋体" w:cs="Times New Roman"/>
                <w:b w:val="0"/>
                <w:bCs/>
                <w:sz w:val="20"/>
                <w:szCs w:val="20"/>
              </w:rPr>
            </w:pPr>
            <w:r>
              <w:rPr>
                <w:rFonts w:hint="default" w:ascii="Times New Roman" w:hAnsi="Times New Roman" w:eastAsia="宋体" w:cs="Times New Roman"/>
                <w:b/>
                <w:bCs/>
                <w:sz w:val="20"/>
                <w:szCs w:val="20"/>
              </w:rPr>
              <w:t xml:space="preserve">CMPI </w:t>
            </w:r>
          </w:p>
          <w:p>
            <w:pPr>
              <w:jc w:val="left"/>
              <w:rPr>
                <w:rFonts w:hint="default" w:ascii="Times New Roman" w:hAnsi="Times New Roman" w:eastAsia="宋体" w:cs="Times New Roman"/>
                <w:b w:val="0"/>
                <w:bCs/>
                <w:sz w:val="20"/>
                <w:szCs w:val="20"/>
              </w:rPr>
            </w:pPr>
            <w:r>
              <w:rPr>
                <w:rFonts w:hint="default" w:ascii="Times New Roman" w:hAnsi="Times New Roman" w:eastAsia="宋体" w:cs="Times New Roman"/>
                <w:b/>
                <w:bCs/>
                <w:sz w:val="20"/>
                <w:szCs w:val="20"/>
              </w:rPr>
              <w:t>Version 2 (N)</w:t>
            </w:r>
            <w:r>
              <w:rPr>
                <w:rFonts w:hint="default" w:ascii="Times New Roman" w:hAnsi="Times New Roman" w:eastAsia="宋体" w:cs="Times New Roman"/>
                <w:b/>
                <w:bCs/>
                <w:sz w:val="20"/>
                <w:szCs w:val="20"/>
                <w:vertAlign w:val="superscript"/>
              </w:rPr>
              <w:t xml:space="preserve"> a</w:t>
            </w:r>
            <w:r>
              <w:rPr>
                <w:rFonts w:hint="default" w:ascii="Times New Roman" w:hAnsi="Times New Roman" w:eastAsia="宋体" w:cs="Times New Roman"/>
                <w:b/>
                <w:bCs/>
                <w:sz w:val="20"/>
                <w:szCs w:val="20"/>
              </w:rPr>
              <w:t xml:space="preserve"> </w:t>
            </w:r>
          </w:p>
        </w:tc>
        <w:tc>
          <w:tcPr>
            <w:tcW w:w="2210" w:type="dxa"/>
            <w:tcBorders>
              <w:bottom w:val="single" w:color="auto" w:sz="4" w:space="0"/>
              <w:right w:val="nil"/>
              <w:insideH w:val="single" w:sz="12" w:space="0"/>
              <w:insideV w:val="nil"/>
            </w:tcBorders>
            <w:shd w:val="clear" w:color="auto" w:fill="auto"/>
          </w:tcPr>
          <w:p>
            <w:pPr>
              <w:jc w:val="left"/>
              <w:rPr>
                <w:rFonts w:hint="default" w:ascii="Times New Roman" w:hAnsi="Times New Roman" w:eastAsia="宋体" w:cs="Times New Roman"/>
                <w:b w:val="0"/>
                <w:bCs/>
                <w:sz w:val="20"/>
                <w:szCs w:val="20"/>
              </w:rPr>
            </w:pPr>
            <w:r>
              <w:rPr>
                <w:rFonts w:hint="default" w:ascii="Times New Roman" w:hAnsi="Times New Roman" w:eastAsia="宋体" w:cs="Times New Roman"/>
                <w:b/>
                <w:bCs/>
                <w:sz w:val="20"/>
                <w:szCs w:val="20"/>
              </w:rPr>
              <w:t xml:space="preserve">CMPI Long </w:t>
            </w:r>
          </w:p>
          <w:p>
            <w:pPr>
              <w:jc w:val="left"/>
              <w:rPr>
                <w:rFonts w:hint="default" w:ascii="Times New Roman" w:hAnsi="Times New Roman" w:eastAsia="宋体" w:cs="Times New Roman"/>
                <w:b w:val="0"/>
                <w:bCs/>
                <w:sz w:val="20"/>
                <w:szCs w:val="20"/>
              </w:rPr>
            </w:pPr>
            <w:r>
              <w:rPr>
                <w:rFonts w:hint="default" w:ascii="Times New Roman" w:hAnsi="Times New Roman" w:eastAsia="宋体" w:cs="Times New Roman"/>
                <w:b/>
                <w:bCs/>
                <w:sz w:val="20"/>
                <w:szCs w:val="20"/>
              </w:rPr>
              <w:t xml:space="preserve">Version (N) </w:t>
            </w:r>
            <w:r>
              <w:rPr>
                <w:rFonts w:hint="default" w:ascii="Times New Roman" w:hAnsi="Times New Roman" w:eastAsia="宋体" w:cs="Times New Roman"/>
                <w:b/>
                <w:bCs/>
                <w:sz w:val="20"/>
                <w:szCs w:val="20"/>
                <w:vertAlign w:val="superscript"/>
              </w:rPr>
              <w:t>b</w:t>
            </w:r>
          </w:p>
        </w:tc>
        <w:tc>
          <w:tcPr>
            <w:tcW w:w="2020" w:type="dxa"/>
            <w:tcBorders>
              <w:bottom w:val="single" w:color="auto" w:sz="4" w:space="0"/>
              <w:right w:val="nil"/>
              <w:insideH w:val="single" w:sz="12" w:space="0"/>
              <w:insideV w:val="nil"/>
            </w:tcBorders>
            <w:shd w:val="clear" w:color="auto" w:fill="auto"/>
          </w:tcPr>
          <w:p>
            <w:pPr>
              <w:jc w:val="left"/>
              <w:rPr>
                <w:rFonts w:hint="default" w:ascii="Times New Roman" w:hAnsi="Times New Roman" w:eastAsia="宋体" w:cs="Times New Roman"/>
                <w:b w:val="0"/>
                <w:bCs/>
                <w:sz w:val="20"/>
                <w:szCs w:val="20"/>
              </w:rPr>
            </w:pPr>
            <w:r>
              <w:rPr>
                <w:rFonts w:hint="default" w:ascii="Times New Roman" w:hAnsi="Times New Roman" w:eastAsia="宋体" w:cs="Times New Roman"/>
                <w:b/>
                <w:bCs/>
                <w:sz w:val="20"/>
                <w:szCs w:val="20"/>
              </w:rPr>
              <w:t xml:space="preserve">CMPI Short Version (N) </w:t>
            </w:r>
            <w:r>
              <w:rPr>
                <w:rFonts w:hint="default" w:ascii="Times New Roman" w:hAnsi="Times New Roman" w:eastAsia="宋体" w:cs="Times New Roman"/>
                <w:b/>
                <w:bCs/>
                <w:sz w:val="20"/>
                <w:szCs w:val="20"/>
                <w:vertAlign w:val="superscript"/>
              </w:rPr>
              <w:t>c</w:t>
            </w:r>
          </w:p>
        </w:tc>
        <w:tc>
          <w:tcPr>
            <w:tcW w:w="2330" w:type="dxa"/>
            <w:tcBorders>
              <w:bottom w:val="single" w:color="auto" w:sz="4" w:space="0"/>
              <w:insideH w:val="single" w:sz="12" w:space="0"/>
              <w:insideV w:val="nil"/>
            </w:tcBorders>
            <w:shd w:val="clear" w:color="auto" w:fill="auto"/>
          </w:tcPr>
          <w:p>
            <w:pPr>
              <w:jc w:val="left"/>
              <w:rPr>
                <w:rFonts w:hint="default" w:ascii="Times New Roman" w:hAnsi="Times New Roman" w:eastAsia="宋体" w:cs="Times New Roman"/>
                <w:b w:val="0"/>
                <w:bCs/>
                <w:sz w:val="20"/>
                <w:szCs w:val="20"/>
              </w:rPr>
            </w:pPr>
            <w:r>
              <w:rPr>
                <w:rFonts w:hint="default" w:ascii="Times New Roman" w:hAnsi="Times New Roman" w:eastAsia="宋体" w:cs="Times New Roman"/>
                <w:b/>
                <w:bCs/>
                <w:sz w:val="20"/>
                <w:szCs w:val="20"/>
              </w:rPr>
              <w:t xml:space="preserve">Summary </w:t>
            </w:r>
            <w:r>
              <w:rPr>
                <w:rFonts w:hint="default" w:ascii="Times New Roman" w:hAnsi="Times New Roman" w:eastAsia="Times New Roman" w:cs="Times New Roman"/>
                <w:b/>
                <w:bCs/>
                <w:color w:val="000000" w:themeColor="text1"/>
                <w:sz w:val="20"/>
                <w:szCs w:val="20"/>
                <w:vertAlign w:val="superscript"/>
                <w14:textFill>
                  <w14:solidFill>
                    <w14:schemeClr w14:val="tx1"/>
                  </w14:solidFill>
                </w14:textFill>
              </w:rPr>
              <w:t>$</w:t>
            </w:r>
            <w:r>
              <w:rPr>
                <w:rFonts w:hint="default" w:ascii="Times New Roman" w:hAnsi="Times New Roman" w:eastAsia="宋体" w:cs="Times New Roman"/>
                <w:b/>
                <w:bCs/>
                <w:sz w:val="20"/>
                <w:szCs w:val="20"/>
              </w:rPr>
              <w:t xml:space="preserve"> </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40" w:type="dxa"/>
            <w:gridSpan w:val="2"/>
            <w:tcBorders>
              <w:top w:val="single" w:color="auto" w:sz="4" w:space="0"/>
            </w:tcBorders>
            <w:shd w:val="clear" w:color="auto" w:fill="auto"/>
          </w:tcPr>
          <w:p>
            <w:pPr>
              <w:jc w:val="left"/>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z w:val="20"/>
                <w:szCs w:val="20"/>
              </w:rPr>
              <w:t>Policy items added in Phase 1</w:t>
            </w:r>
          </w:p>
        </w:tc>
        <w:tc>
          <w:tcPr>
            <w:tcW w:w="1440" w:type="dxa"/>
            <w:tcBorders>
              <w:top w:val="single" w:color="auto" w:sz="4" w:space="0"/>
            </w:tcBorders>
            <w:shd w:val="clear" w:color="auto" w:fill="auto"/>
          </w:tcPr>
          <w:p>
            <w:pPr>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t>28</w:t>
            </w:r>
          </w:p>
        </w:tc>
        <w:tc>
          <w:tcPr>
            <w:tcW w:w="1710" w:type="dxa"/>
            <w:tcBorders>
              <w:top w:val="single" w:color="auto" w:sz="4" w:space="0"/>
            </w:tcBorders>
            <w:shd w:val="clear" w:color="auto" w:fill="auto"/>
          </w:tcPr>
          <w:p>
            <w:pPr>
              <w:rPr>
                <w:rFonts w:hint="default" w:ascii="Times New Roman" w:hAnsi="Times New Roman" w:eastAsia="宋体" w:cs="Times New Roman"/>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17</w:t>
            </w:r>
          </w:p>
        </w:tc>
        <w:tc>
          <w:tcPr>
            <w:tcW w:w="2210" w:type="dxa"/>
            <w:tcBorders>
              <w:top w:val="single" w:color="auto" w:sz="4" w:space="0"/>
            </w:tcBorders>
            <w:shd w:val="clear" w:color="auto" w:fill="auto"/>
          </w:tcPr>
          <w:p>
            <w:pPr>
              <w:jc w:val="left"/>
              <w:rPr>
                <w:rFonts w:hint="default" w:ascii="Times New Roman" w:hAnsi="Times New Roman" w:eastAsia="宋体" w:cs="Times New Roman"/>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11</w:t>
            </w:r>
          </w:p>
        </w:tc>
        <w:tc>
          <w:tcPr>
            <w:tcW w:w="2020" w:type="dxa"/>
            <w:tcBorders>
              <w:top w:val="single" w:color="auto" w:sz="4" w:space="0"/>
            </w:tcBorders>
            <w:shd w:val="clear" w:color="auto" w:fill="auto"/>
          </w:tcPr>
          <w:p>
            <w:pPr>
              <w:rPr>
                <w:rFonts w:hint="default" w:ascii="Times New Roman" w:hAnsi="Times New Roman" w:eastAsia="宋体" w:cs="Times New Roman"/>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2330" w:type="dxa"/>
            <w:tcBorders>
              <w:top w:val="single" w:color="auto" w:sz="4" w:space="0"/>
            </w:tcBorders>
            <w:shd w:val="clear" w:color="auto" w:fill="auto"/>
          </w:tcPr>
          <w:p>
            <w:pP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Retained policy items: </w:t>
            </w:r>
          </w:p>
          <w:p>
            <w:pPr>
              <w:rPr>
                <w:rFonts w:hint="default" w:ascii="Times New Roman" w:hAnsi="Times New Roman" w:eastAsia="宋体" w:cs="Times New Roman"/>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#31, #49, #50</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40" w:type="dxa"/>
            <w:gridSpan w:val="2"/>
            <w:shd w:val="clear" w:color="auto" w:fill="auto"/>
          </w:tcPr>
          <w:p>
            <w:pPr>
              <w:jc w:val="left"/>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z w:val="20"/>
                <w:szCs w:val="20"/>
              </w:rPr>
              <w:t>Expert items added in Phase 2</w:t>
            </w:r>
          </w:p>
        </w:tc>
        <w:tc>
          <w:tcPr>
            <w:tcW w:w="1440" w:type="dxa"/>
            <w:shd w:val="clear" w:color="auto" w:fill="auto"/>
          </w:tcPr>
          <w:p>
            <w:pPr>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t>Not fit</w:t>
            </w:r>
            <w:r>
              <w:rPr>
                <w:rFonts w:hint="default" w:ascii="Times New Roman" w:hAnsi="Times New Roman" w:eastAsia="宋体" w:cs="Times New Roman"/>
                <w:b/>
                <w:sz w:val="20"/>
                <w:szCs w:val="20"/>
                <w:vertAlign w:val="superscript"/>
              </w:rPr>
              <w:t xml:space="preserve"> a</w:t>
            </w:r>
          </w:p>
        </w:tc>
        <w:tc>
          <w:tcPr>
            <w:tcW w:w="1710" w:type="dxa"/>
            <w:shd w:val="clear" w:color="auto" w:fill="auto"/>
          </w:tcPr>
          <w:p>
            <w:pPr>
              <w:rPr>
                <w:rFonts w:hint="default" w:ascii="Times New Roman" w:hAnsi="Times New Roman" w:eastAsia="宋体" w:cs="Times New Roman"/>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2210" w:type="dxa"/>
            <w:shd w:val="clear" w:color="auto" w:fill="auto"/>
          </w:tcPr>
          <w:p>
            <w:pPr>
              <w:jc w:val="left"/>
              <w:rPr>
                <w:rFonts w:hint="default" w:ascii="Times New Roman" w:hAnsi="Times New Roman" w:eastAsia="宋体" w:cs="Times New Roman"/>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2020" w:type="dxa"/>
            <w:shd w:val="clear" w:color="auto" w:fill="auto"/>
          </w:tcPr>
          <w:p>
            <w:pPr>
              <w:rPr>
                <w:rFonts w:hint="default" w:ascii="Times New Roman" w:hAnsi="Times New Roman" w:eastAsia="宋体" w:cs="Times New Roman"/>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2330" w:type="dxa"/>
            <w:shd w:val="clear" w:color="auto" w:fill="auto"/>
          </w:tcPr>
          <w:p>
            <w:pP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Add expert items: </w:t>
            </w:r>
          </w:p>
          <w:p>
            <w:pP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#8 and # 48</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40" w:type="dxa"/>
            <w:gridSpan w:val="2"/>
            <w:shd w:val="clear" w:color="auto" w:fill="auto"/>
          </w:tcPr>
          <w:p>
            <w:pPr>
              <w:jc w:val="left"/>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z w:val="20"/>
                <w:szCs w:val="20"/>
              </w:rPr>
              <w:t>Total Policy + Expert added</w:t>
            </w:r>
          </w:p>
        </w:tc>
        <w:tc>
          <w:tcPr>
            <w:tcW w:w="1440" w:type="dxa"/>
            <w:shd w:val="clear" w:color="auto" w:fill="auto"/>
          </w:tcPr>
          <w:p>
            <w:pPr>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t>28</w:t>
            </w:r>
          </w:p>
        </w:tc>
        <w:tc>
          <w:tcPr>
            <w:tcW w:w="1710" w:type="dxa"/>
            <w:shd w:val="clear" w:color="auto" w:fill="auto"/>
          </w:tcPr>
          <w:p>
            <w:pPr>
              <w:rPr>
                <w:rFonts w:hint="default" w:ascii="Times New Roman" w:hAnsi="Times New Roman" w:eastAsia="宋体" w:cs="Times New Roman"/>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19</w:t>
            </w:r>
          </w:p>
        </w:tc>
        <w:tc>
          <w:tcPr>
            <w:tcW w:w="2210" w:type="dxa"/>
            <w:shd w:val="clear" w:color="auto" w:fill="auto"/>
          </w:tcPr>
          <w:p>
            <w:pPr>
              <w:jc w:val="left"/>
              <w:rPr>
                <w:rFonts w:hint="default" w:ascii="Times New Roman" w:hAnsi="Times New Roman" w:eastAsia="宋体" w:cs="Times New Roman"/>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13</w:t>
            </w:r>
          </w:p>
        </w:tc>
        <w:tc>
          <w:tcPr>
            <w:tcW w:w="2020" w:type="dxa"/>
            <w:shd w:val="clear" w:color="auto" w:fill="auto"/>
          </w:tcPr>
          <w:p>
            <w:pPr>
              <w:rPr>
                <w:rFonts w:hint="default" w:ascii="Times New Roman" w:hAnsi="Times New Roman" w:eastAsia="宋体" w:cs="Times New Roman"/>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c>
          <w:tcPr>
            <w:tcW w:w="2330" w:type="dxa"/>
            <w:shd w:val="clear" w:color="auto" w:fill="auto"/>
          </w:tcPr>
          <w:p>
            <w:pPr>
              <w:rPr>
                <w:rFonts w:hint="default" w:ascii="Times New Roman" w:hAnsi="Times New Roman" w:eastAsia="宋体" w:cs="Times New Roman"/>
                <w:sz w:val="20"/>
                <w:szCs w:val="20"/>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970" w:type="dxa"/>
            <w:shd w:val="clear" w:color="auto" w:fill="auto"/>
          </w:tcPr>
          <w:p>
            <w:pPr>
              <w:jc w:val="left"/>
              <w:rPr>
                <w:rFonts w:hint="default" w:ascii="Times New Roman" w:hAnsi="Times New Roman" w:eastAsia="宋体" w:cs="Times New Roman"/>
                <w:b w:val="0"/>
                <w:bCs w:val="0"/>
                <w:sz w:val="20"/>
                <w:szCs w:val="20"/>
              </w:rPr>
            </w:pPr>
            <w:r>
              <w:rPr>
                <w:rFonts w:hint="default" w:ascii="Times New Roman" w:hAnsi="Times New Roman" w:eastAsia="宋体" w:cs="Times New Roman"/>
                <w:b w:val="0"/>
                <w:bCs w:val="0"/>
                <w:sz w:val="20"/>
                <w:szCs w:val="20"/>
              </w:rPr>
              <w:t>Lost policy items (# of Item</w:t>
            </w:r>
            <w:r>
              <w:rPr>
                <w:rFonts w:hint="default" w:ascii="Times New Roman" w:hAnsi="Times New Roman" w:eastAsia="宋体" w:cs="Times New Roman"/>
                <w:b w:val="0"/>
                <w:bCs w:val="0"/>
                <w:sz w:val="20"/>
                <w:szCs w:val="20"/>
                <w:vertAlign w:val="superscript"/>
              </w:rPr>
              <w:t>$</w:t>
            </w:r>
            <w:r>
              <w:rPr>
                <w:rFonts w:hint="default" w:ascii="Times New Roman" w:hAnsi="Times New Roman" w:eastAsia="宋体" w:cs="Times New Roman"/>
                <w:b w:val="0"/>
                <w:bCs w:val="0"/>
                <w:sz w:val="20"/>
                <w:szCs w:val="20"/>
              </w:rPr>
              <w:t>)</w:t>
            </w:r>
          </w:p>
        </w:tc>
        <w:tc>
          <w:tcPr>
            <w:tcW w:w="1710" w:type="dxa"/>
            <w:gridSpan w:val="2"/>
            <w:shd w:val="clear" w:color="auto" w:fill="auto"/>
          </w:tcPr>
          <w:p>
            <w:pPr>
              <w:rPr>
                <w:rFonts w:hint="default" w:ascii="Times New Roman" w:hAnsi="Times New Roman" w:eastAsia="宋体" w:cs="Times New Roman"/>
                <w:sz w:val="20"/>
                <w:szCs w:val="20"/>
              </w:rPr>
            </w:pPr>
          </w:p>
        </w:tc>
        <w:tc>
          <w:tcPr>
            <w:tcW w:w="1710" w:type="dxa"/>
            <w:shd w:val="clear" w:color="auto" w:fill="auto"/>
          </w:tcPr>
          <w:p>
            <w:pPr>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t>Not available in appendix 2A</w:t>
            </w:r>
          </w:p>
        </w:tc>
        <w:tc>
          <w:tcPr>
            <w:tcW w:w="2210" w:type="dxa"/>
            <w:shd w:val="clear" w:color="auto" w:fill="auto"/>
          </w:tcPr>
          <w:p>
            <w:pPr>
              <w:jc w:val="left"/>
              <w:rPr>
                <w:rFonts w:hint="default" w:ascii="Times New Roman" w:hAnsi="Times New Roman" w:eastAsia="宋体" w:cs="Times New Roman"/>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#15, #18, #30, #36, #46, #54</w:t>
            </w:r>
          </w:p>
        </w:tc>
        <w:tc>
          <w:tcPr>
            <w:tcW w:w="2020" w:type="dxa"/>
            <w:shd w:val="clear" w:color="auto" w:fill="auto"/>
          </w:tcPr>
          <w:p>
            <w:pPr>
              <w:jc w:val="left"/>
              <w:rPr>
                <w:rFonts w:hint="default" w:ascii="Times New Roman" w:hAnsi="Times New Roman" w:eastAsia="宋体" w:cs="Times New Roman"/>
                <w:sz w:val="20"/>
                <w:szCs w:val="20"/>
              </w:rPr>
            </w:pPr>
            <w:r>
              <w:rPr>
                <w:rFonts w:hint="default" w:ascii="Times New Roman" w:hAnsi="Times New Roman" w:eastAsia="Times New Roman" w:cs="Times New Roman"/>
                <w:color w:val="000000" w:themeColor="text1"/>
                <w:sz w:val="20"/>
                <w:szCs w:val="20"/>
                <w14:textFill>
                  <w14:solidFill>
                    <w14:schemeClr w14:val="tx1"/>
                  </w14:solidFill>
                </w14:textFill>
              </w:rPr>
              <w:t>#10, #13, #32, #33, #34, #52, #56, #58</w:t>
            </w:r>
          </w:p>
        </w:tc>
        <w:tc>
          <w:tcPr>
            <w:tcW w:w="2330" w:type="dxa"/>
            <w:shd w:val="clear" w:color="auto" w:fill="auto"/>
          </w:tcPr>
          <w:p>
            <w:pPr>
              <w:rPr>
                <w:rFonts w:hint="default" w:ascii="Times New Roman" w:hAnsi="Times New Roman" w:eastAsia="宋体" w:cs="Times New Roman"/>
                <w:sz w:val="20"/>
                <w:szCs w:val="20"/>
              </w:rPr>
            </w:pPr>
          </w:p>
        </w:tc>
      </w:tr>
    </w:tbl>
    <w:p>
      <w:pPr>
        <w:jc w:val="left"/>
        <w:rPr>
          <w:rFonts w:hint="default" w:ascii="Times New Roman" w:hAnsi="Times New Roman" w:eastAsia="宋体" w:cs="Times New Roman"/>
        </w:rPr>
      </w:pPr>
      <w:r>
        <w:rPr>
          <w:rFonts w:hint="default" w:ascii="Times New Roman" w:hAnsi="Times New Roman" w:eastAsia="宋体" w:cs="Times New Roman"/>
        </w:rPr>
        <w:t>N is number of items (i.e., how many items in this column).</w:t>
      </w:r>
    </w:p>
    <w:p>
      <w:pPr>
        <w:jc w:val="left"/>
        <w:rPr>
          <w:rFonts w:hint="default" w:ascii="Times New Roman" w:hAnsi="Times New Roman" w:eastAsia="宋体" w:cs="Times New Roman"/>
        </w:rPr>
      </w:pPr>
      <w:r>
        <w:rPr>
          <w:rFonts w:hint="default" w:ascii="Times New Roman" w:hAnsi="Times New Roman" w:eastAsia="宋体" w:cs="Times New Roman"/>
          <w:vertAlign w:val="superscript"/>
        </w:rPr>
        <w:t>a</w:t>
      </w:r>
      <w:r>
        <w:rPr>
          <w:rFonts w:hint="default" w:ascii="Times New Roman" w:hAnsi="Times New Roman" w:eastAsia="宋体" w:cs="Times New Roman"/>
        </w:rPr>
        <w:t xml:space="preserve"> Expert items added because of in Phase II Expert Survey.</w:t>
      </w:r>
    </w:p>
    <w:p>
      <w:pPr>
        <w:jc w:val="left"/>
        <w:rPr>
          <w:rFonts w:hint="default" w:ascii="Times New Roman" w:hAnsi="Times New Roman" w:eastAsia="Times New Roman" w:cs="Times New Roman"/>
          <w:color w:val="000000" w:themeColor="text1"/>
          <w14:textFill>
            <w14:solidFill>
              <w14:schemeClr w14:val="tx1"/>
            </w14:solidFill>
          </w14:textFill>
        </w:rPr>
      </w:pPr>
      <w:r>
        <w:rPr>
          <w:rFonts w:hint="default" w:ascii="Times New Roman" w:hAnsi="Times New Roman" w:eastAsia="Times New Roman" w:cs="Times New Roman"/>
          <w:color w:val="000000" w:themeColor="text1"/>
          <w:vertAlign w:val="superscript"/>
          <w14:textFill>
            <w14:solidFill>
              <w14:schemeClr w14:val="tx1"/>
            </w14:solidFill>
          </w14:textFill>
        </w:rPr>
        <w:t>b</w:t>
      </w:r>
      <w:r>
        <w:rPr>
          <w:rFonts w:hint="default" w:ascii="Times New Roman" w:hAnsi="Times New Roman" w:eastAsia="Times New Roman" w:cs="Times New Roman"/>
          <w:color w:val="000000" w:themeColor="text1"/>
          <w14:textFill>
            <w14:solidFill>
              <w14:schemeClr w14:val="tx1"/>
            </w14:solidFill>
          </w14:textFill>
        </w:rPr>
        <w:t xml:space="preserve"> Policy items removed because of CITC, CAID, and EFA in Phase III First Pilot Study.</w:t>
      </w:r>
    </w:p>
    <w:p>
      <w:pPr>
        <w:jc w:val="left"/>
        <w:rPr>
          <w:rFonts w:hint="default" w:ascii="Times New Roman" w:hAnsi="Times New Roman" w:eastAsia="Times New Roman" w:cs="Times New Roman"/>
          <w:color w:val="000000" w:themeColor="text1"/>
          <w14:textFill>
            <w14:solidFill>
              <w14:schemeClr w14:val="tx1"/>
            </w14:solidFill>
          </w14:textFill>
        </w:rPr>
      </w:pPr>
      <w:r>
        <w:rPr>
          <w:rFonts w:hint="default" w:ascii="Times New Roman" w:hAnsi="Times New Roman" w:eastAsia="Times New Roman" w:cs="Times New Roman"/>
          <w:color w:val="000000" w:themeColor="text1"/>
          <w:vertAlign w:val="superscript"/>
          <w14:textFill>
            <w14:solidFill>
              <w14:schemeClr w14:val="tx1"/>
            </w14:solidFill>
          </w14:textFill>
        </w:rPr>
        <w:t>c</w:t>
      </w:r>
      <w:r>
        <w:rPr>
          <w:rFonts w:hint="default" w:ascii="Times New Roman" w:hAnsi="Times New Roman" w:eastAsia="Times New Roman" w:cs="Times New Roman"/>
          <w:color w:val="000000" w:themeColor="text1"/>
          <w14:textFill>
            <w14:solidFill>
              <w14:schemeClr w14:val="tx1"/>
            </w14:solidFill>
          </w14:textFill>
        </w:rPr>
        <w:t xml:space="preserve"> Policy items removed because of in Phase IV National Expert Survey.</w:t>
      </w:r>
    </w:p>
    <w:p>
      <w:pPr>
        <w:rPr>
          <w:rFonts w:hint="default" w:ascii="Times New Roman" w:hAnsi="Times New Roman" w:eastAsia="Times New Roman" w:cs="Times New Roman"/>
          <w:color w:val="000000" w:themeColor="text1"/>
          <w14:textFill>
            <w14:solidFill>
              <w14:schemeClr w14:val="tx1"/>
            </w14:solidFill>
          </w14:textFill>
        </w:rPr>
      </w:pPr>
      <w:r>
        <w:rPr>
          <w:rFonts w:hint="default" w:ascii="Times New Roman" w:hAnsi="Times New Roman" w:eastAsia="Times New Roman" w:cs="Times New Roman"/>
          <w:color w:val="000000" w:themeColor="text1"/>
          <w:vertAlign w:val="superscript"/>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Item numbers (indicated with #) correspond to the 58-item CMPI Version 2, the first of three pilot studies.</w:t>
      </w:r>
    </w:p>
    <w:p>
      <w:pPr>
        <w:rPr>
          <w:rFonts w:ascii="Arial" w:hAnsi="Arial" w:eastAsia="宋体" w:cs="Arial"/>
          <w:sz w:val="24"/>
          <w:szCs w:val="24"/>
        </w:rPr>
      </w:pPr>
      <w:bookmarkStart w:id="1" w:name="_GoBack"/>
      <w:bookmarkEnd w:id="1"/>
    </w:p>
    <w:sectPr>
      <w:pgSz w:w="15840" w:h="12240"/>
      <w:pgMar w:top="1440" w:right="1440" w:bottom="1440" w:left="1440" w:header="851" w:footer="992"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Georgia">
    <w:panose1 w:val="02040502050405020303"/>
    <w:charset w:val="00"/>
    <w:family w:val="roman"/>
    <w:pitch w:val="default"/>
    <w:sig w:usb0="00000287" w:usb1="00000000" w:usb2="00000000" w:usb3="00000000" w:csb0="2000009F" w:csb1="00000000"/>
  </w:font>
  <w:font w:name="Arial">
    <w:panose1 w:val="020B0604020202020204"/>
    <w:charset w:val="00"/>
    <w:family w:val="swiss"/>
    <w:pitch w:val="default"/>
    <w:sig w:usb0="E0002EFF" w:usb1="C000785B" w:usb2="00000009" w:usb3="00000000" w:csb0="400001FF" w:csb1="FFFF0000"/>
  </w:font>
  <w:font w:name="Yu Gothic UI Semilight">
    <w:panose1 w:val="020B0400000000000000"/>
    <w:charset w:val="80"/>
    <w:family w:val="auto"/>
    <w:pitch w:val="default"/>
    <w:sig w:usb0="E00002FF" w:usb1="2AC7FDFF" w:usb2="00000016" w:usb3="00000000" w:csb0="2002009F" w:csb1="00000000"/>
  </w:font>
  <w:font w:name="Agency FB">
    <w:panose1 w:val="020B0503020202020204"/>
    <w:charset w:val="00"/>
    <w:family w:val="auto"/>
    <w:pitch w:val="default"/>
    <w:sig w:usb0="00000003" w:usb1="00000000" w:usb2="00000000" w:usb3="00000000" w:csb0="20000001" w:csb1="00000000"/>
  </w:font>
  <w:font w:name="Algerian">
    <w:panose1 w:val="04020705040A02060702"/>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BkNzI5M2YwMWU0YjY1OGQ0NDJjOTU1NTdjMjUzYjgifQ=="/>
  </w:docVars>
  <w:rsids>
    <w:rsidRoot w:val="0000242F"/>
    <w:rsid w:val="0000242F"/>
    <w:rsid w:val="00021622"/>
    <w:rsid w:val="000676B5"/>
    <w:rsid w:val="00095A7C"/>
    <w:rsid w:val="000C55BD"/>
    <w:rsid w:val="000E2E9E"/>
    <w:rsid w:val="001032E5"/>
    <w:rsid w:val="00160DFF"/>
    <w:rsid w:val="00176566"/>
    <w:rsid w:val="001871D0"/>
    <w:rsid w:val="00197DF5"/>
    <w:rsid w:val="001A0885"/>
    <w:rsid w:val="001A242D"/>
    <w:rsid w:val="001A5E1B"/>
    <w:rsid w:val="001D1CA2"/>
    <w:rsid w:val="001E6D1F"/>
    <w:rsid w:val="002365E8"/>
    <w:rsid w:val="00244124"/>
    <w:rsid w:val="00264F98"/>
    <w:rsid w:val="002659F9"/>
    <w:rsid w:val="00274D2C"/>
    <w:rsid w:val="00277856"/>
    <w:rsid w:val="00286E92"/>
    <w:rsid w:val="002C55C7"/>
    <w:rsid w:val="002E20FD"/>
    <w:rsid w:val="003147D6"/>
    <w:rsid w:val="00347718"/>
    <w:rsid w:val="00370880"/>
    <w:rsid w:val="003709BC"/>
    <w:rsid w:val="00392922"/>
    <w:rsid w:val="003A4718"/>
    <w:rsid w:val="003A4D9A"/>
    <w:rsid w:val="003B2108"/>
    <w:rsid w:val="003E537D"/>
    <w:rsid w:val="003E5552"/>
    <w:rsid w:val="003E70A3"/>
    <w:rsid w:val="003F689C"/>
    <w:rsid w:val="0040362B"/>
    <w:rsid w:val="0040507C"/>
    <w:rsid w:val="00406529"/>
    <w:rsid w:val="004128BB"/>
    <w:rsid w:val="0049405E"/>
    <w:rsid w:val="004A11C6"/>
    <w:rsid w:val="004A23B1"/>
    <w:rsid w:val="004E1B38"/>
    <w:rsid w:val="004E4DFD"/>
    <w:rsid w:val="0054424C"/>
    <w:rsid w:val="0056367F"/>
    <w:rsid w:val="005671D1"/>
    <w:rsid w:val="0057478A"/>
    <w:rsid w:val="00586236"/>
    <w:rsid w:val="005A00FC"/>
    <w:rsid w:val="005A5360"/>
    <w:rsid w:val="005B4094"/>
    <w:rsid w:val="005C1A02"/>
    <w:rsid w:val="005E6B32"/>
    <w:rsid w:val="005F6FCC"/>
    <w:rsid w:val="0062367A"/>
    <w:rsid w:val="00660719"/>
    <w:rsid w:val="0066738E"/>
    <w:rsid w:val="00681222"/>
    <w:rsid w:val="006A597D"/>
    <w:rsid w:val="006B79F0"/>
    <w:rsid w:val="006C2551"/>
    <w:rsid w:val="006C27C7"/>
    <w:rsid w:val="00700B1E"/>
    <w:rsid w:val="007228BF"/>
    <w:rsid w:val="00745B39"/>
    <w:rsid w:val="007517EC"/>
    <w:rsid w:val="007700E2"/>
    <w:rsid w:val="0078601C"/>
    <w:rsid w:val="00786C57"/>
    <w:rsid w:val="007A3111"/>
    <w:rsid w:val="007B1672"/>
    <w:rsid w:val="007C0EBF"/>
    <w:rsid w:val="007C7114"/>
    <w:rsid w:val="007E1D75"/>
    <w:rsid w:val="007F3221"/>
    <w:rsid w:val="007F38C7"/>
    <w:rsid w:val="0080098E"/>
    <w:rsid w:val="00874981"/>
    <w:rsid w:val="00877C7A"/>
    <w:rsid w:val="00882C62"/>
    <w:rsid w:val="008A4324"/>
    <w:rsid w:val="008A5780"/>
    <w:rsid w:val="008A5CFA"/>
    <w:rsid w:val="008A74E7"/>
    <w:rsid w:val="008B74AF"/>
    <w:rsid w:val="008B7604"/>
    <w:rsid w:val="008C1159"/>
    <w:rsid w:val="008D6E27"/>
    <w:rsid w:val="00940048"/>
    <w:rsid w:val="009920B2"/>
    <w:rsid w:val="009A75EE"/>
    <w:rsid w:val="009C6BF3"/>
    <w:rsid w:val="009D0EB6"/>
    <w:rsid w:val="009F256E"/>
    <w:rsid w:val="00A2104E"/>
    <w:rsid w:val="00A24830"/>
    <w:rsid w:val="00A24A25"/>
    <w:rsid w:val="00A342D7"/>
    <w:rsid w:val="00A374B3"/>
    <w:rsid w:val="00A41B56"/>
    <w:rsid w:val="00A848D5"/>
    <w:rsid w:val="00A90A4B"/>
    <w:rsid w:val="00A931D0"/>
    <w:rsid w:val="00AA5C3B"/>
    <w:rsid w:val="00AC274F"/>
    <w:rsid w:val="00AD1A66"/>
    <w:rsid w:val="00AE5A2A"/>
    <w:rsid w:val="00B02DC1"/>
    <w:rsid w:val="00B16CE8"/>
    <w:rsid w:val="00B22870"/>
    <w:rsid w:val="00B37F1F"/>
    <w:rsid w:val="00B538F0"/>
    <w:rsid w:val="00B608EC"/>
    <w:rsid w:val="00B823F2"/>
    <w:rsid w:val="00B9575E"/>
    <w:rsid w:val="00BA0028"/>
    <w:rsid w:val="00BA0FBC"/>
    <w:rsid w:val="00BB7AD5"/>
    <w:rsid w:val="00BC0DA3"/>
    <w:rsid w:val="00C151D5"/>
    <w:rsid w:val="00C15FA7"/>
    <w:rsid w:val="00C2642A"/>
    <w:rsid w:val="00C36B16"/>
    <w:rsid w:val="00C41E6A"/>
    <w:rsid w:val="00C41FD7"/>
    <w:rsid w:val="00C45B28"/>
    <w:rsid w:val="00C64294"/>
    <w:rsid w:val="00C7791F"/>
    <w:rsid w:val="00CA0984"/>
    <w:rsid w:val="00CA7581"/>
    <w:rsid w:val="00CC38DF"/>
    <w:rsid w:val="00CD3717"/>
    <w:rsid w:val="00CD43D5"/>
    <w:rsid w:val="00CD738A"/>
    <w:rsid w:val="00CE3B5C"/>
    <w:rsid w:val="00D06C07"/>
    <w:rsid w:val="00D17D47"/>
    <w:rsid w:val="00D33F82"/>
    <w:rsid w:val="00D45844"/>
    <w:rsid w:val="00D91125"/>
    <w:rsid w:val="00DA0447"/>
    <w:rsid w:val="00DC39C8"/>
    <w:rsid w:val="00E03CAF"/>
    <w:rsid w:val="00E30921"/>
    <w:rsid w:val="00E3415B"/>
    <w:rsid w:val="00E67F30"/>
    <w:rsid w:val="00E7102D"/>
    <w:rsid w:val="00E733EA"/>
    <w:rsid w:val="00E75CC8"/>
    <w:rsid w:val="00E77D09"/>
    <w:rsid w:val="00EA2F1E"/>
    <w:rsid w:val="00ED295B"/>
    <w:rsid w:val="00EF176A"/>
    <w:rsid w:val="00F335C6"/>
    <w:rsid w:val="00F33658"/>
    <w:rsid w:val="00F46A8D"/>
    <w:rsid w:val="00F57CDF"/>
    <w:rsid w:val="00F8607E"/>
    <w:rsid w:val="00F867A3"/>
    <w:rsid w:val="00FC0DEB"/>
    <w:rsid w:val="00FC4D37"/>
    <w:rsid w:val="00FE1A85"/>
    <w:rsid w:val="0BCD32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sz w:val="21"/>
      <w:szCs w:val="21"/>
      <w:lang w:val="en-US" w:eastAsia="zh-CN" w:bidi="ar-SA"/>
    </w:rPr>
  </w:style>
  <w:style w:type="paragraph" w:styleId="2">
    <w:name w:val="heading 1"/>
    <w:basedOn w:val="3"/>
    <w:next w:val="3"/>
    <w:qFormat/>
    <w:uiPriority w:val="0"/>
    <w:pPr>
      <w:keepNext/>
      <w:keepLines/>
      <w:spacing w:before="480" w:after="120"/>
      <w:outlineLvl w:val="0"/>
    </w:pPr>
    <w:rPr>
      <w:b/>
      <w:sz w:val="48"/>
      <w:szCs w:val="48"/>
    </w:rPr>
  </w:style>
  <w:style w:type="paragraph" w:styleId="4">
    <w:name w:val="heading 2"/>
    <w:basedOn w:val="3"/>
    <w:next w:val="3"/>
    <w:uiPriority w:val="0"/>
    <w:pPr>
      <w:keepNext/>
      <w:keepLines/>
      <w:spacing w:before="360" w:after="80"/>
      <w:outlineLvl w:val="1"/>
    </w:pPr>
    <w:rPr>
      <w:b/>
      <w:sz w:val="36"/>
      <w:szCs w:val="36"/>
    </w:rPr>
  </w:style>
  <w:style w:type="paragraph" w:styleId="5">
    <w:name w:val="heading 3"/>
    <w:basedOn w:val="3"/>
    <w:next w:val="3"/>
    <w:uiPriority w:val="0"/>
    <w:pPr>
      <w:keepNext/>
      <w:keepLines/>
      <w:spacing w:before="280" w:after="80"/>
      <w:outlineLvl w:val="2"/>
    </w:pPr>
    <w:rPr>
      <w:b/>
      <w:sz w:val="28"/>
      <w:szCs w:val="28"/>
    </w:rPr>
  </w:style>
  <w:style w:type="paragraph" w:styleId="6">
    <w:name w:val="heading 4"/>
    <w:basedOn w:val="3"/>
    <w:next w:val="3"/>
    <w:uiPriority w:val="0"/>
    <w:pPr>
      <w:keepNext/>
      <w:keepLines/>
      <w:spacing w:before="240" w:after="40"/>
      <w:outlineLvl w:val="3"/>
    </w:pPr>
    <w:rPr>
      <w:b/>
      <w:sz w:val="24"/>
      <w:szCs w:val="24"/>
    </w:rPr>
  </w:style>
  <w:style w:type="paragraph" w:styleId="7">
    <w:name w:val="heading 5"/>
    <w:basedOn w:val="3"/>
    <w:next w:val="3"/>
    <w:uiPriority w:val="0"/>
    <w:pPr>
      <w:keepNext/>
      <w:keepLines/>
      <w:spacing w:before="220" w:after="40"/>
      <w:outlineLvl w:val="4"/>
    </w:pPr>
    <w:rPr>
      <w:b/>
      <w:sz w:val="22"/>
      <w:szCs w:val="22"/>
    </w:rPr>
  </w:style>
  <w:style w:type="paragraph" w:styleId="8">
    <w:name w:val="heading 6"/>
    <w:basedOn w:val="3"/>
    <w:next w:val="3"/>
    <w:uiPriority w:val="0"/>
    <w:pPr>
      <w:keepNext/>
      <w:keepLines/>
      <w:spacing w:before="200" w:after="40"/>
      <w:outlineLvl w:val="5"/>
    </w:pPr>
    <w:rPr>
      <w:b/>
      <w:sz w:val="20"/>
      <w:szCs w:val="20"/>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customStyle="1" w:styleId="3">
    <w:name w:val="Normal1"/>
    <w:uiPriority w:val="0"/>
    <w:pPr>
      <w:widowControl w:val="0"/>
      <w:jc w:val="both"/>
    </w:pPr>
    <w:rPr>
      <w:rFonts w:ascii="等线" w:hAnsi="等线" w:eastAsia="等线" w:cs="等线"/>
      <w:sz w:val="21"/>
      <w:szCs w:val="21"/>
      <w:lang w:val="en-US" w:eastAsia="zh-CN" w:bidi="ar-SA"/>
    </w:rPr>
  </w:style>
  <w:style w:type="paragraph" w:styleId="9">
    <w:name w:val="annotation text"/>
    <w:basedOn w:val="1"/>
    <w:link w:val="24"/>
    <w:unhideWhenUsed/>
    <w:uiPriority w:val="99"/>
    <w:pPr>
      <w:jc w:val="left"/>
    </w:pPr>
  </w:style>
  <w:style w:type="paragraph" w:styleId="10">
    <w:name w:val="Balloon Text"/>
    <w:basedOn w:val="1"/>
    <w:link w:val="26"/>
    <w:semiHidden/>
    <w:unhideWhenUsed/>
    <w:uiPriority w:val="99"/>
    <w:rPr>
      <w:sz w:val="18"/>
      <w:szCs w:val="18"/>
    </w:rPr>
  </w:style>
  <w:style w:type="paragraph" w:styleId="11">
    <w:name w:val="footer"/>
    <w:basedOn w:val="1"/>
    <w:link w:val="23"/>
    <w:unhideWhenUsed/>
    <w:uiPriority w:val="99"/>
    <w:pPr>
      <w:tabs>
        <w:tab w:val="center" w:pos="4153"/>
        <w:tab w:val="right" w:pos="8306"/>
      </w:tabs>
      <w:snapToGrid w:val="0"/>
      <w:jc w:val="left"/>
    </w:pPr>
    <w:rPr>
      <w:sz w:val="18"/>
      <w:szCs w:val="18"/>
    </w:rPr>
  </w:style>
  <w:style w:type="paragraph" w:styleId="12">
    <w:name w:val="header"/>
    <w:basedOn w:val="1"/>
    <w:link w:val="22"/>
    <w:unhideWhenUsed/>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3"/>
    <w:next w:val="3"/>
    <w:uiPriority w:val="0"/>
    <w:pPr>
      <w:keepNext/>
      <w:keepLines/>
      <w:spacing w:before="360" w:after="80"/>
    </w:pPr>
    <w:rPr>
      <w:rFonts w:ascii="Georgia" w:hAnsi="Georgia" w:eastAsia="Georgia" w:cs="Georgia"/>
      <w:i/>
      <w:color w:val="666666"/>
      <w:sz w:val="48"/>
      <w:szCs w:val="48"/>
    </w:rPr>
  </w:style>
  <w:style w:type="paragraph" w:styleId="14">
    <w:name w:val="Title"/>
    <w:basedOn w:val="3"/>
    <w:next w:val="3"/>
    <w:uiPriority w:val="0"/>
    <w:pPr>
      <w:keepNext/>
      <w:keepLines/>
      <w:spacing w:before="480" w:after="120"/>
    </w:pPr>
    <w:rPr>
      <w:b/>
      <w:sz w:val="72"/>
      <w:szCs w:val="72"/>
    </w:rPr>
  </w:style>
  <w:style w:type="paragraph" w:styleId="15">
    <w:name w:val="annotation subject"/>
    <w:basedOn w:val="9"/>
    <w:next w:val="9"/>
    <w:link w:val="25"/>
    <w:semiHidden/>
    <w:unhideWhenUsed/>
    <w:uiPriority w:val="99"/>
    <w:rPr>
      <w:b/>
      <w:bCs/>
    </w:rPr>
  </w:style>
  <w:style w:type="table" w:styleId="17">
    <w:name w:val="Table Grid"/>
    <w:basedOn w:val="1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Emphasis"/>
    <w:qFormat/>
    <w:uiPriority w:val="0"/>
    <w:rPr>
      <w:rFonts w:ascii="Times New Roman" w:hAnsi="Times New Roman" w:eastAsia="黑体" w:cs="Times New Roman"/>
      <w:sz w:val="24"/>
      <w:szCs w:val="24"/>
    </w:rPr>
  </w:style>
  <w:style w:type="character" w:styleId="20">
    <w:name w:val="annotation reference"/>
    <w:basedOn w:val="18"/>
    <w:semiHidden/>
    <w:unhideWhenUsed/>
    <w:uiPriority w:val="99"/>
    <w:rPr>
      <w:sz w:val="21"/>
      <w:szCs w:val="21"/>
    </w:rPr>
  </w:style>
  <w:style w:type="table" w:customStyle="1" w:styleId="21">
    <w:name w:val="Table Normal1"/>
    <w:uiPriority w:val="0"/>
    <w:tblPr>
      <w:tblCellMar>
        <w:top w:w="0" w:type="dxa"/>
        <w:left w:w="0" w:type="dxa"/>
        <w:bottom w:w="0" w:type="dxa"/>
        <w:right w:w="0" w:type="dxa"/>
      </w:tblCellMar>
    </w:tblPr>
  </w:style>
  <w:style w:type="character" w:customStyle="1" w:styleId="22">
    <w:name w:val="Header Char"/>
    <w:basedOn w:val="18"/>
    <w:link w:val="12"/>
    <w:uiPriority w:val="99"/>
    <w:rPr>
      <w:sz w:val="18"/>
      <w:szCs w:val="18"/>
    </w:rPr>
  </w:style>
  <w:style w:type="character" w:customStyle="1" w:styleId="23">
    <w:name w:val="Footer Char"/>
    <w:basedOn w:val="18"/>
    <w:link w:val="11"/>
    <w:uiPriority w:val="99"/>
    <w:rPr>
      <w:sz w:val="18"/>
      <w:szCs w:val="18"/>
    </w:rPr>
  </w:style>
  <w:style w:type="character" w:customStyle="1" w:styleId="24">
    <w:name w:val="Comment Text Char"/>
    <w:basedOn w:val="18"/>
    <w:link w:val="9"/>
    <w:uiPriority w:val="99"/>
  </w:style>
  <w:style w:type="character" w:customStyle="1" w:styleId="25">
    <w:name w:val="Comment Subject Char"/>
    <w:basedOn w:val="24"/>
    <w:link w:val="15"/>
    <w:semiHidden/>
    <w:uiPriority w:val="99"/>
    <w:rPr>
      <w:b/>
      <w:bCs/>
    </w:rPr>
  </w:style>
  <w:style w:type="character" w:customStyle="1" w:styleId="26">
    <w:name w:val="Balloon Text Char"/>
    <w:basedOn w:val="18"/>
    <w:link w:val="10"/>
    <w:semiHidden/>
    <w:uiPriority w:val="99"/>
    <w:rPr>
      <w:sz w:val="18"/>
      <w:szCs w:val="18"/>
    </w:rPr>
  </w:style>
  <w:style w:type="table" w:customStyle="1" w:styleId="27">
    <w:name w:val="_Style 26"/>
    <w:basedOn w:val="21"/>
    <w:uiPriority w:val="0"/>
    <w:tblPr>
      <w:tblCellMar>
        <w:left w:w="108" w:type="dxa"/>
        <w:right w:w="108" w:type="dxa"/>
      </w:tblCellMar>
    </w:tblPr>
  </w:style>
  <w:style w:type="table" w:customStyle="1" w:styleId="28">
    <w:name w:val="_Style 27"/>
    <w:basedOn w:val="21"/>
    <w:uiPriority w:val="0"/>
    <w:tblPr>
      <w:tblCellMar>
        <w:left w:w="108" w:type="dxa"/>
        <w:right w:w="108" w:type="dxa"/>
      </w:tblCellMar>
    </w:tblPr>
  </w:style>
  <w:style w:type="paragraph" w:customStyle="1" w:styleId="29">
    <w:name w:val="Revision"/>
    <w:hidden/>
    <w:semiHidden/>
    <w:uiPriority w:val="99"/>
    <w:pPr>
      <w:widowControl/>
      <w:jc w:val="left"/>
    </w:pPr>
    <w:rPr>
      <w:rFonts w:ascii="等线" w:hAnsi="等线" w:eastAsia="等线" w:cs="等线"/>
      <w:sz w:val="21"/>
      <w:szCs w:val="21"/>
      <w:lang w:val="en-US" w:eastAsia="zh-CN" w:bidi="ar-SA"/>
    </w:rPr>
  </w:style>
  <w:style w:type="table" w:customStyle="1" w:styleId="30">
    <w:name w:val="Grid Table 2 Accent 3"/>
    <w:basedOn w:val="16"/>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paragraph" w:styleId="31">
    <w:name w:val="List Paragraph"/>
    <w:basedOn w:val="1"/>
    <w:qFormat/>
    <w:uiPriority w:val="34"/>
    <w:pPr>
      <w:widowControl/>
      <w:ind w:left="720"/>
      <w:contextualSpacing/>
      <w:jc w:val="left"/>
    </w:pPr>
    <w:rPr>
      <w:rFonts w:ascii="Times New Roman" w:hAnsi="Times New Roman" w:eastAsiaTheme="minorEastAsia" w:cstheme="minorBidi"/>
      <w:sz w:val="24"/>
      <w:szCs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7EzR1OawmNAzkwQpGD44rGpvOA==">AMUW2mXuPJawK8rux/pE6WHq7mjpIXtmDOcf1/GwfW7Yrj5VnKiPNmGqN5WMLPDLehAIpWQkMjQLczESXBICCrYaC/jN9c/z9ahOu6JGrt9CwbEcGMsYcDWGV9G1q0ky1+BKrURPEVsOCPYTPrzrCqxMH9P/EnyxRA==</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4</Pages>
  <Words>1173</Words>
  <Characters>6692</Characters>
  <Lines>55</Lines>
  <Paragraphs>15</Paragraphs>
  <TotalTime>1</TotalTime>
  <ScaleCrop>false</ScaleCrop>
  <LinksUpToDate>false</LinksUpToDate>
  <CharactersWithSpaces>7850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2023-10-12T12:31:00Z</dcterms:created>
  <dc:creator>Windows 用户</dc:creator>
  <cp:lastModifiedBy>李鸿鹤</cp:lastModifiedBy>
  <dcterms:modified xsi:type="dcterms:W3CDTF">2023-11-14T01:57:27Z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1E6FE5BBA3D2452CA0E5F2E52791EC31_12</vt:lpwstr>
  </property>
</Properties>
</file>