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0FF" w:rsidRPr="003578C8" w:rsidRDefault="0002203D" w:rsidP="003578C8">
      <w:pPr>
        <w:spacing w:after="0"/>
        <w:jc w:val="mediumKashida"/>
        <w:rPr>
          <w:rFonts w:asciiTheme="majorBidi" w:hAnsiTheme="majorBidi" w:cstheme="majorBidi"/>
          <w:b/>
          <w:bCs/>
          <w:sz w:val="24"/>
          <w:szCs w:val="24"/>
        </w:rPr>
      </w:pPr>
      <w:r w:rsidRPr="003578C8">
        <w:rPr>
          <w:rFonts w:asciiTheme="majorBidi" w:hAnsiTheme="majorBidi" w:cstheme="majorBidi"/>
          <w:b/>
          <w:bCs/>
          <w:sz w:val="24"/>
          <w:szCs w:val="24"/>
        </w:rPr>
        <w:t>Supporting Information File S2</w:t>
      </w:r>
      <w:bookmarkStart w:id="0" w:name="_GoBack"/>
      <w:bookmarkEnd w:id="0"/>
    </w:p>
    <w:p w:rsidR="003578C8" w:rsidRPr="003578C8" w:rsidRDefault="003578C8" w:rsidP="003578C8">
      <w:pPr>
        <w:spacing w:after="0"/>
        <w:jc w:val="mediumKashida"/>
        <w:rPr>
          <w:rFonts w:asciiTheme="majorBidi" w:hAnsiTheme="majorBidi" w:cstheme="majorBidi"/>
          <w:sz w:val="24"/>
          <w:szCs w:val="24"/>
        </w:rPr>
      </w:pPr>
    </w:p>
    <w:p w:rsidR="002640FF" w:rsidRPr="007D4A93" w:rsidRDefault="00930F7C" w:rsidP="003578C8">
      <w:pPr>
        <w:spacing w:after="0"/>
        <w:jc w:val="mediumKashida"/>
        <w:rPr>
          <w:rFonts w:cstheme="minorHAnsi"/>
        </w:rPr>
      </w:pPr>
      <w:r w:rsidRPr="003578C8">
        <w:rPr>
          <w:rFonts w:asciiTheme="majorBidi" w:hAnsiTheme="majorBidi" w:cstheme="majorBidi"/>
          <w:sz w:val="24"/>
          <w:szCs w:val="24"/>
        </w:rPr>
        <w:t xml:space="preserve">According to molecular docking results, we selected seven identified ligands for drug-like filtering that have </w:t>
      </w:r>
      <w:r w:rsidRPr="003578C8">
        <w:rPr>
          <w:rStyle w:val="tlid-translation"/>
          <w:rFonts w:asciiTheme="majorBidi" w:hAnsiTheme="majorBidi" w:cstheme="majorBidi"/>
          <w:sz w:val="24"/>
          <w:szCs w:val="24"/>
        </w:rPr>
        <w:t>hydrogen</w:t>
      </w:r>
      <w:r w:rsidRPr="003578C8">
        <w:rPr>
          <w:rFonts w:asciiTheme="majorBidi" w:hAnsiTheme="majorBidi" w:cstheme="majorBidi"/>
          <w:sz w:val="24"/>
          <w:szCs w:val="24"/>
        </w:rPr>
        <w:t xml:space="preserve"> and </w:t>
      </w:r>
      <w:r w:rsidRPr="003578C8">
        <w:rPr>
          <w:rStyle w:val="tlid-translation"/>
          <w:rFonts w:asciiTheme="majorBidi" w:hAnsiTheme="majorBidi" w:cstheme="majorBidi"/>
          <w:sz w:val="24"/>
          <w:szCs w:val="24"/>
        </w:rPr>
        <w:t xml:space="preserve">hydrophobic interacting in </w:t>
      </w:r>
      <w:r w:rsidRPr="003578C8">
        <w:rPr>
          <w:rFonts w:asciiTheme="majorBidi" w:hAnsiTheme="majorBidi" w:cstheme="majorBidi"/>
          <w:sz w:val="24"/>
          <w:szCs w:val="24"/>
        </w:rPr>
        <w:t>Spike 2019 n-cov2</w:t>
      </w:r>
      <w:r w:rsidRPr="003578C8">
        <w:rPr>
          <w:rStyle w:val="tlid-translation"/>
          <w:rFonts w:asciiTheme="majorBidi" w:hAnsiTheme="majorBidi" w:cstheme="majorBidi"/>
          <w:sz w:val="24"/>
          <w:szCs w:val="24"/>
        </w:rPr>
        <w:t>-ACE2 binding site in both closed and opened type that</w:t>
      </w:r>
      <w:r w:rsidRPr="003578C8">
        <w:rPr>
          <w:rFonts w:asciiTheme="majorBidi" w:hAnsiTheme="majorBidi" w:cstheme="majorBidi"/>
          <w:sz w:val="24"/>
          <w:szCs w:val="24"/>
        </w:rPr>
        <w:t xml:space="preserve"> the amino acids in the2019 n-</w:t>
      </w:r>
      <w:proofErr w:type="spellStart"/>
      <w:r w:rsidRPr="003578C8">
        <w:rPr>
          <w:rFonts w:asciiTheme="majorBidi" w:hAnsiTheme="majorBidi" w:cstheme="majorBidi"/>
          <w:sz w:val="24"/>
          <w:szCs w:val="24"/>
        </w:rPr>
        <w:t>Cov</w:t>
      </w:r>
      <w:proofErr w:type="spellEnd"/>
      <w:r w:rsidRPr="003578C8">
        <w:rPr>
          <w:rFonts w:asciiTheme="majorBidi" w:hAnsiTheme="majorBidi" w:cstheme="majorBidi"/>
          <w:sz w:val="24"/>
          <w:szCs w:val="24"/>
        </w:rPr>
        <w:t xml:space="preserve"> 2 -ACE2 binding site.</w:t>
      </w:r>
      <w:r w:rsidR="00C7537C" w:rsidRPr="003578C8">
        <w:rPr>
          <w:rFonts w:asciiTheme="majorBidi" w:hAnsiTheme="majorBidi" w:cstheme="majorBidi"/>
          <w:sz w:val="24"/>
          <w:szCs w:val="24"/>
        </w:rPr>
        <w:t xml:space="preserve"> In closed type, </w:t>
      </w:r>
      <w:r w:rsidR="007D4A93" w:rsidRPr="003578C8">
        <w:rPr>
          <w:rFonts w:asciiTheme="majorBidi" w:hAnsiTheme="majorBidi" w:cstheme="majorBidi"/>
          <w:sz w:val="24"/>
          <w:szCs w:val="24"/>
        </w:rPr>
        <w:t xml:space="preserve">just 6 ligands had </w:t>
      </w:r>
      <w:r w:rsidR="007D4A93" w:rsidRPr="003578C8">
        <w:rPr>
          <w:rStyle w:val="tlid-translation"/>
          <w:rFonts w:asciiTheme="majorBidi" w:hAnsiTheme="majorBidi" w:cstheme="majorBidi"/>
          <w:sz w:val="24"/>
          <w:szCs w:val="24"/>
        </w:rPr>
        <w:t>hydrogen</w:t>
      </w:r>
      <w:r w:rsidR="007D4A93" w:rsidRPr="003578C8">
        <w:rPr>
          <w:rFonts w:asciiTheme="majorBidi" w:hAnsiTheme="majorBidi" w:cstheme="majorBidi"/>
          <w:sz w:val="24"/>
          <w:szCs w:val="24"/>
        </w:rPr>
        <w:t xml:space="preserve"> and </w:t>
      </w:r>
      <w:r w:rsidR="007D4A93" w:rsidRPr="003578C8">
        <w:rPr>
          <w:rStyle w:val="tlid-translation"/>
          <w:rFonts w:asciiTheme="majorBidi" w:hAnsiTheme="majorBidi" w:cstheme="majorBidi"/>
          <w:sz w:val="24"/>
          <w:szCs w:val="24"/>
        </w:rPr>
        <w:t>hydrophobic interaction that shown in Fig 1-6.</w:t>
      </w:r>
    </w:p>
    <w:p w:rsidR="002640FF" w:rsidRPr="002640FF" w:rsidRDefault="002640FF" w:rsidP="002640FF"/>
    <w:p w:rsidR="00864F67" w:rsidRDefault="002E268B" w:rsidP="00864F67">
      <w:pPr>
        <w:pStyle w:val="Caption"/>
        <w:keepNext/>
        <w:jc w:val="center"/>
      </w:pPr>
      <w:r>
        <w:rPr>
          <w:noProof/>
        </w:rPr>
        <w:drawing>
          <wp:inline distT="0" distB="0" distL="0" distR="0">
            <wp:extent cx="5943600" cy="279844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TRINAVIRMIX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F67" w:rsidRDefault="002640FF" w:rsidP="00EB1CCD">
      <w:pPr>
        <w:pStyle w:val="Caption"/>
        <w:rPr>
          <w:rFonts w:asciiTheme="majorBidi" w:hAnsiTheme="majorBidi" w:cstheme="majorBidi"/>
          <w:i w:val="0"/>
          <w:iCs w:val="0"/>
          <w:color w:val="auto"/>
        </w:rPr>
      </w:pP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Fig. </w:t>
      </w:r>
      <w:r w:rsidR="00EB1CCD">
        <w:rPr>
          <w:rFonts w:asciiTheme="majorBidi" w:hAnsiTheme="majorBidi" w:cstheme="majorBidi"/>
          <w:b/>
          <w:bCs/>
          <w:i w:val="0"/>
          <w:iCs w:val="0"/>
          <w:color w:val="auto"/>
        </w:rPr>
        <w:t>1</w:t>
      </w: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676CD0">
        <w:rPr>
          <w:color w:val="auto"/>
        </w:rPr>
        <w:t xml:space="preserve"> 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A: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Li</w:t>
      </w:r>
      <w:r w:rsidR="00930F7C">
        <w:rPr>
          <w:rFonts w:asciiTheme="majorBidi" w:hAnsiTheme="majorBidi" w:cstheme="majorBidi"/>
          <w:i w:val="0"/>
          <w:iCs w:val="0"/>
          <w:color w:val="auto"/>
        </w:rPr>
        <w:t>gPlot</w:t>
      </w:r>
      <w:proofErr w:type="spellEnd"/>
      <w:r w:rsidR="00930F7C">
        <w:rPr>
          <w:rFonts w:asciiTheme="majorBidi" w:hAnsiTheme="majorBidi" w:cstheme="majorBidi"/>
          <w:i w:val="0"/>
          <w:iCs w:val="0"/>
          <w:color w:val="auto"/>
        </w:rPr>
        <w:t>+ analyses results in the closed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state of binding conformation of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Etravirine</w:t>
      </w:r>
      <w:proofErr w:type="spellEnd"/>
      <w:r w:rsid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B: The interacting binding site amino acid residue of SARS-CoV-2S with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Etravirine</w:t>
      </w:r>
      <w:proofErr w:type="spellEnd"/>
      <w:r w:rsid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C: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Etravirine</w:t>
      </w:r>
      <w:proofErr w:type="spellEnd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(Ligand)</w:t>
      </w:r>
      <w:r w:rsidR="00EB1CCD" w:rsidRPr="00EB1CCD">
        <w:rPr>
          <w:rFonts w:asciiTheme="majorBidi" w:hAnsiTheme="majorBidi" w:cstheme="majorBidi"/>
          <w:i w:val="0"/>
          <w:iCs w:val="0"/>
          <w:color w:val="auto"/>
        </w:rPr>
        <w:t>.</w:t>
      </w:r>
    </w:p>
    <w:p w:rsidR="00D656F8" w:rsidRDefault="00D656F8" w:rsidP="00D656F8"/>
    <w:p w:rsidR="002E268B" w:rsidRDefault="002E268B" w:rsidP="002E268B">
      <w:pPr>
        <w:keepNext/>
      </w:pPr>
      <w:r>
        <w:rPr>
          <w:noProof/>
        </w:rPr>
        <w:lastRenderedPageBreak/>
        <w:drawing>
          <wp:inline distT="0" distB="0" distL="0" distR="0" wp14:anchorId="4DAE5DCC" wp14:editId="35513F4A">
            <wp:extent cx="5943600" cy="27412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FLOROMIX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68B" w:rsidRPr="00D656F8" w:rsidRDefault="002E268B" w:rsidP="002E268B">
      <w:r w:rsidRPr="002E268B">
        <w:rPr>
          <w:rFonts w:asciiTheme="majorBidi" w:hAnsiTheme="majorBidi" w:cstheme="majorBidi"/>
          <w:b/>
          <w:bCs/>
          <w:sz w:val="18"/>
          <w:szCs w:val="18"/>
        </w:rPr>
        <w:t>Fig. 2.</w:t>
      </w:r>
      <w:r w:rsidRPr="002E268B">
        <w:rPr>
          <w:sz w:val="18"/>
          <w:szCs w:val="18"/>
        </w:rPr>
        <w:t xml:space="preserve">  </w:t>
      </w:r>
      <w:r w:rsidRPr="002E268B">
        <w:rPr>
          <w:rFonts w:asciiTheme="majorBidi" w:hAnsiTheme="majorBidi" w:cstheme="majorBidi"/>
          <w:sz w:val="18"/>
          <w:szCs w:val="18"/>
        </w:rPr>
        <w:t xml:space="preserve">A: </w:t>
      </w:r>
      <w:proofErr w:type="spellStart"/>
      <w:r w:rsidRPr="002E268B">
        <w:rPr>
          <w:rFonts w:asciiTheme="majorBidi" w:hAnsiTheme="majorBidi" w:cstheme="majorBidi"/>
          <w:sz w:val="18"/>
          <w:szCs w:val="18"/>
        </w:rPr>
        <w:t>LigPlot</w:t>
      </w:r>
      <w:proofErr w:type="spellEnd"/>
      <w:r w:rsidRPr="002E268B">
        <w:rPr>
          <w:rFonts w:asciiTheme="majorBidi" w:hAnsiTheme="majorBidi" w:cstheme="majorBidi"/>
          <w:sz w:val="18"/>
          <w:szCs w:val="18"/>
        </w:rPr>
        <w:t>+ analyses results in the closed state of binding conformation of 1,2-Ethanediol, 1,2-bis(4-fluorophenyl)</w:t>
      </w:r>
      <w:r>
        <w:rPr>
          <w:rFonts w:asciiTheme="majorBidi" w:hAnsiTheme="majorBidi" w:cstheme="majorBidi"/>
          <w:sz w:val="18"/>
          <w:szCs w:val="18"/>
        </w:rPr>
        <w:t>.</w:t>
      </w:r>
    </w:p>
    <w:p w:rsidR="002E268B" w:rsidRPr="00EB1CCD" w:rsidRDefault="002E268B" w:rsidP="002E268B">
      <w:pPr>
        <w:pStyle w:val="Caption"/>
        <w:rPr>
          <w:rFonts w:asciiTheme="majorBidi" w:hAnsiTheme="majorBidi" w:cstheme="majorBidi"/>
          <w:i w:val="0"/>
          <w:iCs w:val="0"/>
          <w:color w:val="auto"/>
        </w:rPr>
      </w:pPr>
      <w:r w:rsidRPr="00EB1CCD">
        <w:rPr>
          <w:rFonts w:asciiTheme="majorBidi" w:hAnsiTheme="majorBidi" w:cstheme="majorBidi"/>
          <w:i w:val="0"/>
          <w:iCs w:val="0"/>
          <w:color w:val="auto"/>
        </w:rPr>
        <w:br/>
        <w:t xml:space="preserve">B: The interacting </w:t>
      </w:r>
      <w:r w:rsidRPr="002E268B">
        <w:rPr>
          <w:rFonts w:asciiTheme="majorBidi" w:hAnsiTheme="majorBidi" w:cstheme="majorBidi"/>
          <w:i w:val="0"/>
          <w:iCs w:val="0"/>
          <w:color w:val="auto"/>
        </w:rPr>
        <w:t>binding site amino acid residue of SARS-CoV-2S with 1,2-Ethanediol, 1,2-bis(4-fluorophenyl).</w:t>
      </w:r>
      <w:r w:rsidRPr="002E268B">
        <w:rPr>
          <w:rFonts w:asciiTheme="majorBidi" w:hAnsiTheme="majorBidi" w:cstheme="majorBidi"/>
          <w:i w:val="0"/>
          <w:iCs w:val="0"/>
          <w:color w:val="auto"/>
        </w:rPr>
        <w:br/>
        <w:t>C: 1,2-Ethanediol, 1,2-bis(4-fluorophenyl). (Ligand).</w:t>
      </w:r>
    </w:p>
    <w:p w:rsidR="00864F67" w:rsidRDefault="00864F67" w:rsidP="002E268B">
      <w:pPr>
        <w:pStyle w:val="Caption"/>
      </w:pPr>
    </w:p>
    <w:p w:rsidR="00864F67" w:rsidRDefault="00864F67" w:rsidP="00864F67">
      <w:pPr>
        <w:keepNext/>
        <w:jc w:val="center"/>
      </w:pPr>
      <w:r>
        <w:rPr>
          <w:noProof/>
        </w:rPr>
        <w:drawing>
          <wp:inline distT="0" distB="0" distL="0" distR="0" wp14:anchorId="3B5B521B" wp14:editId="3969B126">
            <wp:extent cx="5943600" cy="26244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,2-Propanediol, 3,3,3-trifluoro-2-phenyl-(2R)EMIX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F67" w:rsidRPr="00EB1CCD" w:rsidRDefault="00EB1CCD" w:rsidP="00EB1CCD">
      <w:pPr>
        <w:pStyle w:val="Caption"/>
        <w:rPr>
          <w:rFonts w:asciiTheme="majorBidi" w:hAnsiTheme="majorBidi" w:cstheme="majorBidi"/>
          <w:i w:val="0"/>
          <w:iCs w:val="0"/>
          <w:color w:val="auto"/>
        </w:rPr>
      </w:pP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Fig. </w:t>
      </w:r>
      <w:r w:rsidR="002E268B">
        <w:rPr>
          <w:rFonts w:asciiTheme="majorBidi" w:hAnsiTheme="majorBidi" w:cstheme="majorBidi"/>
          <w:b/>
          <w:bCs/>
          <w:i w:val="0"/>
          <w:iCs w:val="0"/>
          <w:color w:val="auto"/>
        </w:rPr>
        <w:t>3</w:t>
      </w: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676CD0">
        <w:rPr>
          <w:color w:val="auto"/>
        </w:rPr>
        <w:t xml:space="preserve"> </w:t>
      </w:r>
      <w:r w:rsidR="00864F67">
        <w:t xml:space="preserve"> 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A: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LigPl</w:t>
      </w:r>
      <w:r w:rsidR="00930F7C">
        <w:rPr>
          <w:rFonts w:asciiTheme="majorBidi" w:hAnsiTheme="majorBidi" w:cstheme="majorBidi"/>
          <w:i w:val="0"/>
          <w:iCs w:val="0"/>
          <w:color w:val="auto"/>
        </w:rPr>
        <w:t>ot</w:t>
      </w:r>
      <w:proofErr w:type="spellEnd"/>
      <w:r w:rsidR="00930F7C">
        <w:rPr>
          <w:rFonts w:asciiTheme="majorBidi" w:hAnsiTheme="majorBidi" w:cstheme="majorBidi"/>
          <w:i w:val="0"/>
          <w:iCs w:val="0"/>
          <w:color w:val="auto"/>
        </w:rPr>
        <w:t>+ analyses results in the closed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state of binding conformation of 1,2-Propanediol, 3,3,3-trifluoro-2-phenyl-(2R)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B: The interacting binding site amino acid residue of SARS-CoV-2S with 1,2-Propanediol, 3,3,3-trifluoro-2-phenyl-(2R)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C: 1,2-Propanediol, 3,3,3-trifluoro-2-phenyl-(2R) (Ligand)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</w:p>
    <w:p w:rsidR="00864F67" w:rsidRDefault="00864F67" w:rsidP="00864F67"/>
    <w:p w:rsidR="00864F67" w:rsidRDefault="00864F67" w:rsidP="00864F67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6BDC264" wp14:editId="58D74A06">
            <wp:extent cx="5943600" cy="26320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flouromix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F67" w:rsidRDefault="00EB1CCD" w:rsidP="002E268B">
      <w:pPr>
        <w:pStyle w:val="Caption"/>
        <w:rPr>
          <w:rFonts w:cstheme="minorHAnsi"/>
        </w:rPr>
      </w:pP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>Fig</w:t>
      </w: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="002E268B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 4</w:t>
      </w: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676CD0">
        <w:rPr>
          <w:color w:val="auto"/>
        </w:rPr>
        <w:t xml:space="preserve"> 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A: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LigPl</w:t>
      </w:r>
      <w:r w:rsidR="00930F7C">
        <w:rPr>
          <w:rFonts w:asciiTheme="majorBidi" w:hAnsiTheme="majorBidi" w:cstheme="majorBidi"/>
          <w:i w:val="0"/>
          <w:iCs w:val="0"/>
          <w:color w:val="auto"/>
        </w:rPr>
        <w:t>ot</w:t>
      </w:r>
      <w:proofErr w:type="spellEnd"/>
      <w:r w:rsidR="00930F7C">
        <w:rPr>
          <w:rFonts w:asciiTheme="majorBidi" w:hAnsiTheme="majorBidi" w:cstheme="majorBidi"/>
          <w:i w:val="0"/>
          <w:iCs w:val="0"/>
          <w:color w:val="auto"/>
        </w:rPr>
        <w:t>+ analyses results in the closed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state of binding conformation of 1,1-bis(3-fluorophenyl)-2-methoxyethanol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B: The interacting binding site amino acid residue of SARS-CoV-2S with 1,1-bis(3-fluorophenyl)-2-methoxyethanol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C: 1,1-bis(3-fluorophenyl)-2-methoxyethanol (Ligand)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</w:p>
    <w:p w:rsidR="00864F67" w:rsidRDefault="00864F67" w:rsidP="00864F67"/>
    <w:p w:rsidR="00864F67" w:rsidRDefault="00864F67" w:rsidP="00864F67">
      <w:pPr>
        <w:keepNext/>
        <w:jc w:val="center"/>
      </w:pPr>
      <w:r>
        <w:rPr>
          <w:noProof/>
        </w:rPr>
        <w:drawing>
          <wp:inline distT="0" distB="0" distL="0" distR="0" wp14:anchorId="563F9DE6" wp14:editId="61995299">
            <wp:extent cx="5943600" cy="264858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,1-diphenyl propane-1,2-diolmix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0CF" w:rsidRPr="003430CF" w:rsidRDefault="00EB1CCD" w:rsidP="002E268B">
      <w:pPr>
        <w:pStyle w:val="Caption"/>
        <w:rPr>
          <w:rFonts w:cstheme="minorHAnsi"/>
        </w:rPr>
      </w:pP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Fig. </w:t>
      </w:r>
      <w:r w:rsidR="002E268B">
        <w:rPr>
          <w:rFonts w:asciiTheme="majorBidi" w:hAnsiTheme="majorBidi" w:cstheme="majorBidi"/>
          <w:b/>
          <w:bCs/>
          <w:i w:val="0"/>
          <w:iCs w:val="0"/>
          <w:color w:val="auto"/>
        </w:rPr>
        <w:t>5</w:t>
      </w:r>
      <w:r w:rsidRPr="00676CD0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676CD0">
        <w:rPr>
          <w:color w:val="auto"/>
        </w:rPr>
        <w:t xml:space="preserve"> 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A: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LigPl</w:t>
      </w:r>
      <w:r w:rsidR="00930F7C">
        <w:rPr>
          <w:rFonts w:asciiTheme="majorBidi" w:hAnsiTheme="majorBidi" w:cstheme="majorBidi"/>
          <w:i w:val="0"/>
          <w:iCs w:val="0"/>
          <w:color w:val="auto"/>
        </w:rPr>
        <w:t>ot</w:t>
      </w:r>
      <w:proofErr w:type="spellEnd"/>
      <w:r w:rsidR="00930F7C">
        <w:rPr>
          <w:rFonts w:asciiTheme="majorBidi" w:hAnsiTheme="majorBidi" w:cstheme="majorBidi"/>
          <w:i w:val="0"/>
          <w:iCs w:val="0"/>
          <w:color w:val="auto"/>
        </w:rPr>
        <w:t>+ analyses results in the closed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state of binding conformation of 1,1-diphenyl propane-1,2-diol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B: The interacting binding site amino acid residue of SARS-CoV-2S with1,1-diphenyl propane-1,2-diol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C: 1,1-diphenyl propane-1,2-diol (Ligand)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</w:p>
    <w:p w:rsidR="00864F67" w:rsidRDefault="00864F67" w:rsidP="00864F67"/>
    <w:p w:rsidR="00864F67" w:rsidRDefault="00864F67" w:rsidP="00864F67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202B3D0" wp14:editId="4CB9128C">
            <wp:extent cx="5943600" cy="276415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MIX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0CF" w:rsidRPr="00EB1CCD" w:rsidRDefault="00EB1CCD" w:rsidP="002E268B">
      <w:pPr>
        <w:pStyle w:val="Caption"/>
        <w:rPr>
          <w:rFonts w:asciiTheme="majorBidi" w:hAnsiTheme="majorBidi" w:cstheme="majorBidi"/>
          <w:i w:val="0"/>
          <w:iCs w:val="0"/>
          <w:color w:val="auto"/>
        </w:rPr>
      </w:pPr>
      <w:r w:rsidRPr="00EB1CCD"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Fig. </w:t>
      </w:r>
      <w:r w:rsidR="002E268B">
        <w:rPr>
          <w:rFonts w:asciiTheme="majorBidi" w:hAnsiTheme="majorBidi" w:cstheme="majorBidi"/>
          <w:b/>
          <w:bCs/>
          <w:i w:val="0"/>
          <w:iCs w:val="0"/>
          <w:color w:val="auto"/>
        </w:rPr>
        <w:t>6</w:t>
      </w:r>
      <w:r w:rsidRPr="00EB1CCD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A: </w:t>
      </w:r>
      <w:proofErr w:type="spellStart"/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LigPl</w:t>
      </w:r>
      <w:r w:rsidR="00930F7C">
        <w:rPr>
          <w:rFonts w:asciiTheme="majorBidi" w:hAnsiTheme="majorBidi" w:cstheme="majorBidi"/>
          <w:i w:val="0"/>
          <w:iCs w:val="0"/>
          <w:color w:val="auto"/>
        </w:rPr>
        <w:t>ot</w:t>
      </w:r>
      <w:proofErr w:type="spellEnd"/>
      <w:r w:rsidR="00930F7C">
        <w:rPr>
          <w:rFonts w:asciiTheme="majorBidi" w:hAnsiTheme="majorBidi" w:cstheme="majorBidi"/>
          <w:i w:val="0"/>
          <w:iCs w:val="0"/>
          <w:color w:val="auto"/>
        </w:rPr>
        <w:t>+ analyses results in the closed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 state of binding conformation of </w:t>
      </w:r>
      <w:r w:rsidR="00864F67" w:rsidRPr="00EB1CCD">
        <w:rPr>
          <w:rStyle w:val="tlid-translation"/>
          <w:rFonts w:asciiTheme="majorBidi" w:hAnsiTheme="majorBidi" w:cstheme="majorBidi"/>
          <w:i w:val="0"/>
          <w:iCs w:val="0"/>
          <w:color w:val="auto"/>
        </w:rPr>
        <w:t>(S)-1,1-Diphenylpropane-1,2-diol</w:t>
      </w:r>
      <w:r w:rsidRPr="00EB1CCD">
        <w:rPr>
          <w:rStyle w:val="tlid-translation"/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Style w:val="tlid-translation"/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B: The interacting binding site amino acid residue of SARS-CoV-2 </w:t>
      </w:r>
      <w:r w:rsidR="00864F67" w:rsidRPr="00EB1CCD">
        <w:rPr>
          <w:rStyle w:val="tlid-translation"/>
          <w:rFonts w:asciiTheme="majorBidi" w:hAnsiTheme="majorBidi" w:cstheme="majorBidi"/>
          <w:i w:val="0"/>
          <w:iCs w:val="0"/>
          <w:color w:val="auto"/>
        </w:rPr>
        <w:t>(S)-1,1-Diphenylpropane-1,2-diol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t>.</w:t>
      </w:r>
      <w:r w:rsidRPr="00EB1CCD">
        <w:rPr>
          <w:rFonts w:asciiTheme="majorBidi" w:hAnsiTheme="majorBidi" w:cstheme="majorBidi"/>
          <w:i w:val="0"/>
          <w:iCs w:val="0"/>
          <w:color w:val="auto"/>
        </w:rPr>
        <w:br/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 xml:space="preserve">C: </w:t>
      </w:r>
      <w:r w:rsidR="00864F67" w:rsidRPr="00EB1CCD">
        <w:rPr>
          <w:rStyle w:val="tlid-translation"/>
          <w:rFonts w:asciiTheme="majorBidi" w:hAnsiTheme="majorBidi" w:cstheme="majorBidi"/>
          <w:i w:val="0"/>
          <w:iCs w:val="0"/>
          <w:color w:val="auto"/>
        </w:rPr>
        <w:t xml:space="preserve">(S)-1,1-Diphenylpropane-1,2-diol </w:t>
      </w:r>
      <w:r w:rsidR="00864F67" w:rsidRPr="00EB1CCD">
        <w:rPr>
          <w:rFonts w:asciiTheme="majorBidi" w:hAnsiTheme="majorBidi" w:cstheme="majorBidi"/>
          <w:i w:val="0"/>
          <w:iCs w:val="0"/>
          <w:color w:val="auto"/>
        </w:rPr>
        <w:t>(Ligand)</w:t>
      </w:r>
      <w:r w:rsidR="00CC07CB" w:rsidRPr="00EB1CCD">
        <w:rPr>
          <w:rFonts w:asciiTheme="majorBidi" w:hAnsiTheme="majorBidi" w:cstheme="majorBidi"/>
          <w:i w:val="0"/>
          <w:iCs w:val="0"/>
          <w:color w:val="auto"/>
        </w:rPr>
        <w:t>.</w:t>
      </w:r>
    </w:p>
    <w:sectPr w:rsidR="003430CF" w:rsidRPr="00EB1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B6C"/>
    <w:rsid w:val="0002203D"/>
    <w:rsid w:val="001418D0"/>
    <w:rsid w:val="00226B6C"/>
    <w:rsid w:val="002409EE"/>
    <w:rsid w:val="002640FF"/>
    <w:rsid w:val="002D5A85"/>
    <w:rsid w:val="002E268B"/>
    <w:rsid w:val="003430CF"/>
    <w:rsid w:val="003578C8"/>
    <w:rsid w:val="0042406C"/>
    <w:rsid w:val="0062585B"/>
    <w:rsid w:val="007D4A93"/>
    <w:rsid w:val="008440FA"/>
    <w:rsid w:val="00864F67"/>
    <w:rsid w:val="00930F7C"/>
    <w:rsid w:val="009E25CE"/>
    <w:rsid w:val="00A821AB"/>
    <w:rsid w:val="00B6576D"/>
    <w:rsid w:val="00BA213C"/>
    <w:rsid w:val="00C143F4"/>
    <w:rsid w:val="00C7537C"/>
    <w:rsid w:val="00C93904"/>
    <w:rsid w:val="00CC07CB"/>
    <w:rsid w:val="00D656F8"/>
    <w:rsid w:val="00DD2AEC"/>
    <w:rsid w:val="00EB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C028C"/>
  <w15:chartTrackingRefBased/>
  <w15:docId w15:val="{8258CFE9-D3F0-4AAF-A8C6-E15EB36C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F67"/>
  </w:style>
  <w:style w:type="paragraph" w:styleId="Heading1">
    <w:name w:val="heading 1"/>
    <w:basedOn w:val="Normal"/>
    <w:link w:val="Heading1Char"/>
    <w:uiPriority w:val="9"/>
    <w:qFormat/>
    <w:rsid w:val="003430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30C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864F67"/>
  </w:style>
  <w:style w:type="paragraph" w:styleId="Caption">
    <w:name w:val="caption"/>
    <w:basedOn w:val="Normal"/>
    <w:next w:val="Normal"/>
    <w:uiPriority w:val="35"/>
    <w:unhideWhenUsed/>
    <w:qFormat/>
    <w:rsid w:val="00864F6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430C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30C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430C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430C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430C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430CF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3430CF"/>
    <w:rPr>
      <w:color w:val="0563C1" w:themeColor="hyperlink"/>
      <w:u w:val="single"/>
    </w:rPr>
  </w:style>
  <w:style w:type="character" w:customStyle="1" w:styleId="highlight">
    <w:name w:val="highlight"/>
    <w:basedOn w:val="DefaultParagraphFont"/>
    <w:rsid w:val="003430CF"/>
  </w:style>
  <w:style w:type="character" w:styleId="CommentReference">
    <w:name w:val="annotation reference"/>
    <w:basedOn w:val="DefaultParagraphFont"/>
    <w:uiPriority w:val="99"/>
    <w:semiHidden/>
    <w:unhideWhenUsed/>
    <w:rsid w:val="003430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30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30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0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0C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30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0C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430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reakword">
    <w:name w:val="breakword"/>
    <w:basedOn w:val="DefaultParagraphFont"/>
    <w:rsid w:val="003430CF"/>
  </w:style>
  <w:style w:type="character" w:styleId="Strong">
    <w:name w:val="Strong"/>
    <w:basedOn w:val="DefaultParagraphFont"/>
    <w:uiPriority w:val="22"/>
    <w:qFormat/>
    <w:rsid w:val="003430CF"/>
    <w:rPr>
      <w:b/>
      <w:bCs/>
    </w:rPr>
  </w:style>
  <w:style w:type="paragraph" w:styleId="NormalWeb">
    <w:name w:val="Normal (Web)"/>
    <w:basedOn w:val="Normal"/>
    <w:uiPriority w:val="99"/>
    <w:unhideWhenUsed/>
    <w:rsid w:val="00343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30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0CF"/>
  </w:style>
  <w:style w:type="paragraph" w:styleId="Footer">
    <w:name w:val="footer"/>
    <w:basedOn w:val="Normal"/>
    <w:link w:val="FooterChar"/>
    <w:uiPriority w:val="99"/>
    <w:unhideWhenUsed/>
    <w:rsid w:val="003430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30CF"/>
  </w:style>
  <w:style w:type="character" w:customStyle="1" w:styleId="f-medium">
    <w:name w:val="f-medium"/>
    <w:basedOn w:val="DefaultParagraphFont"/>
    <w:rsid w:val="003430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theme" Target="theme/theme1.xml"/><Relationship Id="rId5" Type="http://schemas.openxmlformats.org/officeDocument/2006/relationships/image" Target="media/image2.tif"/><Relationship Id="rId10" Type="http://schemas.openxmlformats.org/officeDocument/2006/relationships/fontTable" Target="fontTable.xml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2020-05-23T03:41:00Z</dcterms:created>
  <dcterms:modified xsi:type="dcterms:W3CDTF">2020-06-07T01:04:00Z</dcterms:modified>
</cp:coreProperties>
</file>