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4170B" w14:textId="77777777" w:rsidR="007F1C4D" w:rsidRPr="007F1C4D" w:rsidRDefault="007F1C4D" w:rsidP="007F1C4D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F1C4D">
        <w:rPr>
          <w:rFonts w:ascii="Times New Roman" w:hAnsi="Times New Roman" w:cs="Times New Roman"/>
          <w:b/>
          <w:bCs/>
          <w:sz w:val="32"/>
          <w:szCs w:val="32"/>
          <w:u w:val="single"/>
        </w:rPr>
        <w:t>Online-only Supplementary Material</w:t>
      </w:r>
    </w:p>
    <w:p w14:paraId="2BE8A91D" w14:textId="3D25D94B" w:rsidR="007F1C4D" w:rsidRPr="007F1C4D" w:rsidRDefault="007F1C4D" w:rsidP="007F1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C4D">
        <w:rPr>
          <w:rFonts w:ascii="Times New Roman" w:hAnsi="Times New Roman" w:cs="Times New Roman"/>
          <w:b/>
          <w:sz w:val="24"/>
          <w:szCs w:val="24"/>
        </w:rPr>
        <w:t>Title: Death, Inequality, and the Pandemic in the Nation’s Capital</w:t>
      </w:r>
    </w:p>
    <w:p w14:paraId="700DF42D" w14:textId="77777777" w:rsidR="007F1C4D" w:rsidRPr="007F1C4D" w:rsidRDefault="007F1C4D" w:rsidP="007F1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C877E" w14:textId="77777777" w:rsidR="007F1C4D" w:rsidRPr="007F1C4D" w:rsidRDefault="007F1C4D" w:rsidP="007F1C4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A. Total population estimates in Washington DC by year and racial breakdown</w:t>
      </w:r>
    </w:p>
    <w:tbl>
      <w:tblPr>
        <w:tblW w:w="9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2"/>
        <w:gridCol w:w="2037"/>
        <w:gridCol w:w="1917"/>
        <w:gridCol w:w="1917"/>
        <w:gridCol w:w="1757"/>
      </w:tblGrid>
      <w:tr w:rsidR="007F1C4D" w:rsidRPr="007F1C4D" w14:paraId="709AABC7" w14:textId="77777777" w:rsidTr="00E50ADA">
        <w:tc>
          <w:tcPr>
            <w:tcW w:w="1882" w:type="dxa"/>
          </w:tcPr>
          <w:p w14:paraId="50D6AAF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2037" w:type="dxa"/>
          </w:tcPr>
          <w:p w14:paraId="5669966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Total population</w:t>
            </w:r>
          </w:p>
          <w:p w14:paraId="2BBCC57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(% Margin of Error)</w:t>
            </w:r>
          </w:p>
        </w:tc>
        <w:tc>
          <w:tcPr>
            <w:tcW w:w="1917" w:type="dxa"/>
          </w:tcPr>
          <w:p w14:paraId="03F129DA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% Black</w:t>
            </w:r>
          </w:p>
          <w:p w14:paraId="55DF30B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 Margin of Error)</w:t>
            </w:r>
          </w:p>
        </w:tc>
        <w:tc>
          <w:tcPr>
            <w:tcW w:w="1917" w:type="dxa"/>
          </w:tcPr>
          <w:p w14:paraId="6E5CAFE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% White</w:t>
            </w:r>
          </w:p>
          <w:p w14:paraId="74D4049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 Margin of Error)</w:t>
            </w:r>
          </w:p>
        </w:tc>
        <w:tc>
          <w:tcPr>
            <w:tcW w:w="1757" w:type="dxa"/>
          </w:tcPr>
          <w:p w14:paraId="04C0AAAA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% Hispanic</w:t>
            </w:r>
          </w:p>
          <w:p w14:paraId="6E5FE9D6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 Margin of Error)</w:t>
            </w:r>
          </w:p>
        </w:tc>
      </w:tr>
      <w:tr w:rsidR="007F1C4D" w:rsidRPr="007F1C4D" w14:paraId="3E68B47E" w14:textId="77777777" w:rsidTr="00E50ADA">
        <w:tc>
          <w:tcPr>
            <w:tcW w:w="1882" w:type="dxa"/>
          </w:tcPr>
          <w:p w14:paraId="78BCE70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037" w:type="dxa"/>
          </w:tcPr>
          <w:p w14:paraId="01F6F8F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672,228 (± 0.1)</w:t>
            </w:r>
          </w:p>
        </w:tc>
        <w:tc>
          <w:tcPr>
            <w:tcW w:w="1917" w:type="dxa"/>
          </w:tcPr>
          <w:p w14:paraId="7ABAE3D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46.5% (± 0.3)</w:t>
            </w:r>
          </w:p>
        </w:tc>
        <w:tc>
          <w:tcPr>
            <w:tcW w:w="1917" w:type="dxa"/>
          </w:tcPr>
          <w:p w14:paraId="6EC3987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36.0 % (± 0.1)</w:t>
            </w:r>
          </w:p>
        </w:tc>
        <w:tc>
          <w:tcPr>
            <w:tcW w:w="1757" w:type="dxa"/>
          </w:tcPr>
          <w:p w14:paraId="60BC99E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10.6% (± 0.8)</w:t>
            </w:r>
          </w:p>
        </w:tc>
      </w:tr>
      <w:tr w:rsidR="007F1C4D" w:rsidRPr="007F1C4D" w14:paraId="79C0B13D" w14:textId="77777777" w:rsidTr="00E50ADA">
        <w:tc>
          <w:tcPr>
            <w:tcW w:w="1882" w:type="dxa"/>
          </w:tcPr>
          <w:p w14:paraId="51E1187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37" w:type="dxa"/>
          </w:tcPr>
          <w:p w14:paraId="437587F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681,170 (± 0.1)</w:t>
            </w:r>
          </w:p>
        </w:tc>
        <w:tc>
          <w:tcPr>
            <w:tcW w:w="1917" w:type="dxa"/>
          </w:tcPr>
          <w:p w14:paraId="0EEEFC8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46.4% (± 0.3)</w:t>
            </w:r>
          </w:p>
        </w:tc>
        <w:tc>
          <w:tcPr>
            <w:tcW w:w="1917" w:type="dxa"/>
          </w:tcPr>
          <w:p w14:paraId="015ABE6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36.3% (± 0.1)</w:t>
            </w:r>
          </w:p>
        </w:tc>
        <w:tc>
          <w:tcPr>
            <w:tcW w:w="1757" w:type="dxa"/>
          </w:tcPr>
          <w:p w14:paraId="11475CD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10.9% (± 0.7)</w:t>
            </w:r>
          </w:p>
        </w:tc>
      </w:tr>
      <w:tr w:rsidR="007F1C4D" w:rsidRPr="007F1C4D" w14:paraId="7B422900" w14:textId="77777777" w:rsidTr="00E50ADA">
        <w:tc>
          <w:tcPr>
            <w:tcW w:w="1882" w:type="dxa"/>
          </w:tcPr>
          <w:p w14:paraId="705C6B6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37" w:type="dxa"/>
          </w:tcPr>
          <w:p w14:paraId="249148C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693,972 (± 0.1)</w:t>
            </w:r>
          </w:p>
        </w:tc>
        <w:tc>
          <w:tcPr>
            <w:tcW w:w="1917" w:type="dxa"/>
          </w:tcPr>
          <w:p w14:paraId="74A1C59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45.3% (± 0.4)</w:t>
            </w:r>
          </w:p>
        </w:tc>
        <w:tc>
          <w:tcPr>
            <w:tcW w:w="1917" w:type="dxa"/>
          </w:tcPr>
          <w:p w14:paraId="7D26471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36.5% (± 0.2)</w:t>
            </w:r>
          </w:p>
        </w:tc>
        <w:tc>
          <w:tcPr>
            <w:tcW w:w="1757" w:type="dxa"/>
          </w:tcPr>
          <w:p w14:paraId="4082F6C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11.0% (± 0.8)</w:t>
            </w:r>
          </w:p>
        </w:tc>
      </w:tr>
      <w:tr w:rsidR="007F1C4D" w:rsidRPr="007F1C4D" w14:paraId="5BD293F0" w14:textId="77777777" w:rsidTr="00E50ADA">
        <w:tc>
          <w:tcPr>
            <w:tcW w:w="1882" w:type="dxa"/>
          </w:tcPr>
          <w:p w14:paraId="342BD6B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37" w:type="dxa"/>
          </w:tcPr>
          <w:p w14:paraId="10DA06A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702,455 (± 0.3)</w:t>
            </w:r>
          </w:p>
        </w:tc>
        <w:tc>
          <w:tcPr>
            <w:tcW w:w="1917" w:type="dxa"/>
          </w:tcPr>
          <w:p w14:paraId="173ED18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44.4% (± 0.4)</w:t>
            </w:r>
          </w:p>
        </w:tc>
        <w:tc>
          <w:tcPr>
            <w:tcW w:w="1917" w:type="dxa"/>
          </w:tcPr>
          <w:p w14:paraId="5FF9B243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36.9% (± 0.1)</w:t>
            </w:r>
          </w:p>
        </w:tc>
        <w:tc>
          <w:tcPr>
            <w:tcW w:w="1757" w:type="dxa"/>
          </w:tcPr>
          <w:p w14:paraId="09389C5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11.3% (± 0.7)</w:t>
            </w:r>
          </w:p>
        </w:tc>
      </w:tr>
      <w:tr w:rsidR="007F1C4D" w:rsidRPr="007F1C4D" w14:paraId="6F099384" w14:textId="77777777" w:rsidTr="00E50ADA">
        <w:tc>
          <w:tcPr>
            <w:tcW w:w="1882" w:type="dxa"/>
          </w:tcPr>
          <w:p w14:paraId="3882525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37" w:type="dxa"/>
          </w:tcPr>
          <w:p w14:paraId="7A9D28D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705,749 (± 0.1)</w:t>
            </w:r>
          </w:p>
        </w:tc>
        <w:tc>
          <w:tcPr>
            <w:tcW w:w="1917" w:type="dxa"/>
          </w:tcPr>
          <w:p w14:paraId="7A33E4F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44.1% (± 0.4)</w:t>
            </w:r>
          </w:p>
        </w:tc>
        <w:tc>
          <w:tcPr>
            <w:tcW w:w="1917" w:type="dxa"/>
          </w:tcPr>
          <w:p w14:paraId="33E4C2E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37.3% (± 0.1)</w:t>
            </w:r>
          </w:p>
        </w:tc>
        <w:tc>
          <w:tcPr>
            <w:tcW w:w="1757" w:type="dxa"/>
          </w:tcPr>
          <w:p w14:paraId="6A16280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11.3% (± 0.7)</w:t>
            </w:r>
          </w:p>
        </w:tc>
      </w:tr>
      <w:tr w:rsidR="007F1C4D" w:rsidRPr="007F1C4D" w14:paraId="154DC42B" w14:textId="77777777" w:rsidTr="00E50ADA">
        <w:tc>
          <w:tcPr>
            <w:tcW w:w="1882" w:type="dxa"/>
          </w:tcPr>
          <w:p w14:paraId="5D6D110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7" w:type="dxa"/>
          </w:tcPr>
          <w:p w14:paraId="3C33574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712,816 (± 0.1)</w:t>
            </w:r>
          </w:p>
        </w:tc>
        <w:tc>
          <w:tcPr>
            <w:tcW w:w="1917" w:type="dxa"/>
          </w:tcPr>
          <w:p w14:paraId="18A7B31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44.1% (± 0.4)* </w:t>
            </w:r>
          </w:p>
        </w:tc>
        <w:tc>
          <w:tcPr>
            <w:tcW w:w="1917" w:type="dxa"/>
          </w:tcPr>
          <w:p w14:paraId="748EDFC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37.3% (± 0.1)*</w:t>
            </w:r>
          </w:p>
        </w:tc>
        <w:tc>
          <w:tcPr>
            <w:tcW w:w="1757" w:type="dxa"/>
          </w:tcPr>
          <w:p w14:paraId="282B043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11.3% (± 0.7)* </w:t>
            </w:r>
          </w:p>
        </w:tc>
      </w:tr>
      <w:tr w:rsidR="007F1C4D" w:rsidRPr="007F1C4D" w14:paraId="4B0EC3E8" w14:textId="77777777" w:rsidTr="00E50ADA">
        <w:tc>
          <w:tcPr>
            <w:tcW w:w="1882" w:type="dxa"/>
          </w:tcPr>
          <w:p w14:paraId="636B67B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37" w:type="dxa"/>
          </w:tcPr>
          <w:p w14:paraId="2A766C8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670,050 (± 0.1)</w:t>
            </w:r>
          </w:p>
        </w:tc>
        <w:tc>
          <w:tcPr>
            <w:tcW w:w="1917" w:type="dxa"/>
          </w:tcPr>
          <w:p w14:paraId="1C2E9F2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42.7% (±0.4)</w:t>
            </w:r>
          </w:p>
        </w:tc>
        <w:tc>
          <w:tcPr>
            <w:tcW w:w="1917" w:type="dxa"/>
          </w:tcPr>
          <w:p w14:paraId="439D98A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36.4% (±0.3)</w:t>
            </w:r>
          </w:p>
        </w:tc>
        <w:tc>
          <w:tcPr>
            <w:tcW w:w="1757" w:type="dxa"/>
          </w:tcPr>
          <w:p w14:paraId="0FF5281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11.5% (±1.0)</w:t>
            </w:r>
          </w:p>
        </w:tc>
      </w:tr>
    </w:tbl>
    <w:p w14:paraId="107E69CF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Source: US Census Bureau 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{"citationID":"DUVCI9Ps","properties":{"formattedCitation":"(1)","plainCitation":"(1)","noteIndex":0},"citationItems":[{"id":611,"uris":["http://zotero.org/groups/4747568/items/6B47FY63"],"itemData":{"id":611,"type":"webpage","container-title":"Census.gov","title":"ACS 1-Year Estimates Detailed Tables, B02001: RACE","URL":"https://data.census.gov/cedsci/table?q=race&amp;g=0400000US11&amp;d=ACS%201-Year%20Estimates%20Detailed%20Tables&amp;tid=ACSDT1Y2019.B02001","author":[{"family":"US Census Bureau","given":""}],"accessed":{"date-parts":[["2022",11,5]]}}}],"schema":"https://github.com/citation-style-language/schema/raw/master/csl-citation.json"} </w:instrTex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F1C4D">
        <w:rPr>
          <w:rFonts w:ascii="Times New Roman" w:hAnsi="Times New Roman" w:cs="Times New Roman"/>
          <w:sz w:val="24"/>
        </w:rPr>
        <w:t>(1)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5CADEB76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*Note: Because the experimental data tables released by the Census for 2020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{"citationID":"hFDse8uS","properties":{"formattedCitation":"(2)","plainCitation":"(2)","noteIndex":0},"citationItems":[{"id":349,"uris":["http://zotero.org/groups/4747568/items/G7LGYM7E"],"itemData":{"id":349,"type":"webpage","abstract":"View the list of tables and supporting documentation for the 2020 ACS 1-year Experimental data release.","container-title":"Census.gov","note":"section: Government","title":"2020 ACS 1-Year Experimental Data Tables","URL":"https://www.census.gov/programs-surveys/acs/data/experimental-data/1-year.html","author":[{"family":"US Census Bureau","given":""}],"accessed":{"date-parts":[["2022",8,15]]},"issued":{"date-parts":[["2021"]]}}}],"schema":"https://github.com/citation-style-language/schema/raw/master/csl-citation.json"} </w:instrTex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F1C4D">
        <w:rPr>
          <w:rFonts w:ascii="Times New Roman" w:hAnsi="Times New Roman" w:cs="Times New Roman"/>
          <w:sz w:val="24"/>
        </w:rPr>
        <w:t>(2)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 did not have a breakdown by race, we used the same race composition as 2020.</w:t>
      </w:r>
    </w:p>
    <w:p w14:paraId="172EEFBA" w14:textId="77777777" w:rsidR="007F1C4D" w:rsidRPr="007F1C4D" w:rsidRDefault="007F1C4D" w:rsidP="007F1C4D">
      <w:pPr>
        <w:spacing w:before="240" w:after="24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Margin of Error for Total population and Hispanic population estimates are calculated by aggregating the standard errors of the subgroups.</w:t>
      </w:r>
    </w:p>
    <w:p w14:paraId="7EAF6E96" w14:textId="77777777" w:rsidR="007F1C4D" w:rsidRPr="007F1C4D" w:rsidRDefault="007F1C4D" w:rsidP="007F1C4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Standard Error = Margin of Error (90% confidence level)/1.645</w:t>
      </w:r>
    </w:p>
    <w:p w14:paraId="2B325D4A" w14:textId="77777777" w:rsidR="007F1C4D" w:rsidRPr="007F1C4D" w:rsidRDefault="007F1C4D" w:rsidP="007F1C4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Where Margin of Error = max (upper bound - estimate, estimate - lower bound)</w:t>
      </w:r>
    </w:p>
    <w:p w14:paraId="4631AFD5" w14:textId="77777777" w:rsidR="007F1C4D" w:rsidRPr="007F1C4D" w:rsidRDefault="007F1C4D" w:rsidP="007F1C4D">
      <w:pPr>
        <w:spacing w:before="240"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>
        <m:r>
          <w:rPr>
            <w:rFonts w:ascii="Cambria Math" w:eastAsia="Cambria Math" w:hAnsi="Cambria Math" w:cs="Times New Roman"/>
            <w:sz w:val="24"/>
            <w:szCs w:val="24"/>
          </w:rPr>
          <m:t>SE</m:t>
        </m:r>
        <m:d>
          <m:d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eastAsia="Cambria Math" w:hAnsi="Cambria Math" w:cs="Times New Roman"/>
                <w:sz w:val="24"/>
                <w:szCs w:val="24"/>
              </w:rPr>
              <m:t xml:space="preserve">+ </m:t>
            </m:r>
            <m:acc>
              <m:acc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+…</m:t>
            </m:r>
          </m:e>
        </m:d>
        <m:r>
          <w:rPr>
            <w:rFonts w:ascii="Cambria Math" w:eastAsia="Cambria Math" w:hAnsi="Cambria Math" w:cs="Times New Roman"/>
            <w:sz w:val="24"/>
            <w:szCs w:val="24"/>
          </w:rPr>
          <m:t xml:space="preserve"> </m:t>
        </m:r>
      </m:oMath>
      <w:sdt>
        <w:sdtPr>
          <w:rPr>
            <w:rFonts w:ascii="Times New Roman" w:hAnsi="Times New Roman" w:cs="Times New Roman"/>
            <w:sz w:val="24"/>
            <w:szCs w:val="24"/>
          </w:rPr>
          <w:tag w:val="goog_rdk_2"/>
          <w:id w:val="-2120594997"/>
        </w:sdtPr>
        <w:sdtEndPr/>
        <w:sdtContent>
          <w:r w:rsidRPr="007F1C4D">
            <w:rPr>
              <w:rFonts w:ascii="Times New Roman" w:eastAsia="Gungsuh" w:hAnsi="Times New Roman" w:cs="Times New Roman"/>
              <w:sz w:val="24"/>
              <w:szCs w:val="24"/>
            </w:rPr>
            <w:t xml:space="preserve">≈  </w:t>
          </w:r>
        </w:sdtContent>
      </w:sdt>
      <m:oMath>
        <m:rad>
          <m:radPr>
            <m:degHide m:val="1"/>
            <m:ctrlPr>
              <w:rPr>
                <w:rFonts w:ascii="Cambria Math" w:eastAsia="Cambria Math" w:hAnsi="Cambria Math" w:cs="Times New Roman"/>
                <w:color w:val="000000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Cambria Math" w:hAnsi="Cambria Math" w:cs="Times New Roman"/>
                    <w:color w:val="000000"/>
                    <w:sz w:val="24"/>
                    <w:szCs w:val="24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SE</m:t>
                    </m:r>
                    <m:d>
                      <m:dPr>
                        <m:ctrlP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</m:d>
              </m:e>
              <m:sup>
                <m:r>
                  <w:rPr>
                    <w:rFonts w:ascii="Cambria Math" w:eastAsia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mbria Math" w:hAnsi="Cambria Math" w:cs="Times New Roman"/>
                <w:color w:val="000000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Cambria Math" w:hAnsi="Cambria Math" w:cs="Times New Roman"/>
                    <w:color w:val="000000"/>
                    <w:sz w:val="24"/>
                    <w:szCs w:val="24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SE</m:t>
                    </m:r>
                    <m:d>
                      <m:dPr>
                        <m:ctrlP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</m:d>
              </m:e>
              <m:sup>
                <m:r>
                  <w:rPr>
                    <w:rFonts w:ascii="Cambria Math" w:eastAsia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mbria Math" w:hAnsi="Cambria Math" w:cs="Times New Roman"/>
                <w:color w:val="000000"/>
                <w:sz w:val="24"/>
                <w:szCs w:val="24"/>
              </w:rPr>
              <m:t xml:space="preserve">+… </m:t>
            </m:r>
          </m:e>
        </m:rad>
      </m:oMath>
    </w:p>
    <w:p w14:paraId="7B3350F2" w14:textId="77777777" w:rsidR="007F1C4D" w:rsidRPr="007F1C4D" w:rsidRDefault="007F1C4D" w:rsidP="007F1C4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eastAsia="Cambria Math" w:hAnsi="Cambria Math" w:cs="Times New Roman"/>
            <w:sz w:val="24"/>
            <w:szCs w:val="24"/>
          </w:rPr>
          <m:t>SE</m:t>
        </m:r>
        <m:d>
          <m:d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</m:e>
        </m:d>
        <m:r>
          <w:rPr>
            <w:rFonts w:ascii="Cambria Math" w:eastAsia="Cambria Math" w:hAnsi="Cambria Math" w:cs="Times New Roman"/>
            <w:sz w:val="24"/>
            <w:szCs w:val="24"/>
          </w:rPr>
          <m:t>, SE</m:t>
        </m:r>
        <m:d>
          <m:d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e>
        </m:d>
        <m:r>
          <w:rPr>
            <w:rFonts w:ascii="Cambria Math" w:eastAsia="Cambria Math" w:hAnsi="Cambria Math" w:cs="Times New Roman"/>
            <w:sz w:val="24"/>
            <w:szCs w:val="24"/>
          </w:rPr>
          <m:t xml:space="preserve"> </m:t>
        </m:r>
      </m:oMath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etc. are standard errors of sample estimates and </w:t>
      </w:r>
      <m:oMath>
        <m:r>
          <w:rPr>
            <w:rFonts w:ascii="Cambria Math" w:eastAsia="Cambria Math" w:hAnsi="Cambria Math" w:cs="Times New Roman"/>
            <w:sz w:val="24"/>
            <w:szCs w:val="24"/>
          </w:rPr>
          <m:t>SE</m:t>
        </m:r>
        <m:d>
          <m:d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eastAsia="Cambria Math" w:hAnsi="Cambria Math" w:cs="Times New Roman"/>
                <w:sz w:val="24"/>
                <w:szCs w:val="24"/>
              </w:rPr>
              <m:t xml:space="preserve">+ </m:t>
            </m:r>
            <m:acc>
              <m:acc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+…</m:t>
            </m:r>
          </m:e>
        </m:d>
      </m:oMath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 is the approximate standard error of the sum of these sample estimates. </w:t>
      </w:r>
    </w:p>
    <w:p w14:paraId="7AB55A8F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1A600987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715A30F8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47AC7E4E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3F7646BC" w14:textId="77777777" w:rsidR="007F1C4D" w:rsidRPr="007F1C4D" w:rsidRDefault="007F1C4D" w:rsidP="007F1C4D">
      <w:pPr>
        <w:pStyle w:val="Heading2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7F1C4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lastRenderedPageBreak/>
        <w:t>Appendix B. COVID-19 Prevalence Rate (%) by Age, Sex, and Race in DC, 2020-2021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4"/>
        <w:gridCol w:w="1260"/>
        <w:gridCol w:w="1276"/>
        <w:gridCol w:w="1645"/>
        <w:gridCol w:w="1105"/>
        <w:gridCol w:w="1105"/>
        <w:gridCol w:w="1105"/>
      </w:tblGrid>
      <w:tr w:rsidR="007F1C4D" w:rsidRPr="007F1C4D" w14:paraId="1B23DE18" w14:textId="77777777" w:rsidTr="00E50ADA">
        <w:trPr>
          <w:trHeight w:val="903"/>
        </w:trPr>
        <w:tc>
          <w:tcPr>
            <w:tcW w:w="1854" w:type="dxa"/>
          </w:tcPr>
          <w:p w14:paraId="3784705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4181" w:type="dxa"/>
            <w:gridSpan w:val="3"/>
          </w:tcPr>
          <w:p w14:paraId="6ED59AF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315" w:type="dxa"/>
            <w:gridSpan w:val="3"/>
          </w:tcPr>
          <w:p w14:paraId="13A77AE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7F1C4D" w:rsidRPr="007F1C4D" w14:paraId="7939EDC4" w14:textId="77777777" w:rsidTr="00E50ADA">
        <w:trPr>
          <w:trHeight w:val="903"/>
        </w:trPr>
        <w:tc>
          <w:tcPr>
            <w:tcW w:w="1854" w:type="dxa"/>
          </w:tcPr>
          <w:p w14:paraId="4A0C0C3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60" w:type="dxa"/>
          </w:tcPr>
          <w:p w14:paraId="4B3CACF6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Non-Hispanic White </w:t>
            </w:r>
          </w:p>
        </w:tc>
        <w:tc>
          <w:tcPr>
            <w:tcW w:w="1276" w:type="dxa"/>
          </w:tcPr>
          <w:p w14:paraId="71C4283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Hispanic </w:t>
            </w:r>
          </w:p>
        </w:tc>
        <w:tc>
          <w:tcPr>
            <w:tcW w:w="1645" w:type="dxa"/>
          </w:tcPr>
          <w:p w14:paraId="0D46BCF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Non-Hispanic Black </w:t>
            </w:r>
          </w:p>
        </w:tc>
        <w:tc>
          <w:tcPr>
            <w:tcW w:w="1105" w:type="dxa"/>
          </w:tcPr>
          <w:p w14:paraId="6DCB14A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Non-Hispanic White </w:t>
            </w:r>
          </w:p>
        </w:tc>
        <w:tc>
          <w:tcPr>
            <w:tcW w:w="1105" w:type="dxa"/>
          </w:tcPr>
          <w:p w14:paraId="22E375B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Hispanic </w:t>
            </w:r>
          </w:p>
        </w:tc>
        <w:tc>
          <w:tcPr>
            <w:tcW w:w="1105" w:type="dxa"/>
          </w:tcPr>
          <w:p w14:paraId="0B272EC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Black</w:t>
            </w:r>
          </w:p>
        </w:tc>
      </w:tr>
      <w:tr w:rsidR="007F1C4D" w:rsidRPr="007F1C4D" w14:paraId="59E7DFEF" w14:textId="77777777" w:rsidTr="00E50ADA">
        <w:trPr>
          <w:trHeight w:val="305"/>
        </w:trPr>
        <w:tc>
          <w:tcPr>
            <w:tcW w:w="1854" w:type="dxa"/>
          </w:tcPr>
          <w:p w14:paraId="3E636CD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1260" w:type="dxa"/>
          </w:tcPr>
          <w:p w14:paraId="07545373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1276" w:type="dxa"/>
          </w:tcPr>
          <w:p w14:paraId="49120B3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16.1%</w:t>
            </w:r>
          </w:p>
        </w:tc>
        <w:tc>
          <w:tcPr>
            <w:tcW w:w="1645" w:type="dxa"/>
          </w:tcPr>
          <w:p w14:paraId="5446004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23.5%</w:t>
            </w:r>
          </w:p>
        </w:tc>
        <w:tc>
          <w:tcPr>
            <w:tcW w:w="1105" w:type="dxa"/>
          </w:tcPr>
          <w:p w14:paraId="1C8634F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4.9%</w:t>
            </w:r>
          </w:p>
        </w:tc>
        <w:tc>
          <w:tcPr>
            <w:tcW w:w="1105" w:type="dxa"/>
          </w:tcPr>
          <w:p w14:paraId="63AB651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16.8%</w:t>
            </w:r>
          </w:p>
        </w:tc>
        <w:tc>
          <w:tcPr>
            <w:tcW w:w="1105" w:type="dxa"/>
          </w:tcPr>
          <w:p w14:paraId="4150F586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24.4%</w:t>
            </w:r>
          </w:p>
        </w:tc>
      </w:tr>
      <w:tr w:rsidR="007F1C4D" w:rsidRPr="007F1C4D" w14:paraId="3FC2E91F" w14:textId="77777777" w:rsidTr="00E50ADA">
        <w:trPr>
          <w:trHeight w:val="292"/>
        </w:trPr>
        <w:tc>
          <w:tcPr>
            <w:tcW w:w="1854" w:type="dxa"/>
          </w:tcPr>
          <w:p w14:paraId="2F86ADE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18-49</w:t>
            </w:r>
          </w:p>
        </w:tc>
        <w:tc>
          <w:tcPr>
            <w:tcW w:w="1260" w:type="dxa"/>
          </w:tcPr>
          <w:p w14:paraId="5CC9C40A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11.8%</w:t>
            </w:r>
          </w:p>
        </w:tc>
        <w:tc>
          <w:tcPr>
            <w:tcW w:w="1276" w:type="dxa"/>
          </w:tcPr>
          <w:p w14:paraId="4372A706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19.0%</w:t>
            </w:r>
          </w:p>
        </w:tc>
        <w:tc>
          <w:tcPr>
            <w:tcW w:w="1645" w:type="dxa"/>
          </w:tcPr>
          <w:p w14:paraId="207E608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15.2%</w:t>
            </w:r>
          </w:p>
        </w:tc>
        <w:tc>
          <w:tcPr>
            <w:tcW w:w="1105" w:type="dxa"/>
          </w:tcPr>
          <w:p w14:paraId="2B4A029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12.2%</w:t>
            </w:r>
          </w:p>
        </w:tc>
        <w:tc>
          <w:tcPr>
            <w:tcW w:w="1105" w:type="dxa"/>
          </w:tcPr>
          <w:p w14:paraId="51525C1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21.2%</w:t>
            </w:r>
          </w:p>
        </w:tc>
        <w:tc>
          <w:tcPr>
            <w:tcW w:w="1105" w:type="dxa"/>
          </w:tcPr>
          <w:p w14:paraId="5FA45E4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22.7%</w:t>
            </w:r>
          </w:p>
        </w:tc>
      </w:tr>
      <w:tr w:rsidR="007F1C4D" w:rsidRPr="007F1C4D" w14:paraId="52939EF2" w14:textId="77777777" w:rsidTr="00E50ADA">
        <w:trPr>
          <w:trHeight w:val="305"/>
        </w:trPr>
        <w:tc>
          <w:tcPr>
            <w:tcW w:w="1854" w:type="dxa"/>
          </w:tcPr>
          <w:p w14:paraId="33761DB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50-65</w:t>
            </w:r>
          </w:p>
        </w:tc>
        <w:tc>
          <w:tcPr>
            <w:tcW w:w="1260" w:type="dxa"/>
          </w:tcPr>
          <w:p w14:paraId="555F761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</w:tcPr>
          <w:p w14:paraId="4A42EE9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11.7%</w:t>
            </w:r>
          </w:p>
        </w:tc>
        <w:tc>
          <w:tcPr>
            <w:tcW w:w="1645" w:type="dxa"/>
          </w:tcPr>
          <w:p w14:paraId="04C79EE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20.8%</w:t>
            </w:r>
          </w:p>
        </w:tc>
        <w:tc>
          <w:tcPr>
            <w:tcW w:w="1105" w:type="dxa"/>
          </w:tcPr>
          <w:p w14:paraId="7926BB8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3.7%</w:t>
            </w:r>
          </w:p>
        </w:tc>
        <w:tc>
          <w:tcPr>
            <w:tcW w:w="1105" w:type="dxa"/>
          </w:tcPr>
          <w:p w14:paraId="5DF6420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11.8%</w:t>
            </w:r>
          </w:p>
        </w:tc>
        <w:tc>
          <w:tcPr>
            <w:tcW w:w="1105" w:type="dxa"/>
          </w:tcPr>
          <w:p w14:paraId="4B4FE1B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22.3%</w:t>
            </w:r>
          </w:p>
        </w:tc>
      </w:tr>
      <w:tr w:rsidR="007F1C4D" w:rsidRPr="007F1C4D" w14:paraId="2D244C75" w14:textId="77777777" w:rsidTr="00E50ADA">
        <w:trPr>
          <w:trHeight w:val="305"/>
        </w:trPr>
        <w:tc>
          <w:tcPr>
            <w:tcW w:w="1854" w:type="dxa"/>
          </w:tcPr>
          <w:p w14:paraId="044585D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65+</w:t>
            </w:r>
          </w:p>
        </w:tc>
        <w:tc>
          <w:tcPr>
            <w:tcW w:w="1260" w:type="dxa"/>
          </w:tcPr>
          <w:p w14:paraId="7A2CD12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5.5%</w:t>
            </w:r>
          </w:p>
        </w:tc>
        <w:tc>
          <w:tcPr>
            <w:tcW w:w="1276" w:type="dxa"/>
          </w:tcPr>
          <w:p w14:paraId="2461115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6.2%</w:t>
            </w:r>
          </w:p>
        </w:tc>
        <w:tc>
          <w:tcPr>
            <w:tcW w:w="1645" w:type="dxa"/>
          </w:tcPr>
          <w:p w14:paraId="3AE35C1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17.9%</w:t>
            </w:r>
          </w:p>
        </w:tc>
        <w:tc>
          <w:tcPr>
            <w:tcW w:w="1105" w:type="dxa"/>
          </w:tcPr>
          <w:p w14:paraId="3F51F47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3.5%</w:t>
            </w:r>
          </w:p>
        </w:tc>
        <w:tc>
          <w:tcPr>
            <w:tcW w:w="1105" w:type="dxa"/>
          </w:tcPr>
          <w:p w14:paraId="461C65F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5.2%</w:t>
            </w:r>
          </w:p>
        </w:tc>
        <w:tc>
          <w:tcPr>
            <w:tcW w:w="1105" w:type="dxa"/>
          </w:tcPr>
          <w:p w14:paraId="4A800A9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17.5%</w:t>
            </w:r>
          </w:p>
        </w:tc>
      </w:tr>
    </w:tbl>
    <w:p w14:paraId="6495DE0C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Source:  CDC case counts 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{"citationID":"TkzU908r","properties":{"formattedCitation":"(3)","plainCitation":"(3)","noteIndex":0},"citationItems":[{"id":504,"uris":["http://zotero.org/groups/4747568/items/CGGEP7AZ"],"itemData":{"id":504,"type":"webpage","title":"COVID-19 Case Surveillance Public Use Data with Geography | Data | Centers for Disease Control and Prevention","URL":"https://data.cdc.gov/Case-Surveillance/COVID-19-Case-Surveillance-Public-Use-Data-with-Ge/n8mc-b4w4","author":[{"family":"CDC","given":""}],"accessed":{"date-parts":[["2022",9,14]]},"issued":{"date-parts":[["2021"]]}}}],"schema":"https://github.com/citation-style-language/schema/raw/master/csl-citation.json"} </w:instrTex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F1C4D">
        <w:rPr>
          <w:rFonts w:ascii="Times New Roman" w:hAnsi="Times New Roman" w:cs="Times New Roman"/>
          <w:sz w:val="24"/>
        </w:rPr>
        <w:t>(3)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 and ACS 1-year population estimates 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{"citationID":"lMpG0s6N","properties":{"formattedCitation":"(1)","plainCitation":"(1)","noteIndex":0},"citationItems":[{"id":611,"uris":["http://zotero.org/groups/4747568/items/6B47FY63"],"itemData":{"id":611,"type":"webpage","container-title":"Census.gov","title":"ACS 1-Year Estimates Detailed Tables, B02001: RACE","URL":"https://data.census.gov/cedsci/table?q=race&amp;g=0400000US11&amp;d=ACS%201-Year%20Estimates%20Detailed%20Tables&amp;tid=ACSDT1Y2019.B02001","author":[{"family":"US Census Bureau","given":""}],"accessed":{"date-parts":[["2022",11,5]]}}}],"schema":"https://github.com/citation-style-language/schema/raw/master/csl-citation.json"} </w:instrTex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F1C4D">
        <w:rPr>
          <w:rFonts w:ascii="Times New Roman" w:hAnsi="Times New Roman" w:cs="Times New Roman"/>
          <w:sz w:val="24"/>
        </w:rPr>
        <w:t>(1)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4745F61" w14:textId="62211C2B" w:rsidR="007F1C4D" w:rsidRDefault="007F1C4D" w:rsidP="007F1C4D">
      <w:pPr>
        <w:rPr>
          <w:rFonts w:ascii="Times New Roman" w:hAnsi="Times New Roman" w:cs="Times New Roman"/>
        </w:rPr>
      </w:pPr>
    </w:p>
    <w:p w14:paraId="2B4281BA" w14:textId="317789D3" w:rsidR="007F1C4D" w:rsidRDefault="007F1C4D" w:rsidP="007F1C4D">
      <w:pPr>
        <w:rPr>
          <w:rFonts w:ascii="Times New Roman" w:hAnsi="Times New Roman" w:cs="Times New Roman"/>
        </w:rPr>
      </w:pPr>
    </w:p>
    <w:p w14:paraId="51EF218B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5F7BF117" w14:textId="77777777" w:rsidR="007F1C4D" w:rsidRPr="007F1C4D" w:rsidRDefault="007F1C4D" w:rsidP="007F1C4D">
      <w:pPr>
        <w:pStyle w:val="Heading2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7F1C4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Appendix C. Relative Risk of COVID Deaths by race in DC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4"/>
        <w:gridCol w:w="1260"/>
        <w:gridCol w:w="1276"/>
        <w:gridCol w:w="1645"/>
        <w:gridCol w:w="1105"/>
        <w:gridCol w:w="1105"/>
        <w:gridCol w:w="1105"/>
      </w:tblGrid>
      <w:tr w:rsidR="007F1C4D" w:rsidRPr="007F1C4D" w14:paraId="68E8DC44" w14:textId="77777777" w:rsidTr="00E50ADA">
        <w:trPr>
          <w:trHeight w:val="903"/>
        </w:trPr>
        <w:tc>
          <w:tcPr>
            <w:tcW w:w="1854" w:type="dxa"/>
          </w:tcPr>
          <w:p w14:paraId="30DCEBE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4181" w:type="dxa"/>
            <w:gridSpan w:val="3"/>
          </w:tcPr>
          <w:p w14:paraId="2653C48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315" w:type="dxa"/>
            <w:gridSpan w:val="3"/>
          </w:tcPr>
          <w:p w14:paraId="76A667C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7F1C4D" w:rsidRPr="007F1C4D" w14:paraId="4B7B7AA1" w14:textId="77777777" w:rsidTr="00E50ADA">
        <w:trPr>
          <w:trHeight w:val="903"/>
        </w:trPr>
        <w:tc>
          <w:tcPr>
            <w:tcW w:w="1854" w:type="dxa"/>
          </w:tcPr>
          <w:p w14:paraId="485710E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260" w:type="dxa"/>
          </w:tcPr>
          <w:p w14:paraId="4F30D6A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Non-Hispanic White </w:t>
            </w:r>
          </w:p>
        </w:tc>
        <w:tc>
          <w:tcPr>
            <w:tcW w:w="1276" w:type="dxa"/>
          </w:tcPr>
          <w:p w14:paraId="1FA7588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Hispanic </w:t>
            </w:r>
          </w:p>
        </w:tc>
        <w:tc>
          <w:tcPr>
            <w:tcW w:w="1645" w:type="dxa"/>
          </w:tcPr>
          <w:p w14:paraId="71FBEBB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Non-Hispanic Black </w:t>
            </w:r>
          </w:p>
        </w:tc>
        <w:tc>
          <w:tcPr>
            <w:tcW w:w="1105" w:type="dxa"/>
          </w:tcPr>
          <w:p w14:paraId="688DA51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Non-Hispanic White </w:t>
            </w:r>
          </w:p>
        </w:tc>
        <w:tc>
          <w:tcPr>
            <w:tcW w:w="1105" w:type="dxa"/>
          </w:tcPr>
          <w:p w14:paraId="1D0246D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Hispanic </w:t>
            </w:r>
          </w:p>
        </w:tc>
        <w:tc>
          <w:tcPr>
            <w:tcW w:w="1105" w:type="dxa"/>
          </w:tcPr>
          <w:p w14:paraId="7B64220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Black</w:t>
            </w:r>
          </w:p>
        </w:tc>
      </w:tr>
      <w:tr w:rsidR="007F1C4D" w:rsidRPr="007F1C4D" w14:paraId="3181EC8A" w14:textId="77777777" w:rsidTr="00E50ADA">
        <w:trPr>
          <w:trHeight w:val="305"/>
        </w:trPr>
        <w:tc>
          <w:tcPr>
            <w:tcW w:w="1854" w:type="dxa"/>
          </w:tcPr>
          <w:p w14:paraId="5B1C62F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14:paraId="6B0D1D2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76" w:type="dxa"/>
          </w:tcPr>
          <w:p w14:paraId="712369C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1645" w:type="dxa"/>
          </w:tcPr>
          <w:p w14:paraId="769EF68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105" w:type="dxa"/>
          </w:tcPr>
          <w:p w14:paraId="4B655CA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05" w:type="dxa"/>
          </w:tcPr>
          <w:p w14:paraId="0AA0865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105" w:type="dxa"/>
          </w:tcPr>
          <w:p w14:paraId="4B4F050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</w:tr>
      <w:tr w:rsidR="007F1C4D" w:rsidRPr="007F1C4D" w14:paraId="730A7AE5" w14:textId="77777777" w:rsidTr="00E50ADA">
        <w:trPr>
          <w:trHeight w:val="292"/>
        </w:trPr>
        <w:tc>
          <w:tcPr>
            <w:tcW w:w="1854" w:type="dxa"/>
          </w:tcPr>
          <w:p w14:paraId="605C26A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4A448BB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276" w:type="dxa"/>
          </w:tcPr>
          <w:p w14:paraId="42B0052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645" w:type="dxa"/>
          </w:tcPr>
          <w:p w14:paraId="75C1982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05" w:type="dxa"/>
          </w:tcPr>
          <w:p w14:paraId="1EF80AB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105" w:type="dxa"/>
          </w:tcPr>
          <w:p w14:paraId="2CBF8E1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105" w:type="dxa"/>
          </w:tcPr>
          <w:p w14:paraId="4BBB7F2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</w:tr>
    </w:tbl>
    <w:p w14:paraId="7419A111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Source: Author’s calculations</w:t>
      </w:r>
    </w:p>
    <w:p w14:paraId="16450F60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Relative Risk calculation:</w:t>
      </w:r>
    </w:p>
    <w:p w14:paraId="726B95A3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Numerator: number of people dying from COVID-19</w:t>
      </w:r>
    </w:p>
    <w:p w14:paraId="24587E29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Denominator number of people who died from causes other than COVID-19</w:t>
      </w:r>
    </w:p>
    <w:p w14:paraId="71ECACC1" w14:textId="77777777" w:rsidR="007F1C4D" w:rsidRPr="007F1C4D" w:rsidRDefault="007F1C4D" w:rsidP="007F1C4D">
      <w:pPr>
        <w:rPr>
          <w:rFonts w:ascii="Times New Roman" w:hAnsi="Times New Roman" w:cs="Times New Roman"/>
        </w:rPr>
      </w:pPr>
      <w:r w:rsidRPr="007F1C4D">
        <w:rPr>
          <w:rFonts w:ascii="Times New Roman" w:hAnsi="Times New Roman" w:cs="Times New Roman"/>
        </w:rPr>
        <w:br w:type="page"/>
      </w:r>
    </w:p>
    <w:p w14:paraId="1FAC5B5B" w14:textId="77777777" w:rsidR="007F1C4D" w:rsidRPr="007F1C4D" w:rsidRDefault="007F1C4D" w:rsidP="007F1C4D">
      <w:pPr>
        <w:pStyle w:val="Heading2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7F1C4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lastRenderedPageBreak/>
        <w:t>Appendix D. Total population estimates by race and ward</w:t>
      </w:r>
    </w:p>
    <w:p w14:paraId="3239739F" w14:textId="77777777" w:rsidR="007F1C4D" w:rsidRPr="007F1C4D" w:rsidRDefault="007F1C4D" w:rsidP="007F1C4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800"/>
        <w:gridCol w:w="1620"/>
        <w:gridCol w:w="1620"/>
        <w:gridCol w:w="1440"/>
        <w:gridCol w:w="1440"/>
      </w:tblGrid>
      <w:tr w:rsidR="007F1C4D" w:rsidRPr="007F1C4D" w14:paraId="03FDC644" w14:textId="77777777" w:rsidTr="00E50ADA">
        <w:tc>
          <w:tcPr>
            <w:tcW w:w="1435" w:type="dxa"/>
          </w:tcPr>
          <w:p w14:paraId="6115722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Ward</w:t>
            </w:r>
          </w:p>
        </w:tc>
        <w:tc>
          <w:tcPr>
            <w:tcW w:w="1800" w:type="dxa"/>
          </w:tcPr>
          <w:p w14:paraId="0EC82DE3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1620" w:type="dxa"/>
          </w:tcPr>
          <w:p w14:paraId="30952566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Black </w:t>
            </w:r>
          </w:p>
        </w:tc>
        <w:tc>
          <w:tcPr>
            <w:tcW w:w="1620" w:type="dxa"/>
          </w:tcPr>
          <w:p w14:paraId="64C87BEA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White </w:t>
            </w:r>
          </w:p>
        </w:tc>
        <w:tc>
          <w:tcPr>
            <w:tcW w:w="1440" w:type="dxa"/>
          </w:tcPr>
          <w:p w14:paraId="7A46B33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Hispanic </w:t>
            </w:r>
          </w:p>
        </w:tc>
        <w:tc>
          <w:tcPr>
            <w:tcW w:w="1440" w:type="dxa"/>
          </w:tcPr>
          <w:p w14:paraId="05575FA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Median Income</w:t>
            </w:r>
          </w:p>
        </w:tc>
      </w:tr>
      <w:tr w:rsidR="007F1C4D" w:rsidRPr="007F1C4D" w14:paraId="5369279C" w14:textId="77777777" w:rsidTr="00E50ADA">
        <w:tc>
          <w:tcPr>
            <w:tcW w:w="1435" w:type="dxa"/>
          </w:tcPr>
          <w:p w14:paraId="39ABD973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10C1D3D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85,289</w:t>
            </w:r>
          </w:p>
        </w:tc>
        <w:tc>
          <w:tcPr>
            <w:tcW w:w="1620" w:type="dxa"/>
          </w:tcPr>
          <w:p w14:paraId="76E8A86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25.4%</w:t>
            </w:r>
          </w:p>
        </w:tc>
        <w:tc>
          <w:tcPr>
            <w:tcW w:w="1620" w:type="dxa"/>
          </w:tcPr>
          <w:p w14:paraId="5690AA2A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46.9%</w:t>
            </w:r>
          </w:p>
        </w:tc>
        <w:tc>
          <w:tcPr>
            <w:tcW w:w="1440" w:type="dxa"/>
          </w:tcPr>
          <w:p w14:paraId="06DD032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17.6%</w:t>
            </w:r>
          </w:p>
        </w:tc>
        <w:tc>
          <w:tcPr>
            <w:tcW w:w="1440" w:type="dxa"/>
          </w:tcPr>
          <w:p w14:paraId="67CD8B62" w14:textId="77777777" w:rsidR="007F1C4D" w:rsidRPr="007F1C4D" w:rsidRDefault="007F1C4D" w:rsidP="00E50A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$110,457</w:t>
            </w:r>
          </w:p>
        </w:tc>
      </w:tr>
      <w:tr w:rsidR="007F1C4D" w:rsidRPr="007F1C4D" w14:paraId="6621BDAF" w14:textId="77777777" w:rsidTr="00E50ADA">
        <w:tc>
          <w:tcPr>
            <w:tcW w:w="1435" w:type="dxa"/>
          </w:tcPr>
          <w:p w14:paraId="042172E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1242AD1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77,923</w:t>
            </w:r>
          </w:p>
        </w:tc>
        <w:tc>
          <w:tcPr>
            <w:tcW w:w="1620" w:type="dxa"/>
          </w:tcPr>
          <w:p w14:paraId="22F8022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1620" w:type="dxa"/>
          </w:tcPr>
          <w:p w14:paraId="1F77A37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66.1%</w:t>
            </w:r>
          </w:p>
        </w:tc>
        <w:tc>
          <w:tcPr>
            <w:tcW w:w="1440" w:type="dxa"/>
          </w:tcPr>
          <w:p w14:paraId="4BC67AB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12.9%</w:t>
            </w:r>
          </w:p>
        </w:tc>
        <w:tc>
          <w:tcPr>
            <w:tcW w:w="1440" w:type="dxa"/>
          </w:tcPr>
          <w:p w14:paraId="185DEB8A" w14:textId="77777777" w:rsidR="007F1C4D" w:rsidRPr="007F1C4D" w:rsidRDefault="007F1C4D" w:rsidP="00E50A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$114,649</w:t>
            </w:r>
          </w:p>
        </w:tc>
      </w:tr>
      <w:tr w:rsidR="007F1C4D" w:rsidRPr="007F1C4D" w14:paraId="7FC1C633" w14:textId="77777777" w:rsidTr="00E50ADA">
        <w:tc>
          <w:tcPr>
            <w:tcW w:w="1435" w:type="dxa"/>
          </w:tcPr>
          <w:p w14:paraId="3776D763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6531D19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84,651</w:t>
            </w:r>
          </w:p>
        </w:tc>
        <w:tc>
          <w:tcPr>
            <w:tcW w:w="1620" w:type="dxa"/>
          </w:tcPr>
          <w:p w14:paraId="4343A6B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8.1%</w:t>
            </w:r>
          </w:p>
        </w:tc>
        <w:tc>
          <w:tcPr>
            <w:tcW w:w="1620" w:type="dxa"/>
          </w:tcPr>
          <w:p w14:paraId="156082A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70.4%</w:t>
            </w:r>
          </w:p>
        </w:tc>
        <w:tc>
          <w:tcPr>
            <w:tcW w:w="1440" w:type="dxa"/>
          </w:tcPr>
          <w:p w14:paraId="3281A41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9.6%</w:t>
            </w:r>
          </w:p>
        </w:tc>
        <w:tc>
          <w:tcPr>
            <w:tcW w:w="1440" w:type="dxa"/>
          </w:tcPr>
          <w:p w14:paraId="32805175" w14:textId="77777777" w:rsidR="007F1C4D" w:rsidRPr="007F1C4D" w:rsidRDefault="007F1C4D" w:rsidP="00E50A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$129,681</w:t>
            </w:r>
          </w:p>
        </w:tc>
      </w:tr>
      <w:tr w:rsidR="007F1C4D" w:rsidRPr="007F1C4D" w14:paraId="2259EF02" w14:textId="77777777" w:rsidTr="00E50ADA">
        <w:tc>
          <w:tcPr>
            <w:tcW w:w="1435" w:type="dxa"/>
          </w:tcPr>
          <w:p w14:paraId="47DD846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14:paraId="182DDA4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90,300</w:t>
            </w:r>
          </w:p>
        </w:tc>
        <w:tc>
          <w:tcPr>
            <w:tcW w:w="1620" w:type="dxa"/>
          </w:tcPr>
          <w:p w14:paraId="321CCF9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48.4%</w:t>
            </w:r>
          </w:p>
        </w:tc>
        <w:tc>
          <w:tcPr>
            <w:tcW w:w="1620" w:type="dxa"/>
          </w:tcPr>
          <w:p w14:paraId="16545A8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23.6%</w:t>
            </w:r>
          </w:p>
        </w:tc>
        <w:tc>
          <w:tcPr>
            <w:tcW w:w="1440" w:type="dxa"/>
          </w:tcPr>
          <w:p w14:paraId="3D21A6E3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22.5%</w:t>
            </w:r>
          </w:p>
        </w:tc>
        <w:tc>
          <w:tcPr>
            <w:tcW w:w="1440" w:type="dxa"/>
          </w:tcPr>
          <w:p w14:paraId="4F0C34FF" w14:textId="77777777" w:rsidR="007F1C4D" w:rsidRPr="007F1C4D" w:rsidRDefault="007F1C4D" w:rsidP="00E50A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$96,245</w:t>
            </w:r>
          </w:p>
        </w:tc>
      </w:tr>
      <w:tr w:rsidR="007F1C4D" w:rsidRPr="007F1C4D" w14:paraId="4D4A9207" w14:textId="77777777" w:rsidTr="00E50ADA">
        <w:trPr>
          <w:trHeight w:val="70"/>
        </w:trPr>
        <w:tc>
          <w:tcPr>
            <w:tcW w:w="1435" w:type="dxa"/>
          </w:tcPr>
          <w:p w14:paraId="6F32E76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0EE560A6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92,094</w:t>
            </w:r>
          </w:p>
        </w:tc>
        <w:tc>
          <w:tcPr>
            <w:tcW w:w="1620" w:type="dxa"/>
          </w:tcPr>
          <w:p w14:paraId="10B9732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61.3%</w:t>
            </w:r>
          </w:p>
        </w:tc>
        <w:tc>
          <w:tcPr>
            <w:tcW w:w="1620" w:type="dxa"/>
          </w:tcPr>
          <w:p w14:paraId="3584925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22.5%</w:t>
            </w:r>
          </w:p>
        </w:tc>
        <w:tc>
          <w:tcPr>
            <w:tcW w:w="1440" w:type="dxa"/>
          </w:tcPr>
          <w:p w14:paraId="39EFCDC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10.4%</w:t>
            </w:r>
          </w:p>
        </w:tc>
        <w:tc>
          <w:tcPr>
            <w:tcW w:w="1440" w:type="dxa"/>
          </w:tcPr>
          <w:p w14:paraId="3FB63CE2" w14:textId="77777777" w:rsidR="007F1C4D" w:rsidRPr="007F1C4D" w:rsidRDefault="007F1C4D" w:rsidP="00E50A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$77,367</w:t>
            </w:r>
          </w:p>
        </w:tc>
      </w:tr>
      <w:tr w:rsidR="007F1C4D" w:rsidRPr="007F1C4D" w14:paraId="60C75CB8" w14:textId="77777777" w:rsidTr="00E50ADA">
        <w:tc>
          <w:tcPr>
            <w:tcW w:w="1435" w:type="dxa"/>
          </w:tcPr>
          <w:p w14:paraId="40D0EDE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2A43D58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101,882</w:t>
            </w:r>
          </w:p>
        </w:tc>
        <w:tc>
          <w:tcPr>
            <w:tcW w:w="1620" w:type="dxa"/>
          </w:tcPr>
          <w:p w14:paraId="0763FD6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27.7%</w:t>
            </w:r>
          </w:p>
        </w:tc>
        <w:tc>
          <w:tcPr>
            <w:tcW w:w="1620" w:type="dxa"/>
          </w:tcPr>
          <w:p w14:paraId="21FE26D3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56.3%</w:t>
            </w:r>
          </w:p>
        </w:tc>
        <w:tc>
          <w:tcPr>
            <w:tcW w:w="1440" w:type="dxa"/>
          </w:tcPr>
          <w:p w14:paraId="2E24398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7.8%</w:t>
            </w:r>
          </w:p>
        </w:tc>
        <w:tc>
          <w:tcPr>
            <w:tcW w:w="1440" w:type="dxa"/>
          </w:tcPr>
          <w:p w14:paraId="3EBFD7D2" w14:textId="77777777" w:rsidR="007F1C4D" w:rsidRPr="007F1C4D" w:rsidRDefault="007F1C4D" w:rsidP="00E50A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$117,752</w:t>
            </w:r>
          </w:p>
        </w:tc>
      </w:tr>
      <w:tr w:rsidR="007F1C4D" w:rsidRPr="007F1C4D" w14:paraId="78106D74" w14:textId="77777777" w:rsidTr="00E50ADA">
        <w:tc>
          <w:tcPr>
            <w:tcW w:w="1435" w:type="dxa"/>
          </w:tcPr>
          <w:p w14:paraId="5B3CD8F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14:paraId="485D02BB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84,271</w:t>
            </w:r>
          </w:p>
        </w:tc>
        <w:tc>
          <w:tcPr>
            <w:tcW w:w="1620" w:type="dxa"/>
          </w:tcPr>
          <w:p w14:paraId="333E88D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90.2%</w:t>
            </w:r>
          </w:p>
        </w:tc>
        <w:tc>
          <w:tcPr>
            <w:tcW w:w="1620" w:type="dxa"/>
          </w:tcPr>
          <w:p w14:paraId="01146FD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2.7%</w:t>
            </w:r>
          </w:p>
        </w:tc>
        <w:tc>
          <w:tcPr>
            <w:tcW w:w="1440" w:type="dxa"/>
          </w:tcPr>
          <w:p w14:paraId="0812FC0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4.0%</w:t>
            </w:r>
          </w:p>
        </w:tc>
        <w:tc>
          <w:tcPr>
            <w:tcW w:w="1440" w:type="dxa"/>
          </w:tcPr>
          <w:p w14:paraId="5B5C1EA4" w14:textId="77777777" w:rsidR="007F1C4D" w:rsidRPr="007F1C4D" w:rsidRDefault="007F1C4D" w:rsidP="00E50A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$48,474</w:t>
            </w:r>
          </w:p>
        </w:tc>
      </w:tr>
      <w:tr w:rsidR="007F1C4D" w:rsidRPr="007F1C4D" w14:paraId="76D6A509" w14:textId="77777777" w:rsidTr="00E50ADA">
        <w:tc>
          <w:tcPr>
            <w:tcW w:w="1435" w:type="dxa"/>
          </w:tcPr>
          <w:p w14:paraId="2943E4A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14:paraId="2CA737D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85,564</w:t>
            </w:r>
          </w:p>
        </w:tc>
        <w:tc>
          <w:tcPr>
            <w:tcW w:w="1620" w:type="dxa"/>
          </w:tcPr>
          <w:p w14:paraId="2615881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86.0%</w:t>
            </w:r>
          </w:p>
        </w:tc>
        <w:tc>
          <w:tcPr>
            <w:tcW w:w="1620" w:type="dxa"/>
          </w:tcPr>
          <w:p w14:paraId="2312F6E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5.9%</w:t>
            </w:r>
          </w:p>
        </w:tc>
        <w:tc>
          <w:tcPr>
            <w:tcW w:w="1440" w:type="dxa"/>
          </w:tcPr>
          <w:p w14:paraId="299600B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1440" w:type="dxa"/>
          </w:tcPr>
          <w:p w14:paraId="7AA714D2" w14:textId="77777777" w:rsidR="007F1C4D" w:rsidRPr="007F1C4D" w:rsidRDefault="007F1C4D" w:rsidP="00E50A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$37,963</w:t>
            </w:r>
          </w:p>
        </w:tc>
      </w:tr>
    </w:tbl>
    <w:p w14:paraId="23864814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Source: Office of Planning, Open Data DC 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{"citationID":"THogGcRO","properties":{"formattedCitation":"(4)","plainCitation":"(4)","noteIndex":0},"citationItems":[{"id":357,"uris":["http://zotero.org/groups/4747568/items/J9CPYWMS"],"itemData":{"id":357,"type":"webpage","abstract":"On this site, the District of Columbia government shares hundreds of datasets. The District invites you to browse the data, download it as a file, analyze it with your tools, or build apps using our APIs.","container-title":"DC.gov","language":"en-us","title":"ACS Demographic Characteristics DC Ward","URL":"https://opendata.dc.gov/","author":[{"family":"Office of Planning, Open Data DC","given":""}],"accessed":{"date-parts":[["2022",8,15]]}}}],"schema":"https://github.com/citation-style-language/schema/raw/master/csl-citation.json"} </w:instrTex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F1C4D">
        <w:rPr>
          <w:rFonts w:ascii="Times New Roman" w:hAnsi="Times New Roman" w:cs="Times New Roman"/>
          <w:sz w:val="24"/>
        </w:rPr>
        <w:t>(4)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7187D9D7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Note: Data at the ward level is not available after 2018. Median Income is in 2020 inflation-adjusted dollars.</w:t>
      </w:r>
    </w:p>
    <w:p w14:paraId="03BCFE40" w14:textId="77777777" w:rsidR="007F1C4D" w:rsidRPr="007F1C4D" w:rsidRDefault="007F1C4D" w:rsidP="007F1C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Note: The three racial groups account for approximately 93% of the population. The remainder represents the following groups as described by the ACS: Asians, American Indian and Alaska Native, Native Hawaiian and Other Pacific Islanders, and Some Other Race. </w:t>
      </w:r>
    </w:p>
    <w:p w14:paraId="04729B85" w14:textId="77777777" w:rsidR="007F1C4D" w:rsidRPr="007F1C4D" w:rsidRDefault="007F1C4D" w:rsidP="007F1C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BC4EE9F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D03112C" w14:textId="77777777" w:rsidR="007F1C4D" w:rsidRPr="007F1C4D" w:rsidRDefault="007F1C4D" w:rsidP="007F1C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9B67C6E" w14:textId="77777777" w:rsidR="007F1C4D" w:rsidRPr="007F1C4D" w:rsidRDefault="007F1C4D" w:rsidP="007F1C4D">
      <w:pPr>
        <w:pStyle w:val="Heading2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7F1C4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Appendix E: Between 2020-2021 and the previous five years (2015-2019), excess deaths show that residents 45 and older are most affected</w:t>
      </w:r>
    </w:p>
    <w:p w14:paraId="78D071AE" w14:textId="77777777" w:rsidR="007F1C4D" w:rsidRPr="007F1C4D" w:rsidRDefault="007F1C4D" w:rsidP="007F1C4D">
      <w:pPr>
        <w:rPr>
          <w:rFonts w:ascii="Times New Roman" w:hAnsi="Times New Roman" w:cs="Times New Roman"/>
        </w:rPr>
      </w:pPr>
      <w:r w:rsidRPr="007F1C4D">
        <w:rPr>
          <w:rFonts w:ascii="Times New Roman" w:hAnsi="Times New Roman" w:cs="Times New Roman"/>
          <w:noProof/>
        </w:rPr>
        <w:drawing>
          <wp:inline distT="0" distB="0" distL="0" distR="0" wp14:anchorId="23A6754B" wp14:editId="43EE8760">
            <wp:extent cx="5943600" cy="3346450"/>
            <wp:effectExtent l="0" t="0" r="0" b="6350"/>
            <wp:docPr id="961079986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79986" name="Picture 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2BBA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54E860CD" w14:textId="77777777" w:rsidR="007F1C4D" w:rsidRPr="007F1C4D" w:rsidRDefault="007F1C4D" w:rsidP="007F1C4D">
      <w:pPr>
        <w:rPr>
          <w:rFonts w:ascii="Times New Roman" w:hAnsi="Times New Roman" w:cs="Times New Roman"/>
          <w:sz w:val="24"/>
          <w:szCs w:val="24"/>
        </w:rPr>
      </w:pPr>
    </w:p>
    <w:p w14:paraId="71D67767" w14:textId="77777777" w:rsidR="007F1C4D" w:rsidRPr="007F1C4D" w:rsidRDefault="007F1C4D" w:rsidP="007F1C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BAFAFF1" w14:textId="77777777" w:rsidR="007F1C4D" w:rsidRPr="007F1C4D" w:rsidRDefault="007F1C4D" w:rsidP="007F1C4D">
      <w:pPr>
        <w:pStyle w:val="Heading2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7F1C4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lastRenderedPageBreak/>
        <w:t>Appendix F:</w:t>
      </w:r>
      <w:r w:rsidRPr="007F1C4D">
        <w:rPr>
          <w:rFonts w:ascii="Times New Roman" w:hAnsi="Times New Roman" w:cs="Times New Roman"/>
        </w:rPr>
        <w:t xml:space="preserve"> </w:t>
      </w:r>
      <w:r w:rsidRPr="007F1C4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Increases in mortality rate in 2020 were greater for DC wards with more ethnic minorities and lower-income residents </w:t>
      </w:r>
    </w:p>
    <w:p w14:paraId="2DFD7E67" w14:textId="77777777" w:rsidR="007F1C4D" w:rsidRPr="007F1C4D" w:rsidRDefault="007F1C4D" w:rsidP="007F1C4D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0CC5281" wp14:editId="2985F688">
            <wp:extent cx="5943600" cy="3640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5.Mortality Rate by DC ward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704B0" w14:textId="77777777" w:rsidR="007F1C4D" w:rsidRPr="007F1C4D" w:rsidRDefault="007F1C4D" w:rsidP="007F1C4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ABDAE2" w14:textId="77777777" w:rsidR="007F1C4D" w:rsidRPr="007F1C4D" w:rsidRDefault="007F1C4D" w:rsidP="007F1C4D">
      <w:pPr>
        <w:pStyle w:val="Heading2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 w:rsidRPr="007F1C4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Appendix G: Cause-specific mortality rates by race and sex in 2021, compared to the 2015-2019 period</w:t>
      </w:r>
    </w:p>
    <w:p w14:paraId="00F8EF31" w14:textId="77777777" w:rsidR="007F1C4D" w:rsidRPr="007F1C4D" w:rsidRDefault="007F1C4D" w:rsidP="007F1C4D">
      <w:pPr>
        <w:rPr>
          <w:rFonts w:ascii="Times New Roman" w:hAnsi="Times New Roman" w:cs="Times New Roman"/>
        </w:rPr>
      </w:pPr>
      <w:r w:rsidRPr="007F1C4D">
        <w:rPr>
          <w:rFonts w:ascii="Times New Roman" w:hAnsi="Times New Roman" w:cs="Times New Roman"/>
          <w:noProof/>
        </w:rPr>
        <w:drawing>
          <wp:inline distT="0" distB="0" distL="0" distR="0" wp14:anchorId="134F86D1" wp14:editId="6CF3B75F">
            <wp:extent cx="5943600" cy="2971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6.2 Impact of Covid on Mortality Rate by Sex Race and Cause of Death_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CCB2B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31FDF37F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767319D6" w14:textId="77777777" w:rsidR="007F1C4D" w:rsidRPr="007F1C4D" w:rsidRDefault="007F1C4D" w:rsidP="007F1C4D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H: Differences in Life expectancy in the US between 2019 and 2020: DC lost nearly twice as many years of life expectancy between 2019 and 2020 compared to the US as a whole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808"/>
        <w:gridCol w:w="907"/>
        <w:gridCol w:w="2092"/>
        <w:gridCol w:w="1848"/>
        <w:gridCol w:w="2685"/>
      </w:tblGrid>
      <w:tr w:rsidR="007F1C4D" w:rsidRPr="007F1C4D" w14:paraId="7B2B6842" w14:textId="77777777" w:rsidTr="00E50ADA">
        <w:trPr>
          <w:trHeight w:val="420"/>
        </w:trPr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32A9E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76BD40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Life Expectancy at birth</w:t>
            </w:r>
          </w:p>
        </w:tc>
        <w:tc>
          <w:tcPr>
            <w:tcW w:w="0" w:type="auto"/>
            <w:vMerge w:val="restart"/>
            <w:vAlign w:val="center"/>
          </w:tcPr>
          <w:p w14:paraId="02470F87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Years of Life Lost due to Covid-19</w:t>
            </w:r>
          </w:p>
        </w:tc>
      </w:tr>
      <w:tr w:rsidR="007F1C4D" w:rsidRPr="007F1C4D" w14:paraId="573629A8" w14:textId="77777777" w:rsidTr="00E50AD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BB15A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FA08A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E959D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Without Covid-19 (2019)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5E8CD1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With Covid-19 (2020)</w:t>
            </w:r>
          </w:p>
        </w:tc>
        <w:tc>
          <w:tcPr>
            <w:tcW w:w="0" w:type="auto"/>
            <w:vMerge/>
            <w:vAlign w:val="center"/>
          </w:tcPr>
          <w:p w14:paraId="394CED3E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C4D" w:rsidRPr="007F1C4D" w14:paraId="4CFA2DB4" w14:textId="77777777" w:rsidTr="00E50AD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E8EC78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49AA7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6DB116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84.4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F9093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81.3</w:t>
            </w:r>
          </w:p>
        </w:tc>
        <w:tc>
          <w:tcPr>
            <w:tcW w:w="0" w:type="auto"/>
            <w:vAlign w:val="center"/>
          </w:tcPr>
          <w:p w14:paraId="60CA53B5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7F1C4D" w:rsidRPr="007F1C4D" w14:paraId="1CE8D1DD" w14:textId="77777777" w:rsidTr="00E50AD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84242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2BF16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9720D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94C5E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74.6</w:t>
            </w:r>
          </w:p>
        </w:tc>
        <w:tc>
          <w:tcPr>
            <w:tcW w:w="0" w:type="auto"/>
            <w:vAlign w:val="center"/>
          </w:tcPr>
          <w:p w14:paraId="0E137E81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7F1C4D" w:rsidRPr="007F1C4D" w14:paraId="46382600" w14:textId="77777777" w:rsidTr="00E50AD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CB33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Black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B3B0B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4F4D5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78.1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514F12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75.4</w:t>
            </w:r>
          </w:p>
        </w:tc>
        <w:tc>
          <w:tcPr>
            <w:tcW w:w="0" w:type="auto"/>
            <w:vAlign w:val="center"/>
          </w:tcPr>
          <w:p w14:paraId="39532827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7F1C4D" w:rsidRPr="007F1C4D" w14:paraId="1970899C" w14:textId="77777777" w:rsidTr="00E50AD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6B2ED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Black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B21A3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647A7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71.3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7988D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67.8</w:t>
            </w:r>
          </w:p>
        </w:tc>
        <w:tc>
          <w:tcPr>
            <w:tcW w:w="0" w:type="auto"/>
            <w:vAlign w:val="center"/>
          </w:tcPr>
          <w:p w14:paraId="73442C9D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7F1C4D" w:rsidRPr="007F1C4D" w14:paraId="3B063655" w14:textId="77777777" w:rsidTr="00E50AD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BE1D8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White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3C97A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51506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81.3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480DE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80.1</w:t>
            </w:r>
          </w:p>
        </w:tc>
        <w:tc>
          <w:tcPr>
            <w:tcW w:w="0" w:type="auto"/>
            <w:vAlign w:val="center"/>
          </w:tcPr>
          <w:p w14:paraId="45507786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7F1C4D" w:rsidRPr="007F1C4D" w14:paraId="2467CA69" w14:textId="77777777" w:rsidTr="00E50AD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F2EDF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White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6129A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485DE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76.3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09375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74.8</w:t>
            </w:r>
          </w:p>
        </w:tc>
        <w:tc>
          <w:tcPr>
            <w:tcW w:w="0" w:type="auto"/>
            <w:vAlign w:val="center"/>
          </w:tcPr>
          <w:p w14:paraId="6245A214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7F1C4D" w:rsidRPr="007F1C4D" w14:paraId="4479E10E" w14:textId="77777777" w:rsidTr="00E50ADA"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CDC43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All National*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2AC012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78.8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7422F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77.3</w:t>
            </w:r>
          </w:p>
        </w:tc>
        <w:tc>
          <w:tcPr>
            <w:tcW w:w="0" w:type="auto"/>
            <w:vAlign w:val="center"/>
          </w:tcPr>
          <w:p w14:paraId="18530880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7F1C4D" w:rsidRPr="007F1C4D" w14:paraId="0F6408B6" w14:textId="77777777" w:rsidTr="00E50ADA"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BA5AA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DC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F1A7D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78.0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7FBEF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75.3</w:t>
            </w:r>
          </w:p>
        </w:tc>
        <w:tc>
          <w:tcPr>
            <w:tcW w:w="0" w:type="auto"/>
            <w:vAlign w:val="center"/>
          </w:tcPr>
          <w:p w14:paraId="2DC8E774" w14:textId="77777777" w:rsidR="007F1C4D" w:rsidRPr="007F1C4D" w:rsidRDefault="007F1C4D" w:rsidP="00E50ADA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</w:tr>
    </w:tbl>
    <w:p w14:paraId="0BAEF11B" w14:textId="77777777" w:rsidR="007F1C4D" w:rsidRPr="007F1C4D" w:rsidRDefault="007F1C4D" w:rsidP="007F1C4D">
      <w:pPr>
        <w:rPr>
          <w:rFonts w:ascii="Times New Roman" w:hAnsi="Times New Roman" w:cs="Times New Roman"/>
        </w:rPr>
      </w:pPr>
      <w:r w:rsidRPr="007F1C4D">
        <w:rPr>
          <w:rFonts w:ascii="Times New Roman" w:hAnsi="Times New Roman" w:cs="Times New Roman"/>
        </w:rPr>
        <w:t xml:space="preserve">*Source: National Center for Health Statistics </w:t>
      </w:r>
      <w:r w:rsidRPr="007F1C4D">
        <w:rPr>
          <w:rFonts w:ascii="Times New Roman" w:hAnsi="Times New Roman" w:cs="Times New Roman"/>
        </w:rPr>
        <w:fldChar w:fldCharType="begin"/>
      </w:r>
      <w:r w:rsidRPr="007F1C4D">
        <w:rPr>
          <w:rFonts w:ascii="Times New Roman" w:hAnsi="Times New Roman" w:cs="Times New Roman"/>
        </w:rPr>
        <w:instrText xml:space="preserve"> ADDIN ZOTERO_ITEM CSL_CITATION {"citationID":"D9jDoZih","properties":{"formattedCitation":"(5)","plainCitation":"(5)","noteIndex":0},"citationItems":[{"id":503,"uris":["http://zotero.org/groups/4747568/items/2R84PD4T"],"itemData":{"id":503,"type":"article-journal","abstract":"Objectives—This report presents complete period life tables for the United States by Hispanic origin, race, and sex, based on age-specific death rates in 2019. Starting with the 2019 data year, this report adds life tables for the non-Hispanic American Indian or Alaska Native (AIAN) and non-Hispanic Asian populations.","language":"en","page":"59","source":"Zotero","title":"United States Life Tables, 2019","author":[{"family":"Arias","given":"Elizabeth"},{"family":"Xu,","given":"Jiaquan"},{"family":"Division of Vital Statistics","given":""}],"issued":{"date-parts":[["2022"]]}}}],"schema":"https://github.com/citation-style-language/schema/raw/master/csl-citation.json"} </w:instrText>
      </w:r>
      <w:r w:rsidRPr="007F1C4D">
        <w:rPr>
          <w:rFonts w:ascii="Times New Roman" w:hAnsi="Times New Roman" w:cs="Times New Roman"/>
        </w:rPr>
        <w:fldChar w:fldCharType="separate"/>
      </w:r>
      <w:r w:rsidRPr="007F1C4D">
        <w:rPr>
          <w:rFonts w:ascii="Times New Roman" w:hAnsi="Times New Roman" w:cs="Times New Roman"/>
        </w:rPr>
        <w:t>(5)</w:t>
      </w:r>
      <w:r w:rsidRPr="007F1C4D">
        <w:rPr>
          <w:rFonts w:ascii="Times New Roman" w:hAnsi="Times New Roman" w:cs="Times New Roman"/>
        </w:rPr>
        <w:fldChar w:fldCharType="end"/>
      </w:r>
    </w:p>
    <w:p w14:paraId="51645B1F" w14:textId="77777777" w:rsidR="007F1C4D" w:rsidRPr="007F1C4D" w:rsidRDefault="007F1C4D" w:rsidP="007F1C4D">
      <w:pPr>
        <w:rPr>
          <w:rFonts w:ascii="Times New Roman" w:hAnsi="Times New Roman" w:cs="Times New Roman"/>
        </w:rPr>
      </w:pPr>
      <w:r w:rsidRPr="007F1C4D">
        <w:rPr>
          <w:rFonts w:ascii="Times New Roman" w:hAnsi="Times New Roman" w:cs="Times New Roman"/>
        </w:rPr>
        <w:t xml:space="preserve">**  Center on Society and Health; National Center for Health Statistics </w:t>
      </w:r>
      <w:r w:rsidRPr="007F1C4D">
        <w:rPr>
          <w:rFonts w:ascii="Times New Roman" w:hAnsi="Times New Roman" w:cs="Times New Roman"/>
        </w:rPr>
        <w:fldChar w:fldCharType="begin"/>
      </w:r>
      <w:r w:rsidRPr="007F1C4D">
        <w:rPr>
          <w:rFonts w:ascii="Times New Roman" w:hAnsi="Times New Roman" w:cs="Times New Roman"/>
        </w:rPr>
        <w:instrText xml:space="preserve"> ADDIN ZOTERO_ITEM CSL_CITATION {"citationID":"uCgAw69p","properties":{"formattedCitation":"(6, 7)","plainCitation":"(6, 7)","noteIndex":0},"citationItems":[{"id":1146,"uris":["http://zotero.org/groups/4747568/items/4AQTLXEL"],"itemData":{"id":1146,"type":"article-journal","title":"Washington, D.C. Life Expectancy Methodology and Data Table","author":[{"family":"Center on Society and Health","given":""}]}},{"id":1143,"uris":["http://zotero.org/groups/4747568/items/H8KCE6IZ"],"itemData":{"id":1143,"type":"webpage","language":"en-us","title":"District of Columbia","URL":"https://www.cdc.gov/nchs/pressroom/states/dc/DC1.htm","author":[{"family":"National Center for Health Statistics","given":""}],"accessed":{"date-parts":[["2023",4,27]]},"issued":{"date-parts":[["2023",3,14]]}}}],"schema":"https://github.com/citation-style-language/schema/raw/master/csl-citation.json"} </w:instrText>
      </w:r>
      <w:r w:rsidRPr="007F1C4D">
        <w:rPr>
          <w:rFonts w:ascii="Times New Roman" w:hAnsi="Times New Roman" w:cs="Times New Roman"/>
        </w:rPr>
        <w:fldChar w:fldCharType="separate"/>
      </w:r>
      <w:r w:rsidRPr="007F1C4D">
        <w:rPr>
          <w:rFonts w:ascii="Times New Roman" w:hAnsi="Times New Roman" w:cs="Times New Roman"/>
        </w:rPr>
        <w:t>(6, 7)</w:t>
      </w:r>
      <w:r w:rsidRPr="007F1C4D">
        <w:rPr>
          <w:rFonts w:ascii="Times New Roman" w:hAnsi="Times New Roman" w:cs="Times New Roman"/>
        </w:rPr>
        <w:fldChar w:fldCharType="end"/>
      </w:r>
    </w:p>
    <w:p w14:paraId="12088497" w14:textId="77777777" w:rsidR="007F1C4D" w:rsidRPr="007F1C4D" w:rsidRDefault="007F1C4D" w:rsidP="007F1C4D">
      <w:pPr>
        <w:spacing w:after="160" w:line="259" w:lineRule="auto"/>
        <w:rPr>
          <w:rFonts w:ascii="Times New Roman" w:hAnsi="Times New Roman" w:cs="Times New Roman"/>
        </w:rPr>
      </w:pPr>
      <w:r w:rsidRPr="007F1C4D">
        <w:rPr>
          <w:rFonts w:ascii="Times New Roman" w:hAnsi="Times New Roman" w:cs="Times New Roman"/>
        </w:rPr>
        <w:br w:type="page"/>
      </w:r>
    </w:p>
    <w:p w14:paraId="6BD33D8A" w14:textId="77777777" w:rsidR="007F1C4D" w:rsidRPr="007F1C4D" w:rsidRDefault="007F1C4D" w:rsidP="007F1C4D">
      <w:pPr>
        <w:rPr>
          <w:rFonts w:ascii="Times New Roman" w:hAnsi="Times New Roman" w:cs="Times New Roman"/>
        </w:rPr>
      </w:pPr>
    </w:p>
    <w:p w14:paraId="21ECC92D" w14:textId="77777777" w:rsidR="007F1C4D" w:rsidRPr="007F1C4D" w:rsidRDefault="007F1C4D" w:rsidP="007F1C4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I.  DC Department of Vital Statistics versus CDC mortality counts </w:t>
      </w:r>
    </w:p>
    <w:tbl>
      <w:tblPr>
        <w:tblW w:w="7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0"/>
        <w:gridCol w:w="2739"/>
        <w:gridCol w:w="2578"/>
      </w:tblGrid>
      <w:tr w:rsidR="007F1C4D" w:rsidRPr="007F1C4D" w14:paraId="64ED5592" w14:textId="77777777" w:rsidTr="007F1C4D">
        <w:trPr>
          <w:trHeight w:val="20"/>
        </w:trPr>
        <w:tc>
          <w:tcPr>
            <w:tcW w:w="2530" w:type="dxa"/>
          </w:tcPr>
          <w:p w14:paraId="13EE888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2739" w:type="dxa"/>
          </w:tcPr>
          <w:p w14:paraId="40F7AFC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DC Department of Vital Statistics mortality</w:t>
            </w:r>
          </w:p>
        </w:tc>
        <w:tc>
          <w:tcPr>
            <w:tcW w:w="2578" w:type="dxa"/>
          </w:tcPr>
          <w:p w14:paraId="79203DB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CDC Mortality (as of 05-01-2023)</w:t>
            </w:r>
          </w:p>
        </w:tc>
      </w:tr>
      <w:tr w:rsidR="007F1C4D" w:rsidRPr="007F1C4D" w14:paraId="7A24334E" w14:textId="77777777" w:rsidTr="007F1C4D">
        <w:trPr>
          <w:trHeight w:val="20"/>
        </w:trPr>
        <w:tc>
          <w:tcPr>
            <w:tcW w:w="2530" w:type="dxa"/>
          </w:tcPr>
          <w:p w14:paraId="7FF8C10A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739" w:type="dxa"/>
          </w:tcPr>
          <w:p w14:paraId="05129845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3965</w:t>
            </w:r>
          </w:p>
        </w:tc>
        <w:tc>
          <w:tcPr>
            <w:tcW w:w="2578" w:type="dxa"/>
          </w:tcPr>
          <w:p w14:paraId="35683774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4871</w:t>
            </w:r>
          </w:p>
        </w:tc>
      </w:tr>
      <w:tr w:rsidR="007F1C4D" w:rsidRPr="007F1C4D" w14:paraId="78615F6C" w14:textId="77777777" w:rsidTr="007F1C4D">
        <w:trPr>
          <w:trHeight w:val="20"/>
        </w:trPr>
        <w:tc>
          <w:tcPr>
            <w:tcW w:w="2530" w:type="dxa"/>
          </w:tcPr>
          <w:p w14:paraId="59D1333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739" w:type="dxa"/>
          </w:tcPr>
          <w:p w14:paraId="49A5C261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4148</w:t>
            </w:r>
          </w:p>
        </w:tc>
        <w:tc>
          <w:tcPr>
            <w:tcW w:w="2578" w:type="dxa"/>
          </w:tcPr>
          <w:p w14:paraId="771EEC6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5037</w:t>
            </w:r>
          </w:p>
        </w:tc>
      </w:tr>
      <w:tr w:rsidR="007F1C4D" w:rsidRPr="007F1C4D" w14:paraId="12579E70" w14:textId="77777777" w:rsidTr="007F1C4D">
        <w:trPr>
          <w:trHeight w:val="20"/>
        </w:trPr>
        <w:tc>
          <w:tcPr>
            <w:tcW w:w="2530" w:type="dxa"/>
          </w:tcPr>
          <w:p w14:paraId="4A96B13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39" w:type="dxa"/>
          </w:tcPr>
          <w:p w14:paraId="121A4682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4262</w:t>
            </w:r>
          </w:p>
        </w:tc>
        <w:tc>
          <w:tcPr>
            <w:tcW w:w="2578" w:type="dxa"/>
          </w:tcPr>
          <w:p w14:paraId="150F986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4965</w:t>
            </w:r>
          </w:p>
        </w:tc>
      </w:tr>
      <w:tr w:rsidR="007F1C4D" w:rsidRPr="007F1C4D" w14:paraId="6B7751FA" w14:textId="77777777" w:rsidTr="007F1C4D">
        <w:trPr>
          <w:trHeight w:val="20"/>
        </w:trPr>
        <w:tc>
          <w:tcPr>
            <w:tcW w:w="2530" w:type="dxa"/>
          </w:tcPr>
          <w:p w14:paraId="4665E66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739" w:type="dxa"/>
          </w:tcPr>
          <w:p w14:paraId="4E460F8F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4286</w:t>
            </w:r>
          </w:p>
        </w:tc>
        <w:tc>
          <w:tcPr>
            <w:tcW w:w="2578" w:type="dxa"/>
          </w:tcPr>
          <w:p w14:paraId="70CFB59E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5008</w:t>
            </w:r>
          </w:p>
        </w:tc>
      </w:tr>
      <w:tr w:rsidR="007F1C4D" w:rsidRPr="007F1C4D" w14:paraId="0826EB91" w14:textId="77777777" w:rsidTr="007F1C4D">
        <w:trPr>
          <w:trHeight w:val="20"/>
        </w:trPr>
        <w:tc>
          <w:tcPr>
            <w:tcW w:w="2530" w:type="dxa"/>
          </w:tcPr>
          <w:p w14:paraId="5B90CD18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739" w:type="dxa"/>
          </w:tcPr>
          <w:p w14:paraId="5D18F38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4115</w:t>
            </w:r>
          </w:p>
        </w:tc>
        <w:tc>
          <w:tcPr>
            <w:tcW w:w="2578" w:type="dxa"/>
          </w:tcPr>
          <w:p w14:paraId="214250EA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4927</w:t>
            </w:r>
          </w:p>
        </w:tc>
      </w:tr>
      <w:tr w:rsidR="007F1C4D" w:rsidRPr="007F1C4D" w14:paraId="4E88C995" w14:textId="77777777" w:rsidTr="007F1C4D">
        <w:trPr>
          <w:trHeight w:val="20"/>
        </w:trPr>
        <w:tc>
          <w:tcPr>
            <w:tcW w:w="2530" w:type="dxa"/>
          </w:tcPr>
          <w:p w14:paraId="5827C2E3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739" w:type="dxa"/>
          </w:tcPr>
          <w:p w14:paraId="086C5490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5283</w:t>
            </w:r>
          </w:p>
        </w:tc>
        <w:tc>
          <w:tcPr>
            <w:tcW w:w="2578" w:type="dxa"/>
          </w:tcPr>
          <w:p w14:paraId="3EF4C079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6198</w:t>
            </w:r>
          </w:p>
        </w:tc>
      </w:tr>
      <w:tr w:rsidR="007F1C4D" w:rsidRPr="007F1C4D" w14:paraId="04A26004" w14:textId="77777777" w:rsidTr="007F1C4D">
        <w:trPr>
          <w:trHeight w:val="20"/>
        </w:trPr>
        <w:tc>
          <w:tcPr>
            <w:tcW w:w="2530" w:type="dxa"/>
          </w:tcPr>
          <w:p w14:paraId="70AA3AFC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39" w:type="dxa"/>
          </w:tcPr>
          <w:p w14:paraId="4DA5B7ED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4784</w:t>
            </w:r>
          </w:p>
        </w:tc>
        <w:tc>
          <w:tcPr>
            <w:tcW w:w="2578" w:type="dxa"/>
          </w:tcPr>
          <w:p w14:paraId="698DEBF7" w14:textId="77777777" w:rsidR="007F1C4D" w:rsidRPr="007F1C4D" w:rsidRDefault="007F1C4D" w:rsidP="00E50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4D">
              <w:rPr>
                <w:rFonts w:ascii="Times New Roman" w:eastAsia="Times New Roman" w:hAnsi="Times New Roman" w:cs="Times New Roman"/>
                <w:sz w:val="24"/>
                <w:szCs w:val="24"/>
              </w:rPr>
              <w:t>5833</w:t>
            </w:r>
          </w:p>
        </w:tc>
      </w:tr>
    </w:tbl>
    <w:p w14:paraId="644A218A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Sources: DC Department of Vital Statistics 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UoGXjLGE","properties":{"formattedCitation":"(8)","plainCitation":"(8)","noteIndex":0},"citationItems":[{"id":341,"uris":["http://zotero.org/groups/4747568/items/3FCUK6AA"],"itemData":{"id":341,"type":"webpage","language":"en-us","title":"NVSS","URL":"https://www.cdc.gov/nchs/nvss/about_nvss.htm","author":[{"family":"CDC","given":""}],"accessed":{"date-parts":[["2022",8,15]]},"issued":{"date-parts":[["2022",8,3]]}}}],"schema":"https://github.com/citation-style-language/schema/raw/master/csl-citation.json"} </w:instrTex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F1C4D">
        <w:rPr>
          <w:rFonts w:ascii="Times New Roman" w:hAnsi="Times New Roman" w:cs="Times New Roman"/>
          <w:sz w:val="24"/>
        </w:rPr>
        <w:t>(8)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t xml:space="preserve"> and CDC WONDER 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F1C4D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{"citationID":"WUz7xOtp","properties":{"formattedCitation":"(9)","plainCitation":"(9)","noteIndex":0},"citationItems":[{"id":1169,"uris":["http://zotero.org/groups/4747568/items/8KN9L6F9"],"itemData":{"id":1169,"type":"webpage","title":"Mortality Data on CDC WONDER","URL":"https://wonder.cdc.gov/Deaths-by-Underlying-Cause.html","author":[{"family":"CDC WONDER","given":""}],"accessed":{"date-parts":[["2023",5,1]]}}}],"schema":"https://github.com/citation-style-language/schema/raw/master/csl-citation.json"} </w:instrTex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F1C4D">
        <w:rPr>
          <w:rFonts w:ascii="Times New Roman" w:hAnsi="Times New Roman" w:cs="Times New Roman"/>
          <w:sz w:val="24"/>
        </w:rPr>
        <w:t>(9)</w:t>
      </w: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AF58BCB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t>Notes: 2020 values are still provisory for the CDC. The CDC numbers include DC residents who die in other states which translated into higher death numbers</w:t>
      </w:r>
    </w:p>
    <w:p w14:paraId="0900AA5D" w14:textId="77777777" w:rsidR="007F1C4D" w:rsidRPr="007F1C4D" w:rsidRDefault="007F1C4D" w:rsidP="007F1C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946D6D" w14:textId="77777777" w:rsidR="007F1C4D" w:rsidRPr="007F1C4D" w:rsidRDefault="007F1C4D" w:rsidP="007F1C4D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E36DEEA" w14:textId="77777777" w:rsidR="007F1C4D" w:rsidRPr="007F1C4D" w:rsidRDefault="007F1C4D" w:rsidP="007F1C4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4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References</w:t>
      </w:r>
    </w:p>
    <w:p w14:paraId="2A129BA3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</w:rPr>
        <w:fldChar w:fldCharType="begin"/>
      </w:r>
      <w:r w:rsidRPr="007F1C4D">
        <w:rPr>
          <w:rFonts w:ascii="Times New Roman" w:hAnsi="Times New Roman" w:cs="Times New Roman"/>
        </w:rPr>
        <w:instrText xml:space="preserve"> ADDIN ZOTERO_BIBL {"uncited":[],"omitted":[],"custom":[]} CSL_BIBLIOGRAPHY </w:instrText>
      </w:r>
      <w:r w:rsidRPr="007F1C4D">
        <w:rPr>
          <w:rFonts w:ascii="Times New Roman" w:hAnsi="Times New Roman" w:cs="Times New Roman"/>
        </w:rPr>
        <w:fldChar w:fldCharType="separate"/>
      </w:r>
      <w:r w:rsidRPr="007F1C4D">
        <w:rPr>
          <w:rFonts w:ascii="Times New Roman" w:hAnsi="Times New Roman" w:cs="Times New Roman"/>
          <w:sz w:val="24"/>
        </w:rPr>
        <w:t xml:space="preserve">1. </w:t>
      </w:r>
      <w:r w:rsidRPr="007F1C4D">
        <w:rPr>
          <w:rFonts w:ascii="Times New Roman" w:hAnsi="Times New Roman" w:cs="Times New Roman"/>
          <w:sz w:val="24"/>
        </w:rPr>
        <w:tab/>
        <w:t xml:space="preserve">US Census Bureau, ACS 1-Year Estimates Detailed Tables, B02001: RACE. </w:t>
      </w:r>
      <w:r w:rsidRPr="007F1C4D">
        <w:rPr>
          <w:rFonts w:ascii="Times New Roman" w:hAnsi="Times New Roman" w:cs="Times New Roman"/>
          <w:i/>
          <w:iCs/>
          <w:sz w:val="24"/>
        </w:rPr>
        <w:t>Census.gov</w:t>
      </w:r>
      <w:r w:rsidRPr="007F1C4D">
        <w:rPr>
          <w:rFonts w:ascii="Times New Roman" w:hAnsi="Times New Roman" w:cs="Times New Roman"/>
          <w:sz w:val="24"/>
        </w:rPr>
        <w:t xml:space="preserve"> (November 5, 2022).</w:t>
      </w:r>
    </w:p>
    <w:p w14:paraId="26E993E2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  <w:sz w:val="24"/>
        </w:rPr>
        <w:t xml:space="preserve">2. </w:t>
      </w:r>
      <w:r w:rsidRPr="007F1C4D">
        <w:rPr>
          <w:rFonts w:ascii="Times New Roman" w:hAnsi="Times New Roman" w:cs="Times New Roman"/>
          <w:sz w:val="24"/>
        </w:rPr>
        <w:tab/>
        <w:t xml:space="preserve">US Census Bureau, 2020 ACS 1-Year Experimental Data Tables. </w:t>
      </w:r>
      <w:r w:rsidRPr="007F1C4D">
        <w:rPr>
          <w:rFonts w:ascii="Times New Roman" w:hAnsi="Times New Roman" w:cs="Times New Roman"/>
          <w:i/>
          <w:iCs/>
          <w:sz w:val="24"/>
        </w:rPr>
        <w:t>Census.gov</w:t>
      </w:r>
      <w:r w:rsidRPr="007F1C4D">
        <w:rPr>
          <w:rFonts w:ascii="Times New Roman" w:hAnsi="Times New Roman" w:cs="Times New Roman"/>
          <w:sz w:val="24"/>
        </w:rPr>
        <w:t xml:space="preserve"> (2021) (August 15, 2022).</w:t>
      </w:r>
    </w:p>
    <w:p w14:paraId="69DB0C82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  <w:sz w:val="24"/>
        </w:rPr>
        <w:t xml:space="preserve">3. </w:t>
      </w:r>
      <w:r w:rsidRPr="007F1C4D">
        <w:rPr>
          <w:rFonts w:ascii="Times New Roman" w:hAnsi="Times New Roman" w:cs="Times New Roman"/>
          <w:sz w:val="24"/>
        </w:rPr>
        <w:tab/>
        <w:t>CDC, COVID-19 Case Surveillance Public Use Data with Geography | Data | Centers for Disease Control and Prevention (2021) (September 14, 2022).</w:t>
      </w:r>
    </w:p>
    <w:p w14:paraId="137BB50A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  <w:sz w:val="24"/>
        </w:rPr>
        <w:t xml:space="preserve">4. </w:t>
      </w:r>
      <w:r w:rsidRPr="007F1C4D">
        <w:rPr>
          <w:rFonts w:ascii="Times New Roman" w:hAnsi="Times New Roman" w:cs="Times New Roman"/>
          <w:sz w:val="24"/>
        </w:rPr>
        <w:tab/>
        <w:t xml:space="preserve">Office of Planning, Open Data DC, ACS Demographic Characteristics DC Ward. </w:t>
      </w:r>
      <w:r w:rsidRPr="007F1C4D">
        <w:rPr>
          <w:rFonts w:ascii="Times New Roman" w:hAnsi="Times New Roman" w:cs="Times New Roman"/>
          <w:i/>
          <w:iCs/>
          <w:sz w:val="24"/>
        </w:rPr>
        <w:t>DC.gov</w:t>
      </w:r>
      <w:r w:rsidRPr="007F1C4D">
        <w:rPr>
          <w:rFonts w:ascii="Times New Roman" w:hAnsi="Times New Roman" w:cs="Times New Roman"/>
          <w:sz w:val="24"/>
        </w:rPr>
        <w:t xml:space="preserve"> (August 15, 2022).</w:t>
      </w:r>
    </w:p>
    <w:p w14:paraId="0BDD03FF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  <w:sz w:val="24"/>
        </w:rPr>
        <w:t xml:space="preserve">5. </w:t>
      </w:r>
      <w:r w:rsidRPr="007F1C4D">
        <w:rPr>
          <w:rFonts w:ascii="Times New Roman" w:hAnsi="Times New Roman" w:cs="Times New Roman"/>
          <w:sz w:val="24"/>
        </w:rPr>
        <w:tab/>
        <w:t>E. Arias, J. Xu,, Division of Vital Statistics, United States Life Tables, 2019. 59 (2022).</w:t>
      </w:r>
    </w:p>
    <w:p w14:paraId="38EF0C6D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  <w:sz w:val="24"/>
        </w:rPr>
        <w:t xml:space="preserve">6. </w:t>
      </w:r>
      <w:r w:rsidRPr="007F1C4D">
        <w:rPr>
          <w:rFonts w:ascii="Times New Roman" w:hAnsi="Times New Roman" w:cs="Times New Roman"/>
          <w:sz w:val="24"/>
        </w:rPr>
        <w:tab/>
        <w:t>Center on Society and Health, Washington, D.C. Life Expectancy Methodology and Data Table.</w:t>
      </w:r>
    </w:p>
    <w:p w14:paraId="45BC93AE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  <w:sz w:val="24"/>
        </w:rPr>
        <w:t xml:space="preserve">7. </w:t>
      </w:r>
      <w:r w:rsidRPr="007F1C4D">
        <w:rPr>
          <w:rFonts w:ascii="Times New Roman" w:hAnsi="Times New Roman" w:cs="Times New Roman"/>
          <w:sz w:val="24"/>
        </w:rPr>
        <w:tab/>
        <w:t>National Center for Health Statistics, District of Columbia (2023) (April 27, 2023).</w:t>
      </w:r>
    </w:p>
    <w:p w14:paraId="6E7A4B22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  <w:sz w:val="24"/>
        </w:rPr>
        <w:t xml:space="preserve">8. </w:t>
      </w:r>
      <w:r w:rsidRPr="007F1C4D">
        <w:rPr>
          <w:rFonts w:ascii="Times New Roman" w:hAnsi="Times New Roman" w:cs="Times New Roman"/>
          <w:sz w:val="24"/>
        </w:rPr>
        <w:tab/>
        <w:t>CDC, NVSS (2022) (August 15, 2022).</w:t>
      </w:r>
    </w:p>
    <w:p w14:paraId="64A137C8" w14:textId="77777777" w:rsidR="007F1C4D" w:rsidRPr="007F1C4D" w:rsidRDefault="007F1C4D" w:rsidP="007F1C4D">
      <w:pPr>
        <w:pStyle w:val="Bibliography"/>
        <w:rPr>
          <w:rFonts w:ascii="Times New Roman" w:hAnsi="Times New Roman" w:cs="Times New Roman"/>
          <w:sz w:val="24"/>
        </w:rPr>
      </w:pPr>
      <w:r w:rsidRPr="007F1C4D">
        <w:rPr>
          <w:rFonts w:ascii="Times New Roman" w:hAnsi="Times New Roman" w:cs="Times New Roman"/>
          <w:sz w:val="24"/>
        </w:rPr>
        <w:t xml:space="preserve">9. </w:t>
      </w:r>
      <w:r w:rsidRPr="007F1C4D">
        <w:rPr>
          <w:rFonts w:ascii="Times New Roman" w:hAnsi="Times New Roman" w:cs="Times New Roman"/>
          <w:sz w:val="24"/>
        </w:rPr>
        <w:tab/>
        <w:t>CDC WONDER, Mortality Data on CDC WONDER (May 1, 2023).</w:t>
      </w:r>
    </w:p>
    <w:p w14:paraId="17E5EB2B" w14:textId="77777777" w:rsidR="007F1C4D" w:rsidRPr="007F1C4D" w:rsidRDefault="007F1C4D" w:rsidP="007F1C4D">
      <w:pPr>
        <w:rPr>
          <w:rFonts w:ascii="Times New Roman" w:hAnsi="Times New Roman" w:cs="Times New Roman"/>
        </w:rPr>
      </w:pPr>
      <w:r w:rsidRPr="007F1C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A7B9F98" w14:textId="77777777" w:rsidR="007F1C4D" w:rsidRPr="007F1C4D" w:rsidRDefault="007F1C4D" w:rsidP="007F1C4D">
      <w:pPr>
        <w:rPr>
          <w:rFonts w:ascii="Times New Roman" w:hAnsi="Times New Roman" w:cs="Times New Roman"/>
          <w:sz w:val="24"/>
          <w:szCs w:val="24"/>
        </w:rPr>
      </w:pPr>
    </w:p>
    <w:p w14:paraId="69A8555F" w14:textId="77777777" w:rsidR="003D3AE7" w:rsidRPr="007F1C4D" w:rsidRDefault="00A22035">
      <w:pPr>
        <w:rPr>
          <w:rFonts w:ascii="Times New Roman" w:hAnsi="Times New Roman" w:cs="Times New Roman"/>
        </w:rPr>
      </w:pPr>
    </w:p>
    <w:sectPr w:rsidR="003D3AE7" w:rsidRPr="007F1C4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962A3" w14:textId="77777777" w:rsidR="00A22035" w:rsidRDefault="00A22035" w:rsidP="007F1C4D">
      <w:pPr>
        <w:spacing w:after="0"/>
      </w:pPr>
      <w:r>
        <w:separator/>
      </w:r>
    </w:p>
  </w:endnote>
  <w:endnote w:type="continuationSeparator" w:id="0">
    <w:p w14:paraId="5D6CB111" w14:textId="77777777" w:rsidR="00A22035" w:rsidRDefault="00A22035" w:rsidP="007F1C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989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C8855" w14:textId="357E4623" w:rsidR="007F1C4D" w:rsidRDefault="007F1C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071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325CE8B" w14:textId="77777777" w:rsidR="007F1C4D" w:rsidRDefault="007F1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0FC5B" w14:textId="77777777" w:rsidR="00A22035" w:rsidRDefault="00A22035" w:rsidP="007F1C4D">
      <w:pPr>
        <w:spacing w:after="0"/>
      </w:pPr>
      <w:r>
        <w:separator/>
      </w:r>
    </w:p>
  </w:footnote>
  <w:footnote w:type="continuationSeparator" w:id="0">
    <w:p w14:paraId="287DAA81" w14:textId="77777777" w:rsidR="00A22035" w:rsidRDefault="00A22035" w:rsidP="007F1C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B8"/>
    <w:rsid w:val="00104089"/>
    <w:rsid w:val="00580716"/>
    <w:rsid w:val="005D3F79"/>
    <w:rsid w:val="007F1C4D"/>
    <w:rsid w:val="00A22035"/>
    <w:rsid w:val="00DF21B8"/>
    <w:rsid w:val="00E3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4D897"/>
  <w15:chartTrackingRefBased/>
  <w15:docId w15:val="{402D05E2-3043-4E55-A49B-90F74DC9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C4D"/>
    <w:pPr>
      <w:spacing w:after="20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1C4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1C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ibliography">
    <w:name w:val="Bibliography"/>
    <w:basedOn w:val="Normal"/>
    <w:next w:val="Normal"/>
    <w:uiPriority w:val="37"/>
    <w:unhideWhenUsed/>
    <w:rsid w:val="007F1C4D"/>
    <w:pPr>
      <w:tabs>
        <w:tab w:val="left" w:pos="624"/>
      </w:tabs>
      <w:spacing w:after="240"/>
      <w:ind w:left="624" w:hanging="624"/>
    </w:pPr>
  </w:style>
  <w:style w:type="paragraph" w:styleId="Header">
    <w:name w:val="header"/>
    <w:basedOn w:val="Normal"/>
    <w:link w:val="HeaderChar"/>
    <w:uiPriority w:val="99"/>
    <w:unhideWhenUsed/>
    <w:rsid w:val="007F1C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F1C4D"/>
  </w:style>
  <w:style w:type="paragraph" w:styleId="Footer">
    <w:name w:val="footer"/>
    <w:basedOn w:val="Normal"/>
    <w:link w:val="FooterChar"/>
    <w:uiPriority w:val="99"/>
    <w:unhideWhenUsed/>
    <w:rsid w:val="007F1C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F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2027</Words>
  <Characters>10281</Characters>
  <Application>Microsoft Office Word</Application>
  <DocSecurity>0</DocSecurity>
  <Lines>790</Lines>
  <Paragraphs>723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Alva</dc:creator>
  <cp:keywords/>
  <dc:description/>
  <cp:lastModifiedBy>Maria Alva</cp:lastModifiedBy>
  <cp:revision>2</cp:revision>
  <dcterms:created xsi:type="dcterms:W3CDTF">2023-12-26T16:07:00Z</dcterms:created>
  <dcterms:modified xsi:type="dcterms:W3CDTF">2023-12-26T16:07:00Z</dcterms:modified>
</cp:coreProperties>
</file>