
<file path=[Content_Types].xml><?xml version="1.0" encoding="utf-8"?>
<Types xmlns="http://schemas.openxmlformats.org/package/2006/content-types">
  <Default Extension="png" ContentType="image/png"/>
  <Default Extension="tiff" ContentType="image/tiff"/>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100" w:beforeAutospacing="1" w:after="100" w:afterAutospacing="1" w:line="360" w:lineRule="auto"/>
        <w:rPr>
          <w:rFonts w:hint="default" w:ascii="Times New Roman" w:hAnsi="Times New Roman" w:cs="Times New Roman"/>
          <w:b/>
          <w:bCs/>
          <w:sz w:val="24"/>
        </w:rPr>
      </w:pPr>
      <w:bookmarkStart w:id="0" w:name="OLE_LINK123"/>
      <w:r>
        <w:rPr>
          <w:rFonts w:hint="default" w:ascii="Times New Roman" w:hAnsi="Times New Roman" w:cs="Times New Roman"/>
          <w:b/>
          <w:bCs/>
          <w:sz w:val="24"/>
        </w:rPr>
        <w:t>Uncovering the Relationship between Heavy Metal Exposure, Cognitive Function, and Dietary Inflammation Index in Elderly Americans from the National Health and Nutrition Examination Survey 2011-2014</w:t>
      </w:r>
    </w:p>
    <w:p>
      <w:pPr>
        <w:spacing w:before="100" w:beforeAutospacing="1" w:after="100" w:afterAutospacing="1" w:line="360" w:lineRule="auto"/>
        <w:rPr>
          <w:rFonts w:hint="default" w:ascii="Times New Roman" w:hAnsi="Times New Roman" w:cs="Times New Roman"/>
          <w:b/>
          <w:sz w:val="24"/>
          <w:vertAlign w:val="superscript"/>
        </w:rPr>
      </w:pPr>
      <w:bookmarkStart w:id="7" w:name="_GoBack"/>
      <w:bookmarkEnd w:id="7"/>
      <w:r>
        <w:rPr>
          <w:rFonts w:hint="default" w:ascii="Times New Roman" w:hAnsi="Times New Roman" w:cs="Times New Roman"/>
          <w:b/>
          <w:sz w:val="24"/>
        </w:rPr>
        <w:t>Chunlan Tang</w:t>
      </w:r>
      <w:r>
        <w:rPr>
          <w:rFonts w:hint="default" w:ascii="Times New Roman" w:hAnsi="Times New Roman" w:cs="Times New Roman"/>
          <w:b/>
          <w:sz w:val="24"/>
          <w:vertAlign w:val="superscript"/>
          <w:lang w:val="en-US" w:eastAsia="zh-CN"/>
        </w:rPr>
        <w:t>1,2</w:t>
      </w:r>
      <w:r>
        <w:rPr>
          <w:rFonts w:hint="default" w:ascii="Times New Roman" w:hAnsi="Times New Roman" w:cs="Times New Roman"/>
          <w:b/>
          <w:sz w:val="24"/>
        </w:rPr>
        <w:t xml:space="preserve">, </w:t>
      </w:r>
      <w:r>
        <w:rPr>
          <w:rFonts w:hint="default" w:ascii="Times New Roman" w:hAnsi="Times New Roman" w:cs="Times New Roman"/>
          <w:b/>
          <w:sz w:val="24"/>
          <w:lang w:val="en-US" w:eastAsia="zh-CN"/>
        </w:rPr>
        <w:t>Min Shen</w:t>
      </w:r>
      <w:r>
        <w:rPr>
          <w:rFonts w:hint="default" w:ascii="Times New Roman" w:hAnsi="Times New Roman" w:cs="Times New Roman"/>
          <w:b/>
          <w:sz w:val="24"/>
          <w:vertAlign w:val="superscript"/>
          <w:lang w:val="en-US" w:eastAsia="zh-CN"/>
        </w:rPr>
        <w:t>3</w:t>
      </w:r>
      <w:r>
        <w:rPr>
          <w:rFonts w:hint="default" w:ascii="Times New Roman" w:hAnsi="Times New Roman" w:cs="Times New Roman"/>
          <w:b/>
          <w:sz w:val="24"/>
          <w:lang w:val="en-US" w:eastAsia="zh-CN"/>
        </w:rPr>
        <w:t xml:space="preserve">, </w:t>
      </w:r>
      <w:r>
        <w:rPr>
          <w:rFonts w:hint="default" w:ascii="Times New Roman" w:hAnsi="Times New Roman" w:cs="Times New Roman"/>
          <w:b/>
          <w:sz w:val="24"/>
        </w:rPr>
        <w:t>Hang Hong</w:t>
      </w:r>
      <w:r>
        <w:rPr>
          <w:rFonts w:hint="default" w:ascii="Times New Roman" w:hAnsi="Times New Roman" w:cs="Times New Roman"/>
          <w:b/>
          <w:sz w:val="24"/>
          <w:vertAlign w:val="superscript"/>
          <w:lang w:val="en-US" w:eastAsia="zh-CN"/>
        </w:rPr>
        <w:t>1,</w:t>
      </w:r>
      <w:r>
        <w:rPr>
          <w:rFonts w:hint="default" w:ascii="Times New Roman" w:hAnsi="Times New Roman" w:cs="Times New Roman"/>
          <w:b/>
          <w:sz w:val="24"/>
          <w:vertAlign w:val="superscript"/>
        </w:rPr>
        <w:t>*</w:t>
      </w:r>
    </w:p>
    <w:p>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hint="default" w:ascii="Times New Roman" w:hAnsi="Times New Roman" w:cs="Times New Roman"/>
          <w:color w:val="000000"/>
          <w:sz w:val="24"/>
        </w:rPr>
      </w:pPr>
      <w:r>
        <w:rPr>
          <w:rFonts w:hint="default" w:ascii="Times New Roman" w:hAnsi="Times New Roman" w:cs="Times New Roman"/>
          <w:color w:val="000000"/>
          <w:sz w:val="24"/>
          <w:vertAlign w:val="superscript"/>
          <w:lang w:val="en-US" w:eastAsia="zh-CN"/>
        </w:rPr>
        <w:t>1</w:t>
      </w:r>
      <w:r>
        <w:rPr>
          <w:rFonts w:hint="default" w:ascii="Times New Roman" w:hAnsi="Times New Roman" w:cs="Times New Roman"/>
          <w:color w:val="000000"/>
          <w:sz w:val="24"/>
        </w:rPr>
        <w:t>School of Public Health, Health Science Center, Ningbo University, Ningbo, Zhejiang, 315211, China</w:t>
      </w:r>
    </w:p>
    <w:p>
      <w:pPr>
        <w:spacing w:line="480" w:lineRule="auto"/>
        <w:jc w:val="left"/>
        <w:rPr>
          <w:rFonts w:hint="default" w:ascii="Times New Roman" w:hAnsi="Times New Roman" w:cs="Times New Roman"/>
          <w:bCs/>
          <w:sz w:val="24"/>
          <w:szCs w:val="24"/>
          <w:lang w:val="nl-NL"/>
        </w:rPr>
      </w:pPr>
      <w:r>
        <w:rPr>
          <w:rFonts w:hint="default" w:ascii="Times New Roman" w:hAnsi="Times New Roman" w:cs="Times New Roman"/>
          <w:bCs/>
          <w:sz w:val="24"/>
          <w:szCs w:val="24"/>
          <w:vertAlign w:val="superscript"/>
          <w:lang w:val="nl-NL"/>
        </w:rPr>
        <w:t>2</w:t>
      </w:r>
      <w:r>
        <w:rPr>
          <w:rFonts w:hint="default" w:ascii="Times New Roman" w:hAnsi="Times New Roman" w:cs="Times New Roman"/>
          <w:bCs/>
          <w:sz w:val="24"/>
          <w:szCs w:val="24"/>
          <w:lang w:val="nl-NL"/>
        </w:rPr>
        <w:t xml:space="preserve"> Key Laboratory of Diagnosis and Treatment of Digestive System Tumors of Zhejiang Province</w:t>
      </w:r>
      <w:r>
        <w:rPr>
          <w:rFonts w:hint="default" w:ascii="Times New Roman" w:hAnsi="Times New Roman" w:cs="Times New Roman"/>
          <w:bCs/>
          <w:sz w:val="24"/>
          <w:szCs w:val="24"/>
          <w:lang w:val="en-US" w:eastAsia="zh-CN"/>
        </w:rPr>
        <w:t xml:space="preserve">, </w:t>
      </w:r>
      <w:r>
        <w:rPr>
          <w:rFonts w:hint="default" w:ascii="Times New Roman" w:hAnsi="Times New Roman" w:cs="Times New Roman"/>
          <w:bCs/>
          <w:sz w:val="24"/>
          <w:szCs w:val="24"/>
          <w:lang w:val="nl-NL"/>
        </w:rPr>
        <w:t>2019E10020</w:t>
      </w:r>
    </w:p>
    <w:p>
      <w:pPr>
        <w:spacing w:line="480" w:lineRule="auto"/>
        <w:jc w:val="left"/>
        <w:rPr>
          <w:rFonts w:hint="default" w:ascii="Times New Roman" w:hAnsi="Times New Roman" w:cs="Times New Roman"/>
          <w:bCs/>
          <w:sz w:val="24"/>
          <w:szCs w:val="24"/>
          <w:lang w:val="nl-NL"/>
        </w:rPr>
      </w:pPr>
      <w:r>
        <w:rPr>
          <w:rFonts w:hint="default" w:ascii="Times New Roman" w:hAnsi="Times New Roman" w:cs="Times New Roman"/>
          <w:bCs/>
          <w:sz w:val="24"/>
          <w:szCs w:val="24"/>
          <w:vertAlign w:val="superscript"/>
          <w:lang w:val="en-US" w:eastAsia="zh-CN"/>
        </w:rPr>
        <w:t xml:space="preserve">3 </w:t>
      </w:r>
      <w:r>
        <w:rPr>
          <w:rFonts w:hint="default" w:ascii="Times New Roman" w:hAnsi="Times New Roman" w:cs="Times New Roman"/>
          <w:bCs/>
          <w:sz w:val="24"/>
          <w:szCs w:val="24"/>
          <w:lang w:val="nl-NL"/>
        </w:rPr>
        <w:t>Reference Laboratory, Medical</w:t>
      </w:r>
      <w:r>
        <w:rPr>
          <w:rFonts w:hint="default" w:ascii="Times New Roman" w:hAnsi="Times New Roman" w:cs="Times New Roman"/>
          <w:bCs/>
          <w:sz w:val="24"/>
          <w:szCs w:val="24"/>
          <w:lang w:val="en-US" w:eastAsia="zh-CN"/>
        </w:rPr>
        <w:t xml:space="preserve"> </w:t>
      </w:r>
      <w:r>
        <w:rPr>
          <w:rFonts w:hint="default" w:ascii="Times New Roman" w:hAnsi="Times New Roman" w:cs="Times New Roman"/>
          <w:bCs/>
          <w:sz w:val="24"/>
          <w:szCs w:val="24"/>
          <w:lang w:val="nl-NL"/>
        </w:rPr>
        <w:t xml:space="preserve">System Biotechnology Co., Ltd. Ningbo, </w:t>
      </w:r>
      <w:r>
        <w:rPr>
          <w:rFonts w:hint="default" w:ascii="Times New Roman" w:hAnsi="Times New Roman" w:cs="Times New Roman"/>
          <w:color w:val="000000"/>
          <w:sz w:val="24"/>
        </w:rPr>
        <w:t xml:space="preserve">Zhejiang, </w:t>
      </w:r>
      <w:r>
        <w:rPr>
          <w:rFonts w:hint="default" w:ascii="Times New Roman" w:hAnsi="Times New Roman" w:cs="Times New Roman"/>
          <w:bCs/>
          <w:sz w:val="24"/>
          <w:szCs w:val="24"/>
          <w:lang w:val="nl-NL"/>
        </w:rPr>
        <w:t>315104</w:t>
      </w:r>
      <w:r>
        <w:rPr>
          <w:rFonts w:hint="default" w:ascii="Times New Roman" w:hAnsi="Times New Roman" w:cs="Times New Roman"/>
          <w:bCs/>
          <w:sz w:val="24"/>
          <w:szCs w:val="24"/>
          <w:lang w:val="en-US" w:eastAsia="zh-CN"/>
        </w:rPr>
        <w:t xml:space="preserve">, </w:t>
      </w:r>
      <w:r>
        <w:rPr>
          <w:rFonts w:hint="default" w:ascii="Times New Roman" w:hAnsi="Times New Roman" w:cs="Times New Roman"/>
          <w:bCs/>
          <w:sz w:val="24"/>
          <w:szCs w:val="24"/>
          <w:lang w:val="nl-NL"/>
        </w:rPr>
        <w:t>China</w:t>
      </w:r>
    </w:p>
    <w:p>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hint="default" w:ascii="Times New Roman" w:hAnsi="Times New Roman" w:cs="Times New Roman"/>
          <w:color w:val="000000"/>
          <w:sz w:val="24"/>
        </w:rPr>
      </w:pPr>
    </w:p>
    <w:p>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hint="default" w:ascii="Times New Roman" w:hAnsi="Times New Roman" w:cs="Times New Roman"/>
          <w:color w:val="000000"/>
          <w:sz w:val="24"/>
        </w:rPr>
      </w:pPr>
    </w:p>
    <w:p>
      <w:pPr>
        <w:pStyle w:val="2"/>
        <w:spacing w:line="360" w:lineRule="auto"/>
        <w:rPr>
          <w:rFonts w:hint="default" w:ascii="Times New Roman" w:hAnsi="Times New Roman" w:cs="Times New Roman" w:eastAsiaTheme="minorEastAsia"/>
          <w:sz w:val="24"/>
        </w:rPr>
      </w:pPr>
      <w:r>
        <w:rPr>
          <w:rFonts w:hint="default" w:ascii="Times New Roman" w:hAnsi="Times New Roman" w:cs="Times New Roman"/>
          <w:sz w:val="24"/>
          <w:vertAlign w:val="superscript"/>
        </w:rPr>
        <w:t>*</w:t>
      </w:r>
      <w:r>
        <w:rPr>
          <w:rFonts w:hint="default" w:ascii="Times New Roman" w:hAnsi="Times New Roman" w:cs="Times New Roman"/>
          <w:spacing w:val="-6"/>
          <w:sz w:val="24"/>
        </w:rPr>
        <w:t xml:space="preserve"> </w:t>
      </w:r>
      <w:r>
        <w:rPr>
          <w:rFonts w:hint="default" w:ascii="Times New Roman" w:hAnsi="Times New Roman" w:cs="Times New Roman"/>
          <w:sz w:val="24"/>
        </w:rPr>
        <w:t>Corresponding</w:t>
      </w:r>
      <w:r>
        <w:rPr>
          <w:rFonts w:hint="default" w:ascii="Times New Roman" w:hAnsi="Times New Roman" w:cs="Times New Roman"/>
          <w:spacing w:val="-5"/>
          <w:sz w:val="24"/>
        </w:rPr>
        <w:t xml:space="preserve"> </w:t>
      </w:r>
      <w:r>
        <w:rPr>
          <w:rFonts w:hint="default" w:ascii="Times New Roman" w:hAnsi="Times New Roman" w:cs="Times New Roman"/>
          <w:sz w:val="24"/>
        </w:rPr>
        <w:t>author</w:t>
      </w:r>
      <w:r>
        <w:rPr>
          <w:rFonts w:hint="default" w:ascii="Times New Roman" w:hAnsi="Times New Roman" w:cs="Times New Roman" w:eastAsiaTheme="minorEastAsia"/>
          <w:sz w:val="24"/>
        </w:rPr>
        <w:t>:</w:t>
      </w:r>
    </w:p>
    <w:p>
      <w:pPr>
        <w:pStyle w:val="2"/>
        <w:spacing w:line="360" w:lineRule="auto"/>
        <w:rPr>
          <w:rFonts w:hint="default" w:ascii="Times New Roman" w:hAnsi="Times New Roman" w:cs="Times New Roman" w:eastAsiaTheme="minorEastAsia"/>
          <w:color w:val="000000"/>
          <w:sz w:val="24"/>
        </w:rPr>
      </w:pPr>
      <w:r>
        <w:rPr>
          <w:rFonts w:hint="default" w:ascii="Times New Roman" w:hAnsi="Times New Roman" w:cs="Times New Roman" w:eastAsiaTheme="minorEastAsia"/>
          <w:color w:val="000000"/>
          <w:sz w:val="24"/>
        </w:rPr>
        <w:t xml:space="preserve">School of Public Health, Health Science Center, Ningbo University, Ningbo, Zhejiang, 315211, China </w:t>
      </w:r>
    </w:p>
    <w:p>
      <w:pPr>
        <w:pStyle w:val="2"/>
        <w:spacing w:line="360" w:lineRule="auto"/>
        <w:rPr>
          <w:rFonts w:hint="default" w:ascii="Times New Roman" w:hAnsi="Times New Roman" w:eastAsia="宋体" w:cs="Times New Roman"/>
          <w:sz w:val="24"/>
        </w:rPr>
      </w:pPr>
      <w:r>
        <w:rPr>
          <w:rFonts w:hint="default" w:ascii="Times New Roman" w:hAnsi="Times New Roman" w:cs="Times New Roman"/>
          <w:iCs/>
          <w:sz w:val="24"/>
        </w:rPr>
        <w:t>E-mail</w:t>
      </w:r>
      <w:r>
        <w:rPr>
          <w:rFonts w:hint="default" w:ascii="Times New Roman" w:hAnsi="Times New Roman" w:cs="Times New Roman"/>
          <w:iCs/>
          <w:spacing w:val="-2"/>
          <w:sz w:val="24"/>
        </w:rPr>
        <w:t xml:space="preserve"> </w:t>
      </w:r>
      <w:r>
        <w:rPr>
          <w:rFonts w:hint="default" w:ascii="Times New Roman" w:hAnsi="Times New Roman" w:cs="Times New Roman"/>
          <w:iCs/>
          <w:sz w:val="24"/>
        </w:rPr>
        <w:t>address:</w:t>
      </w:r>
      <w:r>
        <w:rPr>
          <w:rFonts w:hint="default" w:ascii="Times New Roman" w:hAnsi="Times New Roman" w:cs="Times New Roman"/>
          <w:iCs/>
          <w:color w:val="0000FF"/>
          <w:spacing w:val="-1"/>
          <w:sz w:val="24"/>
        </w:rPr>
        <w:t xml:space="preserve"> </w:t>
      </w:r>
      <w:r>
        <w:rPr>
          <w:rFonts w:hint="default" w:ascii="Times New Roman" w:hAnsi="Times New Roman" w:eastAsia="宋体" w:cs="Times New Roman"/>
          <w:iCs/>
          <w:color w:val="0000FF"/>
          <w:spacing w:val="-1"/>
          <w:sz w:val="24"/>
        </w:rPr>
        <w:t>honghang28@163.com</w:t>
      </w:r>
      <w:r>
        <w:rPr>
          <w:rFonts w:hint="default" w:ascii="Times New Roman" w:hAnsi="Times New Roman" w:cs="Times New Roman" w:eastAsiaTheme="minorEastAsia"/>
          <w:sz w:val="24"/>
        </w:rPr>
        <w:t xml:space="preserve"> </w:t>
      </w:r>
      <w:r>
        <w:rPr>
          <w:rFonts w:hint="default" w:ascii="Times New Roman" w:hAnsi="Times New Roman" w:cs="Times New Roman"/>
          <w:sz w:val="24"/>
        </w:rPr>
        <w:t>(</w:t>
      </w:r>
      <w:r>
        <w:rPr>
          <w:rFonts w:hint="default" w:ascii="Times New Roman" w:hAnsi="Times New Roman" w:cs="Times New Roman" w:eastAsiaTheme="minorEastAsia"/>
          <w:sz w:val="24"/>
        </w:rPr>
        <w:t>H.Hong</w:t>
      </w:r>
      <w:r>
        <w:rPr>
          <w:rFonts w:hint="default" w:ascii="Times New Roman" w:hAnsi="Times New Roman" w:cs="Times New Roman"/>
          <w:sz w:val="24"/>
        </w:rPr>
        <w:t>)</w:t>
      </w:r>
      <w:r>
        <w:rPr>
          <w:rFonts w:hint="default" w:ascii="Times New Roman" w:hAnsi="Times New Roman" w:eastAsia="宋体" w:cs="Times New Roman"/>
          <w:sz w:val="24"/>
        </w:rPr>
        <w:t xml:space="preserve"> </w:t>
      </w:r>
    </w:p>
    <w:bookmarkEnd w:id="0"/>
    <w:p>
      <w:pPr>
        <w:spacing w:line="360" w:lineRule="auto"/>
        <w:rPr>
          <w:rFonts w:hint="default" w:ascii="Times New Roman" w:hAnsi="Times New Roman" w:cs="Times New Roman"/>
        </w:rPr>
      </w:pPr>
    </w:p>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p>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p>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p>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p>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p>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p>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Table S1  The distribution of the five metals in different populations</w:t>
      </w:r>
    </w:p>
    <w:tbl>
      <w:tblPr>
        <w:tblStyle w:val="4"/>
        <w:tblW w:w="13908" w:type="dxa"/>
        <w:tblInd w:w="96" w:type="dxa"/>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4320"/>
        <w:gridCol w:w="2016"/>
        <w:gridCol w:w="2016"/>
        <w:gridCol w:w="1524"/>
        <w:gridCol w:w="2016"/>
        <w:gridCol w:w="2016"/>
      </w:tblGrid>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4320" w:type="dxa"/>
            <w:tcBorders>
              <w:left w:val="nil"/>
              <w:bottom w:val="single" w:color="auto" w:sz="4" w:space="0"/>
              <w:right w:val="nil"/>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Variables</w:t>
            </w:r>
          </w:p>
        </w:tc>
        <w:tc>
          <w:tcPr>
            <w:tcW w:w="2016" w:type="dxa"/>
            <w:tcBorders>
              <w:left w:val="nil"/>
              <w:bottom w:val="single" w:color="auto" w:sz="4" w:space="0"/>
              <w:right w:val="nil"/>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Cd</w:t>
            </w:r>
          </w:p>
        </w:tc>
        <w:tc>
          <w:tcPr>
            <w:tcW w:w="2016" w:type="dxa"/>
            <w:tcBorders>
              <w:left w:val="nil"/>
              <w:bottom w:val="single" w:color="auto" w:sz="4" w:space="0"/>
              <w:right w:val="nil"/>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Pd</w:t>
            </w:r>
          </w:p>
        </w:tc>
        <w:tc>
          <w:tcPr>
            <w:tcW w:w="1524" w:type="dxa"/>
            <w:tcBorders>
              <w:left w:val="nil"/>
              <w:bottom w:val="single" w:color="auto" w:sz="4" w:space="0"/>
              <w:right w:val="nil"/>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Mn</w:t>
            </w:r>
          </w:p>
        </w:tc>
        <w:tc>
          <w:tcPr>
            <w:tcW w:w="2016" w:type="dxa"/>
            <w:tcBorders>
              <w:left w:val="nil"/>
              <w:bottom w:val="single" w:color="auto" w:sz="4" w:space="0"/>
              <w:right w:val="nil"/>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Hg</w:t>
            </w:r>
          </w:p>
        </w:tc>
        <w:tc>
          <w:tcPr>
            <w:tcW w:w="2016" w:type="dxa"/>
            <w:tcBorders>
              <w:left w:val="nil"/>
              <w:bottom w:val="single" w:color="auto" w:sz="4" w:space="0"/>
              <w:right w:val="nil"/>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Se</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0" w:type="auto"/>
            <w:tcBorders>
              <w:top w:val="single" w:color="auto" w:sz="4" w:space="0"/>
              <w:left w:val="nil"/>
              <w:bottom w:val="nil"/>
              <w:right w:val="nil"/>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Sex, n (%)</w:t>
            </w:r>
          </w:p>
        </w:tc>
        <w:tc>
          <w:tcPr>
            <w:tcW w:w="0" w:type="auto"/>
            <w:tcBorders>
              <w:top w:val="single" w:color="auto" w:sz="4" w:space="0"/>
              <w:left w:val="nil"/>
              <w:bottom w:val="nil"/>
              <w:right w:val="nil"/>
            </w:tcBorders>
            <w:shd w:val="clear" w:color="auto" w:fill="auto"/>
            <w:noWrap/>
            <w:vAlign w:val="center"/>
          </w:tcPr>
          <w:p>
            <w:pPr>
              <w:keepNext w:val="0"/>
              <w:keepLines w:val="0"/>
              <w:suppressLineNumbers w:val="0"/>
              <w:spacing w:before="0" w:beforeAutospacing="0" w:after="0" w:afterAutospacing="0"/>
              <w:ind w:left="0" w:right="0"/>
              <w:rPr>
                <w:rFonts w:hint="default" w:ascii="Times New Roman" w:hAnsi="Times New Roman" w:eastAsia="宋体" w:cs="Times New Roman"/>
                <w:i w:val="0"/>
                <w:iCs w:val="0"/>
                <w:color w:val="000000"/>
                <w:sz w:val="24"/>
                <w:szCs w:val="24"/>
                <w:u w:val="none"/>
              </w:rPr>
            </w:pPr>
          </w:p>
        </w:tc>
        <w:tc>
          <w:tcPr>
            <w:tcW w:w="0" w:type="auto"/>
            <w:tcBorders>
              <w:top w:val="single" w:color="auto" w:sz="4" w:space="0"/>
              <w:left w:val="nil"/>
              <w:bottom w:val="nil"/>
              <w:right w:val="nil"/>
            </w:tcBorders>
            <w:shd w:val="clear" w:color="auto" w:fill="auto"/>
            <w:noWrap/>
            <w:vAlign w:val="center"/>
          </w:tcPr>
          <w:p>
            <w:pPr>
              <w:keepNext w:val="0"/>
              <w:keepLines w:val="0"/>
              <w:suppressLineNumbers w:val="0"/>
              <w:spacing w:before="0" w:beforeAutospacing="0" w:after="0" w:afterAutospacing="0"/>
              <w:ind w:left="0" w:right="0"/>
              <w:rPr>
                <w:rFonts w:hint="default" w:ascii="Times New Roman" w:hAnsi="Times New Roman" w:eastAsia="宋体" w:cs="Times New Roman"/>
                <w:i w:val="0"/>
                <w:iCs w:val="0"/>
                <w:color w:val="000000"/>
                <w:sz w:val="24"/>
                <w:szCs w:val="24"/>
                <w:u w:val="none"/>
              </w:rPr>
            </w:pPr>
          </w:p>
        </w:tc>
        <w:tc>
          <w:tcPr>
            <w:tcW w:w="0" w:type="auto"/>
            <w:tcBorders>
              <w:top w:val="single" w:color="auto" w:sz="4" w:space="0"/>
              <w:left w:val="nil"/>
              <w:bottom w:val="nil"/>
              <w:right w:val="nil"/>
            </w:tcBorders>
            <w:shd w:val="clear" w:color="auto" w:fill="auto"/>
            <w:noWrap/>
            <w:vAlign w:val="center"/>
          </w:tcPr>
          <w:p>
            <w:pPr>
              <w:keepNext w:val="0"/>
              <w:keepLines w:val="0"/>
              <w:suppressLineNumbers w:val="0"/>
              <w:spacing w:before="0" w:beforeAutospacing="0" w:after="0" w:afterAutospacing="0"/>
              <w:ind w:left="0" w:right="0"/>
              <w:rPr>
                <w:rFonts w:hint="default" w:ascii="Times New Roman" w:hAnsi="Times New Roman" w:eastAsia="宋体" w:cs="Times New Roman"/>
                <w:i w:val="0"/>
                <w:iCs w:val="0"/>
                <w:color w:val="000000"/>
                <w:sz w:val="24"/>
                <w:szCs w:val="24"/>
                <w:u w:val="none"/>
              </w:rPr>
            </w:pPr>
          </w:p>
        </w:tc>
        <w:tc>
          <w:tcPr>
            <w:tcW w:w="0" w:type="auto"/>
            <w:tcBorders>
              <w:top w:val="single" w:color="auto" w:sz="4" w:space="0"/>
              <w:left w:val="nil"/>
              <w:bottom w:val="nil"/>
              <w:right w:val="nil"/>
            </w:tcBorders>
            <w:shd w:val="clear" w:color="auto" w:fill="auto"/>
            <w:noWrap/>
            <w:vAlign w:val="center"/>
          </w:tcPr>
          <w:p>
            <w:pPr>
              <w:keepNext w:val="0"/>
              <w:keepLines w:val="0"/>
              <w:suppressLineNumbers w:val="0"/>
              <w:spacing w:before="0" w:beforeAutospacing="0" w:after="0" w:afterAutospacing="0"/>
              <w:ind w:left="0" w:right="0"/>
              <w:rPr>
                <w:rFonts w:hint="default" w:ascii="Times New Roman" w:hAnsi="Times New Roman" w:eastAsia="宋体" w:cs="Times New Roman"/>
                <w:i w:val="0"/>
                <w:iCs w:val="0"/>
                <w:color w:val="000000"/>
                <w:sz w:val="24"/>
                <w:szCs w:val="24"/>
                <w:u w:val="none"/>
              </w:rPr>
            </w:pPr>
          </w:p>
        </w:tc>
        <w:tc>
          <w:tcPr>
            <w:tcW w:w="0" w:type="auto"/>
            <w:tcBorders>
              <w:top w:val="single" w:color="auto" w:sz="4" w:space="0"/>
              <w:left w:val="nil"/>
              <w:bottom w:val="nil"/>
              <w:right w:val="nil"/>
            </w:tcBorders>
            <w:shd w:val="clear" w:color="auto" w:fill="auto"/>
            <w:noWrap/>
            <w:vAlign w:val="center"/>
          </w:tcPr>
          <w:p>
            <w:pPr>
              <w:keepNext w:val="0"/>
              <w:keepLines w:val="0"/>
              <w:suppressLineNumbers w:val="0"/>
              <w:spacing w:before="0" w:beforeAutospacing="0" w:after="0" w:afterAutospacing="0"/>
              <w:ind w:left="0" w:right="0"/>
              <w:rPr>
                <w:rFonts w:hint="default" w:ascii="Times New Roman" w:hAnsi="Times New Roman" w:eastAsia="宋体" w:cs="Times New Roman"/>
                <w:i w:val="0"/>
                <w:iCs w:val="0"/>
                <w:color w:val="000000"/>
                <w:sz w:val="24"/>
                <w:szCs w:val="24"/>
                <w:u w:val="none"/>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0" w:type="auto"/>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 xml:space="preserve">  female</w:t>
            </w:r>
          </w:p>
        </w:tc>
        <w:tc>
          <w:tcPr>
            <w:tcW w:w="0" w:type="auto"/>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-0.39 ± 0.29</w:t>
            </w:r>
          </w:p>
        </w:tc>
        <w:tc>
          <w:tcPr>
            <w:tcW w:w="0" w:type="auto"/>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0.13 ± 0.24</w:t>
            </w:r>
          </w:p>
        </w:tc>
        <w:tc>
          <w:tcPr>
            <w:tcW w:w="0" w:type="auto"/>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0.96 ± 0.16</w:t>
            </w:r>
          </w:p>
        </w:tc>
        <w:tc>
          <w:tcPr>
            <w:tcW w:w="0" w:type="auto"/>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-0.03 ± 0.42</w:t>
            </w:r>
          </w:p>
        </w:tc>
        <w:tc>
          <w:tcPr>
            <w:tcW w:w="0" w:type="auto"/>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2.28 ± 0.07</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0" w:type="auto"/>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 xml:space="preserve">  male</w:t>
            </w:r>
          </w:p>
        </w:tc>
        <w:tc>
          <w:tcPr>
            <w:tcW w:w="0" w:type="auto"/>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-0.43 ± 0.31</w:t>
            </w:r>
          </w:p>
        </w:tc>
        <w:tc>
          <w:tcPr>
            <w:tcW w:w="0" w:type="auto"/>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0.24 ± 0.27</w:t>
            </w:r>
          </w:p>
        </w:tc>
        <w:tc>
          <w:tcPr>
            <w:tcW w:w="0" w:type="auto"/>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0.92 ± 0.15</w:t>
            </w:r>
          </w:p>
        </w:tc>
        <w:tc>
          <w:tcPr>
            <w:tcW w:w="0" w:type="auto"/>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0.00 ± 0.45</w:t>
            </w:r>
          </w:p>
        </w:tc>
        <w:tc>
          <w:tcPr>
            <w:tcW w:w="0" w:type="auto"/>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2.29 ± 0.06</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0" w:type="auto"/>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Age group, n (%)</w:t>
            </w:r>
          </w:p>
        </w:tc>
        <w:tc>
          <w:tcPr>
            <w:tcW w:w="0" w:type="auto"/>
            <w:tcBorders>
              <w:top w:val="nil"/>
              <w:left w:val="nil"/>
              <w:bottom w:val="nil"/>
              <w:right w:val="nil"/>
            </w:tcBorders>
            <w:shd w:val="clear" w:color="auto" w:fill="auto"/>
            <w:noWrap/>
            <w:vAlign w:val="center"/>
          </w:tcPr>
          <w:p>
            <w:pPr>
              <w:keepNext w:val="0"/>
              <w:keepLines w:val="0"/>
              <w:suppressLineNumbers w:val="0"/>
              <w:spacing w:before="0" w:beforeAutospacing="0" w:after="0" w:afterAutospacing="0"/>
              <w:ind w:left="0" w:right="0"/>
              <w:rPr>
                <w:rFonts w:hint="default" w:ascii="Times New Roman" w:hAnsi="Times New Roman" w:eastAsia="宋体" w:cs="Times New Roman"/>
                <w:i w:val="0"/>
                <w:iCs w:val="0"/>
                <w:color w:val="000000"/>
                <w:sz w:val="24"/>
                <w:szCs w:val="24"/>
                <w:u w:val="none"/>
              </w:rPr>
            </w:pPr>
          </w:p>
        </w:tc>
        <w:tc>
          <w:tcPr>
            <w:tcW w:w="0" w:type="auto"/>
            <w:tcBorders>
              <w:top w:val="nil"/>
              <w:left w:val="nil"/>
              <w:bottom w:val="nil"/>
              <w:right w:val="nil"/>
            </w:tcBorders>
            <w:shd w:val="clear" w:color="auto" w:fill="auto"/>
            <w:noWrap/>
            <w:vAlign w:val="center"/>
          </w:tcPr>
          <w:p>
            <w:pPr>
              <w:keepNext w:val="0"/>
              <w:keepLines w:val="0"/>
              <w:suppressLineNumbers w:val="0"/>
              <w:spacing w:before="0" w:beforeAutospacing="0" w:after="0" w:afterAutospacing="0"/>
              <w:ind w:left="0" w:right="0"/>
              <w:rPr>
                <w:rFonts w:hint="default" w:ascii="Times New Roman" w:hAnsi="Times New Roman" w:eastAsia="宋体" w:cs="Times New Roman"/>
                <w:i w:val="0"/>
                <w:iCs w:val="0"/>
                <w:color w:val="000000"/>
                <w:sz w:val="24"/>
                <w:szCs w:val="24"/>
                <w:u w:val="none"/>
              </w:rPr>
            </w:pPr>
          </w:p>
        </w:tc>
        <w:tc>
          <w:tcPr>
            <w:tcW w:w="0" w:type="auto"/>
            <w:tcBorders>
              <w:top w:val="nil"/>
              <w:left w:val="nil"/>
              <w:bottom w:val="nil"/>
              <w:right w:val="nil"/>
            </w:tcBorders>
            <w:shd w:val="clear" w:color="auto" w:fill="auto"/>
            <w:noWrap/>
            <w:vAlign w:val="center"/>
          </w:tcPr>
          <w:p>
            <w:pPr>
              <w:keepNext w:val="0"/>
              <w:keepLines w:val="0"/>
              <w:suppressLineNumbers w:val="0"/>
              <w:spacing w:before="0" w:beforeAutospacing="0" w:after="0" w:afterAutospacing="0"/>
              <w:ind w:left="0" w:right="0"/>
              <w:rPr>
                <w:rFonts w:hint="default" w:ascii="Times New Roman" w:hAnsi="Times New Roman" w:eastAsia="宋体" w:cs="Times New Roman"/>
                <w:i w:val="0"/>
                <w:iCs w:val="0"/>
                <w:color w:val="000000"/>
                <w:sz w:val="24"/>
                <w:szCs w:val="24"/>
                <w:u w:val="none"/>
              </w:rPr>
            </w:pPr>
          </w:p>
        </w:tc>
        <w:tc>
          <w:tcPr>
            <w:tcW w:w="0" w:type="auto"/>
            <w:tcBorders>
              <w:top w:val="nil"/>
              <w:left w:val="nil"/>
              <w:bottom w:val="nil"/>
              <w:right w:val="nil"/>
            </w:tcBorders>
            <w:shd w:val="clear" w:color="auto" w:fill="auto"/>
            <w:noWrap/>
            <w:vAlign w:val="center"/>
          </w:tcPr>
          <w:p>
            <w:pPr>
              <w:keepNext w:val="0"/>
              <w:keepLines w:val="0"/>
              <w:suppressLineNumbers w:val="0"/>
              <w:spacing w:before="0" w:beforeAutospacing="0" w:after="0" w:afterAutospacing="0"/>
              <w:ind w:left="0" w:right="0"/>
              <w:rPr>
                <w:rFonts w:hint="default" w:ascii="Times New Roman" w:hAnsi="Times New Roman" w:eastAsia="宋体" w:cs="Times New Roman"/>
                <w:i w:val="0"/>
                <w:iCs w:val="0"/>
                <w:color w:val="000000"/>
                <w:sz w:val="24"/>
                <w:szCs w:val="24"/>
                <w:u w:val="none"/>
              </w:rPr>
            </w:pPr>
          </w:p>
        </w:tc>
        <w:tc>
          <w:tcPr>
            <w:tcW w:w="0" w:type="auto"/>
            <w:tcBorders>
              <w:top w:val="nil"/>
              <w:left w:val="nil"/>
              <w:bottom w:val="nil"/>
              <w:right w:val="nil"/>
            </w:tcBorders>
            <w:shd w:val="clear" w:color="auto" w:fill="auto"/>
            <w:noWrap/>
            <w:vAlign w:val="center"/>
          </w:tcPr>
          <w:p>
            <w:pPr>
              <w:keepNext w:val="0"/>
              <w:keepLines w:val="0"/>
              <w:suppressLineNumbers w:val="0"/>
              <w:spacing w:before="0" w:beforeAutospacing="0" w:after="0" w:afterAutospacing="0"/>
              <w:ind w:left="0" w:right="0"/>
              <w:rPr>
                <w:rFonts w:hint="default" w:ascii="Times New Roman" w:hAnsi="Times New Roman" w:eastAsia="宋体" w:cs="Times New Roman"/>
                <w:i w:val="0"/>
                <w:iCs w:val="0"/>
                <w:color w:val="000000"/>
                <w:sz w:val="24"/>
                <w:szCs w:val="24"/>
                <w:u w:val="none"/>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0" w:type="auto"/>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 xml:space="preserve">  60-69 years</w:t>
            </w:r>
          </w:p>
        </w:tc>
        <w:tc>
          <w:tcPr>
            <w:tcW w:w="0" w:type="auto"/>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-0.42 ± 0.32</w:t>
            </w:r>
          </w:p>
        </w:tc>
        <w:tc>
          <w:tcPr>
            <w:tcW w:w="0" w:type="auto"/>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0.17 ± 0.26</w:t>
            </w:r>
          </w:p>
        </w:tc>
        <w:tc>
          <w:tcPr>
            <w:tcW w:w="0" w:type="auto"/>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0.94 ± 0.15</w:t>
            </w:r>
          </w:p>
        </w:tc>
        <w:tc>
          <w:tcPr>
            <w:tcW w:w="0" w:type="auto"/>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0.00 ± 0.43</w:t>
            </w:r>
          </w:p>
        </w:tc>
        <w:tc>
          <w:tcPr>
            <w:tcW w:w="0" w:type="auto"/>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2.29 ± 0.06</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0" w:type="auto"/>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 xml:space="preserve">  70-79 years</w:t>
            </w:r>
          </w:p>
        </w:tc>
        <w:tc>
          <w:tcPr>
            <w:tcW w:w="0" w:type="auto"/>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-0.39 ± 0.30</w:t>
            </w:r>
          </w:p>
        </w:tc>
        <w:tc>
          <w:tcPr>
            <w:tcW w:w="0" w:type="auto"/>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0.18 ± 0.25</w:t>
            </w:r>
          </w:p>
        </w:tc>
        <w:tc>
          <w:tcPr>
            <w:tcW w:w="0" w:type="auto"/>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0.95 ± 0.15</w:t>
            </w:r>
          </w:p>
        </w:tc>
        <w:tc>
          <w:tcPr>
            <w:tcW w:w="0" w:type="auto"/>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-0.01 ± 0.44</w:t>
            </w:r>
          </w:p>
        </w:tc>
        <w:tc>
          <w:tcPr>
            <w:tcW w:w="0" w:type="auto"/>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2.29 ± 0.06</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0" w:type="auto"/>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 xml:space="preserve">  80+ years</w:t>
            </w:r>
          </w:p>
        </w:tc>
        <w:tc>
          <w:tcPr>
            <w:tcW w:w="0" w:type="auto"/>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-0.39 ± 0.27</w:t>
            </w:r>
          </w:p>
        </w:tc>
        <w:tc>
          <w:tcPr>
            <w:tcW w:w="0" w:type="auto"/>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0.23 ± 0.25</w:t>
            </w:r>
          </w:p>
        </w:tc>
        <w:tc>
          <w:tcPr>
            <w:tcW w:w="0" w:type="auto"/>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0.93 ± 0.17</w:t>
            </w:r>
          </w:p>
        </w:tc>
        <w:tc>
          <w:tcPr>
            <w:tcW w:w="0" w:type="auto"/>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-0.05 ± 0.45</w:t>
            </w:r>
          </w:p>
        </w:tc>
        <w:tc>
          <w:tcPr>
            <w:tcW w:w="0" w:type="auto"/>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2.28 ± 0.07</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0" w:type="auto"/>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Race, n (%)</w:t>
            </w:r>
          </w:p>
        </w:tc>
        <w:tc>
          <w:tcPr>
            <w:tcW w:w="0" w:type="auto"/>
            <w:tcBorders>
              <w:top w:val="nil"/>
              <w:left w:val="nil"/>
              <w:bottom w:val="nil"/>
              <w:right w:val="nil"/>
            </w:tcBorders>
            <w:shd w:val="clear" w:color="auto" w:fill="auto"/>
            <w:noWrap/>
            <w:vAlign w:val="center"/>
          </w:tcPr>
          <w:p>
            <w:pPr>
              <w:keepNext w:val="0"/>
              <w:keepLines w:val="0"/>
              <w:suppressLineNumbers w:val="0"/>
              <w:spacing w:before="0" w:beforeAutospacing="0" w:after="0" w:afterAutospacing="0"/>
              <w:ind w:left="0" w:right="0"/>
              <w:rPr>
                <w:rFonts w:hint="default" w:ascii="Times New Roman" w:hAnsi="Times New Roman" w:eastAsia="宋体" w:cs="Times New Roman"/>
                <w:i w:val="0"/>
                <w:iCs w:val="0"/>
                <w:color w:val="000000"/>
                <w:sz w:val="24"/>
                <w:szCs w:val="24"/>
                <w:u w:val="none"/>
              </w:rPr>
            </w:pPr>
          </w:p>
        </w:tc>
        <w:tc>
          <w:tcPr>
            <w:tcW w:w="0" w:type="auto"/>
            <w:tcBorders>
              <w:top w:val="nil"/>
              <w:left w:val="nil"/>
              <w:bottom w:val="nil"/>
              <w:right w:val="nil"/>
            </w:tcBorders>
            <w:shd w:val="clear" w:color="auto" w:fill="auto"/>
            <w:noWrap/>
            <w:vAlign w:val="center"/>
          </w:tcPr>
          <w:p>
            <w:pPr>
              <w:keepNext w:val="0"/>
              <w:keepLines w:val="0"/>
              <w:suppressLineNumbers w:val="0"/>
              <w:spacing w:before="0" w:beforeAutospacing="0" w:after="0" w:afterAutospacing="0"/>
              <w:ind w:left="0" w:right="0"/>
              <w:rPr>
                <w:rFonts w:hint="default" w:ascii="Times New Roman" w:hAnsi="Times New Roman" w:eastAsia="宋体" w:cs="Times New Roman"/>
                <w:i w:val="0"/>
                <w:iCs w:val="0"/>
                <w:color w:val="000000"/>
                <w:sz w:val="24"/>
                <w:szCs w:val="24"/>
                <w:u w:val="none"/>
              </w:rPr>
            </w:pPr>
          </w:p>
        </w:tc>
        <w:tc>
          <w:tcPr>
            <w:tcW w:w="0" w:type="auto"/>
            <w:tcBorders>
              <w:top w:val="nil"/>
              <w:left w:val="nil"/>
              <w:bottom w:val="nil"/>
              <w:right w:val="nil"/>
            </w:tcBorders>
            <w:shd w:val="clear" w:color="auto" w:fill="auto"/>
            <w:noWrap/>
            <w:vAlign w:val="center"/>
          </w:tcPr>
          <w:p>
            <w:pPr>
              <w:keepNext w:val="0"/>
              <w:keepLines w:val="0"/>
              <w:suppressLineNumbers w:val="0"/>
              <w:spacing w:before="0" w:beforeAutospacing="0" w:after="0" w:afterAutospacing="0"/>
              <w:ind w:left="0" w:right="0"/>
              <w:rPr>
                <w:rFonts w:hint="default" w:ascii="Times New Roman" w:hAnsi="Times New Roman" w:eastAsia="宋体" w:cs="Times New Roman"/>
                <w:i w:val="0"/>
                <w:iCs w:val="0"/>
                <w:color w:val="000000"/>
                <w:sz w:val="24"/>
                <w:szCs w:val="24"/>
                <w:u w:val="none"/>
              </w:rPr>
            </w:pPr>
          </w:p>
        </w:tc>
        <w:tc>
          <w:tcPr>
            <w:tcW w:w="0" w:type="auto"/>
            <w:tcBorders>
              <w:top w:val="nil"/>
              <w:left w:val="nil"/>
              <w:bottom w:val="nil"/>
              <w:right w:val="nil"/>
            </w:tcBorders>
            <w:shd w:val="clear" w:color="auto" w:fill="auto"/>
            <w:noWrap/>
            <w:vAlign w:val="center"/>
          </w:tcPr>
          <w:p>
            <w:pPr>
              <w:keepNext w:val="0"/>
              <w:keepLines w:val="0"/>
              <w:suppressLineNumbers w:val="0"/>
              <w:spacing w:before="0" w:beforeAutospacing="0" w:after="0" w:afterAutospacing="0"/>
              <w:ind w:left="0" w:right="0"/>
              <w:rPr>
                <w:rFonts w:hint="default" w:ascii="Times New Roman" w:hAnsi="Times New Roman" w:eastAsia="宋体" w:cs="Times New Roman"/>
                <w:i w:val="0"/>
                <w:iCs w:val="0"/>
                <w:color w:val="000000"/>
                <w:sz w:val="24"/>
                <w:szCs w:val="24"/>
                <w:u w:val="none"/>
              </w:rPr>
            </w:pPr>
          </w:p>
        </w:tc>
        <w:tc>
          <w:tcPr>
            <w:tcW w:w="0" w:type="auto"/>
            <w:tcBorders>
              <w:top w:val="nil"/>
              <w:left w:val="nil"/>
              <w:bottom w:val="nil"/>
              <w:right w:val="nil"/>
            </w:tcBorders>
            <w:shd w:val="clear" w:color="auto" w:fill="auto"/>
            <w:noWrap/>
            <w:vAlign w:val="center"/>
          </w:tcPr>
          <w:p>
            <w:pPr>
              <w:keepNext w:val="0"/>
              <w:keepLines w:val="0"/>
              <w:suppressLineNumbers w:val="0"/>
              <w:spacing w:before="0" w:beforeAutospacing="0" w:after="0" w:afterAutospacing="0"/>
              <w:ind w:left="0" w:right="0"/>
              <w:rPr>
                <w:rFonts w:hint="default" w:ascii="Times New Roman" w:hAnsi="Times New Roman" w:eastAsia="宋体" w:cs="Times New Roman"/>
                <w:i w:val="0"/>
                <w:iCs w:val="0"/>
                <w:color w:val="000000"/>
                <w:sz w:val="24"/>
                <w:szCs w:val="24"/>
                <w:u w:val="none"/>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0" w:type="auto"/>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 xml:space="preserve">  Mexican American</w:t>
            </w:r>
          </w:p>
        </w:tc>
        <w:tc>
          <w:tcPr>
            <w:tcW w:w="0" w:type="auto"/>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-0.49 ± 0.26</w:t>
            </w:r>
          </w:p>
        </w:tc>
        <w:tc>
          <w:tcPr>
            <w:tcW w:w="0" w:type="auto"/>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0.08 ± 0.26</w:t>
            </w:r>
          </w:p>
        </w:tc>
        <w:tc>
          <w:tcPr>
            <w:tcW w:w="0" w:type="auto"/>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0.95 ± 0.13</w:t>
            </w:r>
          </w:p>
        </w:tc>
        <w:tc>
          <w:tcPr>
            <w:tcW w:w="0" w:type="auto"/>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-0.25 ± 0.38</w:t>
            </w:r>
          </w:p>
        </w:tc>
        <w:tc>
          <w:tcPr>
            <w:tcW w:w="0" w:type="auto"/>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2.30 ± 0.06</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0" w:type="auto"/>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 xml:space="preserve">  Non-Hispanic Black</w:t>
            </w:r>
          </w:p>
        </w:tc>
        <w:tc>
          <w:tcPr>
            <w:tcW w:w="0" w:type="auto"/>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-0.40 ± 0.32</w:t>
            </w:r>
          </w:p>
        </w:tc>
        <w:tc>
          <w:tcPr>
            <w:tcW w:w="0" w:type="auto"/>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0.25 ± 0.27</w:t>
            </w:r>
          </w:p>
        </w:tc>
        <w:tc>
          <w:tcPr>
            <w:tcW w:w="0" w:type="auto"/>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0.89 ± 0.16</w:t>
            </w:r>
          </w:p>
        </w:tc>
        <w:tc>
          <w:tcPr>
            <w:tcW w:w="0" w:type="auto"/>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-0.01 ± 0.40</w:t>
            </w:r>
          </w:p>
        </w:tc>
        <w:tc>
          <w:tcPr>
            <w:tcW w:w="0" w:type="auto"/>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2.28 ± 0.06</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0" w:type="auto"/>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 xml:space="preserve">  Non-Hispanic White</w:t>
            </w:r>
          </w:p>
        </w:tc>
        <w:tc>
          <w:tcPr>
            <w:tcW w:w="0" w:type="auto"/>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-0.42 ± 0.30</w:t>
            </w:r>
          </w:p>
        </w:tc>
        <w:tc>
          <w:tcPr>
            <w:tcW w:w="0" w:type="auto"/>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0.19 ± 0.24</w:t>
            </w:r>
          </w:p>
        </w:tc>
        <w:tc>
          <w:tcPr>
            <w:tcW w:w="0" w:type="auto"/>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0.94 ± 0.16</w:t>
            </w:r>
          </w:p>
        </w:tc>
        <w:tc>
          <w:tcPr>
            <w:tcW w:w="0" w:type="auto"/>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-0.05 ± 0.43</w:t>
            </w:r>
          </w:p>
        </w:tc>
        <w:tc>
          <w:tcPr>
            <w:tcW w:w="0" w:type="auto"/>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2.29 ± 0.07</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0" w:type="auto"/>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 xml:space="preserve">  Other Hispanic</w:t>
            </w:r>
          </w:p>
        </w:tc>
        <w:tc>
          <w:tcPr>
            <w:tcW w:w="0" w:type="auto"/>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-0.44 ± 0.28</w:t>
            </w:r>
          </w:p>
        </w:tc>
        <w:tc>
          <w:tcPr>
            <w:tcW w:w="0" w:type="auto"/>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0.12 ± 0.25</w:t>
            </w:r>
          </w:p>
        </w:tc>
        <w:tc>
          <w:tcPr>
            <w:tcW w:w="0" w:type="auto"/>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0.97 ± 0.16</w:t>
            </w:r>
          </w:p>
        </w:tc>
        <w:tc>
          <w:tcPr>
            <w:tcW w:w="0" w:type="auto"/>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0.08 ± 0.38</w:t>
            </w:r>
          </w:p>
        </w:tc>
        <w:tc>
          <w:tcPr>
            <w:tcW w:w="0" w:type="auto"/>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2.29 ± 0.06</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0" w:type="auto"/>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 xml:space="preserve">  Other/multiracial</w:t>
            </w:r>
          </w:p>
        </w:tc>
        <w:tc>
          <w:tcPr>
            <w:tcW w:w="0" w:type="auto"/>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-0.27 ± 0.28</w:t>
            </w:r>
          </w:p>
        </w:tc>
        <w:tc>
          <w:tcPr>
            <w:tcW w:w="0" w:type="auto"/>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0.19 ± 0.25</w:t>
            </w:r>
          </w:p>
        </w:tc>
        <w:tc>
          <w:tcPr>
            <w:tcW w:w="0" w:type="auto"/>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1.04 ± 0.13</w:t>
            </w:r>
          </w:p>
        </w:tc>
        <w:tc>
          <w:tcPr>
            <w:tcW w:w="0" w:type="auto"/>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0.32 ± 0.49</w:t>
            </w:r>
          </w:p>
        </w:tc>
        <w:tc>
          <w:tcPr>
            <w:tcW w:w="0" w:type="auto"/>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2.30 ± 0.06</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0" w:type="auto"/>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Education attainment, n (%)</w:t>
            </w:r>
          </w:p>
        </w:tc>
        <w:tc>
          <w:tcPr>
            <w:tcW w:w="0" w:type="auto"/>
            <w:tcBorders>
              <w:top w:val="nil"/>
              <w:left w:val="nil"/>
              <w:bottom w:val="nil"/>
              <w:right w:val="nil"/>
            </w:tcBorders>
            <w:shd w:val="clear" w:color="auto" w:fill="auto"/>
            <w:noWrap/>
            <w:vAlign w:val="center"/>
          </w:tcPr>
          <w:p>
            <w:pPr>
              <w:keepNext w:val="0"/>
              <w:keepLines w:val="0"/>
              <w:suppressLineNumbers w:val="0"/>
              <w:spacing w:before="0" w:beforeAutospacing="0" w:after="0" w:afterAutospacing="0"/>
              <w:ind w:left="0" w:right="0"/>
              <w:rPr>
                <w:rFonts w:hint="default" w:ascii="Times New Roman" w:hAnsi="Times New Roman" w:eastAsia="宋体" w:cs="Times New Roman"/>
                <w:i w:val="0"/>
                <w:iCs w:val="0"/>
                <w:color w:val="000000"/>
                <w:sz w:val="24"/>
                <w:szCs w:val="24"/>
                <w:u w:val="none"/>
              </w:rPr>
            </w:pPr>
          </w:p>
        </w:tc>
        <w:tc>
          <w:tcPr>
            <w:tcW w:w="0" w:type="auto"/>
            <w:tcBorders>
              <w:top w:val="nil"/>
              <w:left w:val="nil"/>
              <w:bottom w:val="nil"/>
              <w:right w:val="nil"/>
            </w:tcBorders>
            <w:shd w:val="clear" w:color="auto" w:fill="auto"/>
            <w:noWrap/>
            <w:vAlign w:val="center"/>
          </w:tcPr>
          <w:p>
            <w:pPr>
              <w:keepNext w:val="0"/>
              <w:keepLines w:val="0"/>
              <w:suppressLineNumbers w:val="0"/>
              <w:spacing w:before="0" w:beforeAutospacing="0" w:after="0" w:afterAutospacing="0"/>
              <w:ind w:left="0" w:right="0"/>
              <w:rPr>
                <w:rFonts w:hint="default" w:ascii="Times New Roman" w:hAnsi="Times New Roman" w:eastAsia="宋体" w:cs="Times New Roman"/>
                <w:i w:val="0"/>
                <w:iCs w:val="0"/>
                <w:color w:val="000000"/>
                <w:sz w:val="24"/>
                <w:szCs w:val="24"/>
                <w:u w:val="none"/>
              </w:rPr>
            </w:pPr>
          </w:p>
        </w:tc>
        <w:tc>
          <w:tcPr>
            <w:tcW w:w="0" w:type="auto"/>
            <w:tcBorders>
              <w:top w:val="nil"/>
              <w:left w:val="nil"/>
              <w:bottom w:val="nil"/>
              <w:right w:val="nil"/>
            </w:tcBorders>
            <w:shd w:val="clear" w:color="auto" w:fill="auto"/>
            <w:noWrap/>
            <w:vAlign w:val="center"/>
          </w:tcPr>
          <w:p>
            <w:pPr>
              <w:keepNext w:val="0"/>
              <w:keepLines w:val="0"/>
              <w:suppressLineNumbers w:val="0"/>
              <w:spacing w:before="0" w:beforeAutospacing="0" w:after="0" w:afterAutospacing="0"/>
              <w:ind w:left="0" w:right="0"/>
              <w:rPr>
                <w:rFonts w:hint="default" w:ascii="Times New Roman" w:hAnsi="Times New Roman" w:eastAsia="宋体" w:cs="Times New Roman"/>
                <w:i w:val="0"/>
                <w:iCs w:val="0"/>
                <w:color w:val="000000"/>
                <w:sz w:val="24"/>
                <w:szCs w:val="24"/>
                <w:u w:val="none"/>
              </w:rPr>
            </w:pPr>
          </w:p>
        </w:tc>
        <w:tc>
          <w:tcPr>
            <w:tcW w:w="0" w:type="auto"/>
            <w:tcBorders>
              <w:top w:val="nil"/>
              <w:left w:val="nil"/>
              <w:bottom w:val="nil"/>
              <w:right w:val="nil"/>
            </w:tcBorders>
            <w:shd w:val="clear" w:color="auto" w:fill="auto"/>
            <w:noWrap/>
            <w:vAlign w:val="center"/>
          </w:tcPr>
          <w:p>
            <w:pPr>
              <w:keepNext w:val="0"/>
              <w:keepLines w:val="0"/>
              <w:suppressLineNumbers w:val="0"/>
              <w:spacing w:before="0" w:beforeAutospacing="0" w:after="0" w:afterAutospacing="0"/>
              <w:ind w:left="0" w:right="0"/>
              <w:rPr>
                <w:rFonts w:hint="default" w:ascii="Times New Roman" w:hAnsi="Times New Roman" w:eastAsia="宋体" w:cs="Times New Roman"/>
                <w:i w:val="0"/>
                <w:iCs w:val="0"/>
                <w:color w:val="000000"/>
                <w:sz w:val="24"/>
                <w:szCs w:val="24"/>
                <w:u w:val="none"/>
              </w:rPr>
            </w:pPr>
          </w:p>
        </w:tc>
        <w:tc>
          <w:tcPr>
            <w:tcW w:w="0" w:type="auto"/>
            <w:tcBorders>
              <w:top w:val="nil"/>
              <w:left w:val="nil"/>
              <w:bottom w:val="nil"/>
              <w:right w:val="nil"/>
            </w:tcBorders>
            <w:shd w:val="clear" w:color="auto" w:fill="auto"/>
            <w:noWrap/>
            <w:vAlign w:val="center"/>
          </w:tcPr>
          <w:p>
            <w:pPr>
              <w:keepNext w:val="0"/>
              <w:keepLines w:val="0"/>
              <w:suppressLineNumbers w:val="0"/>
              <w:spacing w:before="0" w:beforeAutospacing="0" w:after="0" w:afterAutospacing="0"/>
              <w:ind w:left="0" w:right="0"/>
              <w:rPr>
                <w:rFonts w:hint="default" w:ascii="Times New Roman" w:hAnsi="Times New Roman" w:eastAsia="宋体" w:cs="Times New Roman"/>
                <w:i w:val="0"/>
                <w:iCs w:val="0"/>
                <w:color w:val="000000"/>
                <w:sz w:val="24"/>
                <w:szCs w:val="24"/>
                <w:u w:val="none"/>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0" w:type="auto"/>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 xml:space="preserve">  Less Than 9th Grade</w:t>
            </w:r>
          </w:p>
        </w:tc>
        <w:tc>
          <w:tcPr>
            <w:tcW w:w="0" w:type="auto"/>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-0.39 ± 0.30</w:t>
            </w:r>
          </w:p>
        </w:tc>
        <w:tc>
          <w:tcPr>
            <w:tcW w:w="0" w:type="auto"/>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0.19 ± 0.31</w:t>
            </w:r>
          </w:p>
        </w:tc>
        <w:tc>
          <w:tcPr>
            <w:tcW w:w="0" w:type="auto"/>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0.93 ± 0.16</w:t>
            </w:r>
          </w:p>
        </w:tc>
        <w:tc>
          <w:tcPr>
            <w:tcW w:w="0" w:type="auto"/>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-0.17 ± 0.42</w:t>
            </w:r>
          </w:p>
        </w:tc>
        <w:tc>
          <w:tcPr>
            <w:tcW w:w="0" w:type="auto"/>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2.28 ± 0.06</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0" w:type="auto"/>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 xml:space="preserve">  9-11th Grade</w:t>
            </w:r>
          </w:p>
        </w:tc>
        <w:tc>
          <w:tcPr>
            <w:tcW w:w="0" w:type="auto"/>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-0.35 ± 0.33</w:t>
            </w:r>
          </w:p>
        </w:tc>
        <w:tc>
          <w:tcPr>
            <w:tcW w:w="0" w:type="auto"/>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0.23 ± 0.27</w:t>
            </w:r>
          </w:p>
        </w:tc>
        <w:tc>
          <w:tcPr>
            <w:tcW w:w="0" w:type="auto"/>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0.94 ± 0.16</w:t>
            </w:r>
          </w:p>
        </w:tc>
        <w:tc>
          <w:tcPr>
            <w:tcW w:w="0" w:type="auto"/>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-0.07 ± 0.44</w:t>
            </w:r>
          </w:p>
        </w:tc>
        <w:tc>
          <w:tcPr>
            <w:tcW w:w="0" w:type="auto"/>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2.28 ± 0.07</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0" w:type="auto"/>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 xml:space="preserve">  High School Grad/GED</w:t>
            </w:r>
          </w:p>
        </w:tc>
        <w:tc>
          <w:tcPr>
            <w:tcW w:w="0" w:type="auto"/>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-0.40 ± 0.32</w:t>
            </w:r>
          </w:p>
        </w:tc>
        <w:tc>
          <w:tcPr>
            <w:tcW w:w="0" w:type="auto"/>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0.19 ± 0.26</w:t>
            </w:r>
          </w:p>
        </w:tc>
        <w:tc>
          <w:tcPr>
            <w:tcW w:w="0" w:type="auto"/>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0.93 ± 0.17</w:t>
            </w:r>
          </w:p>
        </w:tc>
        <w:tc>
          <w:tcPr>
            <w:tcW w:w="0" w:type="auto"/>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-0.08 ± 0.42</w:t>
            </w:r>
          </w:p>
        </w:tc>
        <w:tc>
          <w:tcPr>
            <w:tcW w:w="0" w:type="auto"/>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2.28 ± 0.06</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0" w:type="auto"/>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 xml:space="preserve">  Some College or AA degree</w:t>
            </w:r>
          </w:p>
        </w:tc>
        <w:tc>
          <w:tcPr>
            <w:tcW w:w="0" w:type="auto"/>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-0.41 ± 0.30</w:t>
            </w:r>
          </w:p>
        </w:tc>
        <w:tc>
          <w:tcPr>
            <w:tcW w:w="0" w:type="auto"/>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0.17 ± 0.24</w:t>
            </w:r>
          </w:p>
        </w:tc>
        <w:tc>
          <w:tcPr>
            <w:tcW w:w="0" w:type="auto"/>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0.94 ± 0.15</w:t>
            </w:r>
          </w:p>
        </w:tc>
        <w:tc>
          <w:tcPr>
            <w:tcW w:w="0" w:type="auto"/>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-0.04 ± 0.40</w:t>
            </w:r>
          </w:p>
        </w:tc>
        <w:tc>
          <w:tcPr>
            <w:tcW w:w="0" w:type="auto"/>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2.29 ± 0.06</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0" w:type="auto"/>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 xml:space="preserve">  College Graduate or above</w:t>
            </w:r>
          </w:p>
        </w:tc>
        <w:tc>
          <w:tcPr>
            <w:tcW w:w="0" w:type="auto"/>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-0.45 ± 0.26</w:t>
            </w:r>
          </w:p>
        </w:tc>
        <w:tc>
          <w:tcPr>
            <w:tcW w:w="0" w:type="auto"/>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0.19 ± 0.24</w:t>
            </w:r>
          </w:p>
        </w:tc>
        <w:tc>
          <w:tcPr>
            <w:tcW w:w="0" w:type="auto"/>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0.97 ± 0.15</w:t>
            </w:r>
          </w:p>
        </w:tc>
        <w:tc>
          <w:tcPr>
            <w:tcW w:w="0" w:type="auto"/>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0.19 ± 0.44</w:t>
            </w:r>
          </w:p>
        </w:tc>
        <w:tc>
          <w:tcPr>
            <w:tcW w:w="0" w:type="auto"/>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2.29 ± 0.06</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0" w:type="auto"/>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Income status, n (%)</w:t>
            </w:r>
          </w:p>
        </w:tc>
        <w:tc>
          <w:tcPr>
            <w:tcW w:w="0" w:type="auto"/>
            <w:tcBorders>
              <w:top w:val="nil"/>
              <w:left w:val="nil"/>
              <w:bottom w:val="nil"/>
              <w:right w:val="nil"/>
            </w:tcBorders>
            <w:shd w:val="clear" w:color="auto" w:fill="auto"/>
            <w:noWrap/>
            <w:vAlign w:val="center"/>
          </w:tcPr>
          <w:p>
            <w:pPr>
              <w:keepNext w:val="0"/>
              <w:keepLines w:val="0"/>
              <w:suppressLineNumbers w:val="0"/>
              <w:spacing w:before="0" w:beforeAutospacing="0" w:after="0" w:afterAutospacing="0"/>
              <w:ind w:left="0" w:right="0"/>
              <w:rPr>
                <w:rFonts w:hint="default" w:ascii="Times New Roman" w:hAnsi="Times New Roman" w:eastAsia="宋体" w:cs="Times New Roman"/>
                <w:i w:val="0"/>
                <w:iCs w:val="0"/>
                <w:color w:val="000000"/>
                <w:sz w:val="24"/>
                <w:szCs w:val="24"/>
                <w:u w:val="none"/>
              </w:rPr>
            </w:pPr>
          </w:p>
        </w:tc>
        <w:tc>
          <w:tcPr>
            <w:tcW w:w="0" w:type="auto"/>
            <w:tcBorders>
              <w:top w:val="nil"/>
              <w:left w:val="nil"/>
              <w:bottom w:val="nil"/>
              <w:right w:val="nil"/>
            </w:tcBorders>
            <w:shd w:val="clear" w:color="auto" w:fill="auto"/>
            <w:noWrap/>
            <w:vAlign w:val="center"/>
          </w:tcPr>
          <w:p>
            <w:pPr>
              <w:keepNext w:val="0"/>
              <w:keepLines w:val="0"/>
              <w:suppressLineNumbers w:val="0"/>
              <w:spacing w:before="0" w:beforeAutospacing="0" w:after="0" w:afterAutospacing="0"/>
              <w:ind w:left="0" w:right="0"/>
              <w:rPr>
                <w:rFonts w:hint="default" w:ascii="Times New Roman" w:hAnsi="Times New Roman" w:eastAsia="宋体" w:cs="Times New Roman"/>
                <w:i w:val="0"/>
                <w:iCs w:val="0"/>
                <w:color w:val="000000"/>
                <w:sz w:val="24"/>
                <w:szCs w:val="24"/>
                <w:u w:val="none"/>
              </w:rPr>
            </w:pPr>
          </w:p>
        </w:tc>
        <w:tc>
          <w:tcPr>
            <w:tcW w:w="0" w:type="auto"/>
            <w:tcBorders>
              <w:top w:val="nil"/>
              <w:left w:val="nil"/>
              <w:bottom w:val="nil"/>
              <w:right w:val="nil"/>
            </w:tcBorders>
            <w:shd w:val="clear" w:color="auto" w:fill="auto"/>
            <w:noWrap/>
            <w:vAlign w:val="center"/>
          </w:tcPr>
          <w:p>
            <w:pPr>
              <w:keepNext w:val="0"/>
              <w:keepLines w:val="0"/>
              <w:suppressLineNumbers w:val="0"/>
              <w:spacing w:before="0" w:beforeAutospacing="0" w:after="0" w:afterAutospacing="0"/>
              <w:ind w:left="0" w:right="0"/>
              <w:rPr>
                <w:rFonts w:hint="default" w:ascii="Times New Roman" w:hAnsi="Times New Roman" w:eastAsia="宋体" w:cs="Times New Roman"/>
                <w:i w:val="0"/>
                <w:iCs w:val="0"/>
                <w:color w:val="000000"/>
                <w:sz w:val="24"/>
                <w:szCs w:val="24"/>
                <w:u w:val="none"/>
              </w:rPr>
            </w:pPr>
          </w:p>
        </w:tc>
        <w:tc>
          <w:tcPr>
            <w:tcW w:w="0" w:type="auto"/>
            <w:tcBorders>
              <w:top w:val="nil"/>
              <w:left w:val="nil"/>
              <w:bottom w:val="nil"/>
              <w:right w:val="nil"/>
            </w:tcBorders>
            <w:shd w:val="clear" w:color="auto" w:fill="auto"/>
            <w:noWrap/>
            <w:vAlign w:val="center"/>
          </w:tcPr>
          <w:p>
            <w:pPr>
              <w:keepNext w:val="0"/>
              <w:keepLines w:val="0"/>
              <w:suppressLineNumbers w:val="0"/>
              <w:spacing w:before="0" w:beforeAutospacing="0" w:after="0" w:afterAutospacing="0"/>
              <w:ind w:left="0" w:right="0"/>
              <w:rPr>
                <w:rFonts w:hint="default" w:ascii="Times New Roman" w:hAnsi="Times New Roman" w:eastAsia="宋体" w:cs="Times New Roman"/>
                <w:i w:val="0"/>
                <w:iCs w:val="0"/>
                <w:color w:val="000000"/>
                <w:sz w:val="24"/>
                <w:szCs w:val="24"/>
                <w:u w:val="none"/>
              </w:rPr>
            </w:pPr>
          </w:p>
        </w:tc>
        <w:tc>
          <w:tcPr>
            <w:tcW w:w="0" w:type="auto"/>
            <w:tcBorders>
              <w:top w:val="nil"/>
              <w:left w:val="nil"/>
              <w:bottom w:val="nil"/>
              <w:right w:val="nil"/>
            </w:tcBorders>
            <w:shd w:val="clear" w:color="auto" w:fill="auto"/>
            <w:noWrap/>
            <w:vAlign w:val="center"/>
          </w:tcPr>
          <w:p>
            <w:pPr>
              <w:keepNext w:val="0"/>
              <w:keepLines w:val="0"/>
              <w:suppressLineNumbers w:val="0"/>
              <w:spacing w:before="0" w:beforeAutospacing="0" w:after="0" w:afterAutospacing="0"/>
              <w:ind w:left="0" w:right="0"/>
              <w:rPr>
                <w:rFonts w:hint="default" w:ascii="Times New Roman" w:hAnsi="Times New Roman" w:eastAsia="宋体" w:cs="Times New Roman"/>
                <w:i w:val="0"/>
                <w:iCs w:val="0"/>
                <w:color w:val="000000"/>
                <w:sz w:val="24"/>
                <w:szCs w:val="24"/>
                <w:u w:val="none"/>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0" w:type="auto"/>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 xml:space="preserve">  &lt;= 1.30</w:t>
            </w:r>
          </w:p>
        </w:tc>
        <w:tc>
          <w:tcPr>
            <w:tcW w:w="0" w:type="auto"/>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-0.36 ± 0.33</w:t>
            </w:r>
          </w:p>
        </w:tc>
        <w:tc>
          <w:tcPr>
            <w:tcW w:w="0" w:type="auto"/>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0.20 ± 0.28</w:t>
            </w:r>
          </w:p>
        </w:tc>
        <w:tc>
          <w:tcPr>
            <w:tcW w:w="0" w:type="auto"/>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0.95 ± 0.17</w:t>
            </w:r>
          </w:p>
        </w:tc>
        <w:tc>
          <w:tcPr>
            <w:tcW w:w="0" w:type="auto"/>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-0.12 ± 0.44</w:t>
            </w:r>
          </w:p>
        </w:tc>
        <w:tc>
          <w:tcPr>
            <w:tcW w:w="0" w:type="auto"/>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2.28 ± 0.06</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0" w:type="auto"/>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 xml:space="preserve">  1.31to&lt;3.5</w:t>
            </w:r>
          </w:p>
        </w:tc>
        <w:tc>
          <w:tcPr>
            <w:tcW w:w="0" w:type="auto"/>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-0.41 ± 0.30</w:t>
            </w:r>
          </w:p>
        </w:tc>
        <w:tc>
          <w:tcPr>
            <w:tcW w:w="0" w:type="auto"/>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0.18 ± 0.26</w:t>
            </w:r>
          </w:p>
        </w:tc>
        <w:tc>
          <w:tcPr>
            <w:tcW w:w="0" w:type="auto"/>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0.93 ± 0.15</w:t>
            </w:r>
          </w:p>
        </w:tc>
        <w:tc>
          <w:tcPr>
            <w:tcW w:w="0" w:type="auto"/>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-0.06 ± 0.41</w:t>
            </w:r>
          </w:p>
        </w:tc>
        <w:tc>
          <w:tcPr>
            <w:tcW w:w="0" w:type="auto"/>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2.29 ± 0.06</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0" w:type="auto"/>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 xml:space="preserve">  &gt;3.5</w:t>
            </w:r>
          </w:p>
        </w:tc>
        <w:tc>
          <w:tcPr>
            <w:tcW w:w="0" w:type="auto"/>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-0.45 ± 0.28</w:t>
            </w:r>
          </w:p>
        </w:tc>
        <w:tc>
          <w:tcPr>
            <w:tcW w:w="0" w:type="auto"/>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0.18 ± 0.23</w:t>
            </w:r>
          </w:p>
        </w:tc>
        <w:tc>
          <w:tcPr>
            <w:tcW w:w="0" w:type="auto"/>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0.95 ± 0.15</w:t>
            </w:r>
          </w:p>
        </w:tc>
        <w:tc>
          <w:tcPr>
            <w:tcW w:w="0" w:type="auto"/>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0.13 ± 0.43</w:t>
            </w:r>
          </w:p>
        </w:tc>
        <w:tc>
          <w:tcPr>
            <w:tcW w:w="0" w:type="auto"/>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2.29 ± 0.06</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0" w:type="auto"/>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Marital status, n (%)</w:t>
            </w:r>
          </w:p>
        </w:tc>
        <w:tc>
          <w:tcPr>
            <w:tcW w:w="0" w:type="auto"/>
            <w:tcBorders>
              <w:top w:val="nil"/>
              <w:left w:val="nil"/>
              <w:bottom w:val="nil"/>
              <w:right w:val="nil"/>
            </w:tcBorders>
            <w:shd w:val="clear" w:color="auto" w:fill="auto"/>
            <w:noWrap/>
            <w:vAlign w:val="center"/>
          </w:tcPr>
          <w:p>
            <w:pPr>
              <w:keepNext w:val="0"/>
              <w:keepLines w:val="0"/>
              <w:suppressLineNumbers w:val="0"/>
              <w:spacing w:before="0" w:beforeAutospacing="0" w:after="0" w:afterAutospacing="0"/>
              <w:ind w:left="0" w:right="0"/>
              <w:rPr>
                <w:rFonts w:hint="default" w:ascii="Times New Roman" w:hAnsi="Times New Roman" w:eastAsia="宋体" w:cs="Times New Roman"/>
                <w:i w:val="0"/>
                <w:iCs w:val="0"/>
                <w:color w:val="000000"/>
                <w:sz w:val="24"/>
                <w:szCs w:val="24"/>
                <w:u w:val="none"/>
              </w:rPr>
            </w:pPr>
          </w:p>
        </w:tc>
        <w:tc>
          <w:tcPr>
            <w:tcW w:w="0" w:type="auto"/>
            <w:tcBorders>
              <w:top w:val="nil"/>
              <w:left w:val="nil"/>
              <w:bottom w:val="nil"/>
              <w:right w:val="nil"/>
            </w:tcBorders>
            <w:shd w:val="clear" w:color="auto" w:fill="auto"/>
            <w:noWrap/>
            <w:vAlign w:val="center"/>
          </w:tcPr>
          <w:p>
            <w:pPr>
              <w:keepNext w:val="0"/>
              <w:keepLines w:val="0"/>
              <w:suppressLineNumbers w:val="0"/>
              <w:spacing w:before="0" w:beforeAutospacing="0" w:after="0" w:afterAutospacing="0"/>
              <w:ind w:left="0" w:right="0"/>
              <w:rPr>
                <w:rFonts w:hint="default" w:ascii="Times New Roman" w:hAnsi="Times New Roman" w:eastAsia="宋体" w:cs="Times New Roman"/>
                <w:i w:val="0"/>
                <w:iCs w:val="0"/>
                <w:color w:val="000000"/>
                <w:sz w:val="24"/>
                <w:szCs w:val="24"/>
                <w:u w:val="none"/>
              </w:rPr>
            </w:pPr>
          </w:p>
        </w:tc>
        <w:tc>
          <w:tcPr>
            <w:tcW w:w="0" w:type="auto"/>
            <w:tcBorders>
              <w:top w:val="nil"/>
              <w:left w:val="nil"/>
              <w:bottom w:val="nil"/>
              <w:right w:val="nil"/>
            </w:tcBorders>
            <w:shd w:val="clear" w:color="auto" w:fill="auto"/>
            <w:noWrap/>
            <w:vAlign w:val="center"/>
          </w:tcPr>
          <w:p>
            <w:pPr>
              <w:keepNext w:val="0"/>
              <w:keepLines w:val="0"/>
              <w:suppressLineNumbers w:val="0"/>
              <w:spacing w:before="0" w:beforeAutospacing="0" w:after="0" w:afterAutospacing="0"/>
              <w:ind w:left="0" w:right="0"/>
              <w:rPr>
                <w:rFonts w:hint="default" w:ascii="Times New Roman" w:hAnsi="Times New Roman" w:eastAsia="宋体" w:cs="Times New Roman"/>
                <w:i w:val="0"/>
                <w:iCs w:val="0"/>
                <w:color w:val="000000"/>
                <w:sz w:val="24"/>
                <w:szCs w:val="24"/>
                <w:u w:val="none"/>
              </w:rPr>
            </w:pPr>
          </w:p>
        </w:tc>
        <w:tc>
          <w:tcPr>
            <w:tcW w:w="0" w:type="auto"/>
            <w:tcBorders>
              <w:top w:val="nil"/>
              <w:left w:val="nil"/>
              <w:bottom w:val="nil"/>
              <w:right w:val="nil"/>
            </w:tcBorders>
            <w:shd w:val="clear" w:color="auto" w:fill="auto"/>
            <w:noWrap/>
            <w:vAlign w:val="center"/>
          </w:tcPr>
          <w:p>
            <w:pPr>
              <w:keepNext w:val="0"/>
              <w:keepLines w:val="0"/>
              <w:suppressLineNumbers w:val="0"/>
              <w:spacing w:before="0" w:beforeAutospacing="0" w:after="0" w:afterAutospacing="0"/>
              <w:ind w:left="0" w:right="0"/>
              <w:rPr>
                <w:rFonts w:hint="default" w:ascii="Times New Roman" w:hAnsi="Times New Roman" w:eastAsia="宋体" w:cs="Times New Roman"/>
                <w:i w:val="0"/>
                <w:iCs w:val="0"/>
                <w:color w:val="000000"/>
                <w:sz w:val="24"/>
                <w:szCs w:val="24"/>
                <w:u w:val="none"/>
              </w:rPr>
            </w:pPr>
          </w:p>
        </w:tc>
        <w:tc>
          <w:tcPr>
            <w:tcW w:w="0" w:type="auto"/>
            <w:tcBorders>
              <w:top w:val="nil"/>
              <w:left w:val="nil"/>
              <w:bottom w:val="nil"/>
              <w:right w:val="nil"/>
            </w:tcBorders>
            <w:shd w:val="clear" w:color="auto" w:fill="auto"/>
            <w:noWrap/>
            <w:vAlign w:val="center"/>
          </w:tcPr>
          <w:p>
            <w:pPr>
              <w:keepNext w:val="0"/>
              <w:keepLines w:val="0"/>
              <w:suppressLineNumbers w:val="0"/>
              <w:spacing w:before="0" w:beforeAutospacing="0" w:after="0" w:afterAutospacing="0"/>
              <w:ind w:left="0" w:right="0"/>
              <w:rPr>
                <w:rFonts w:hint="default" w:ascii="Times New Roman" w:hAnsi="Times New Roman" w:eastAsia="宋体" w:cs="Times New Roman"/>
                <w:i w:val="0"/>
                <w:iCs w:val="0"/>
                <w:color w:val="000000"/>
                <w:sz w:val="24"/>
                <w:szCs w:val="24"/>
                <w:u w:val="none"/>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0" w:type="auto"/>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 xml:space="preserve">  Never Married</w:t>
            </w:r>
          </w:p>
        </w:tc>
        <w:tc>
          <w:tcPr>
            <w:tcW w:w="0" w:type="auto"/>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-0.38 ± 0.30</w:t>
            </w:r>
          </w:p>
        </w:tc>
        <w:tc>
          <w:tcPr>
            <w:tcW w:w="0" w:type="auto"/>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0.19 ± 0.26</w:t>
            </w:r>
          </w:p>
        </w:tc>
        <w:tc>
          <w:tcPr>
            <w:tcW w:w="0" w:type="auto"/>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0.93 ± 0.16</w:t>
            </w:r>
          </w:p>
        </w:tc>
        <w:tc>
          <w:tcPr>
            <w:tcW w:w="0" w:type="auto"/>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0.01 ± 0.43</w:t>
            </w:r>
          </w:p>
        </w:tc>
        <w:tc>
          <w:tcPr>
            <w:tcW w:w="0" w:type="auto"/>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2.30 ± 0.08</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0" w:type="auto"/>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 xml:space="preserve">  Married/Living with partner</w:t>
            </w:r>
          </w:p>
        </w:tc>
        <w:tc>
          <w:tcPr>
            <w:tcW w:w="0" w:type="auto"/>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-0.44 ± 0.29</w:t>
            </w:r>
          </w:p>
        </w:tc>
        <w:tc>
          <w:tcPr>
            <w:tcW w:w="0" w:type="auto"/>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0.18 ± 0.25</w:t>
            </w:r>
          </w:p>
        </w:tc>
        <w:tc>
          <w:tcPr>
            <w:tcW w:w="0" w:type="auto"/>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0.94 ± 0.15</w:t>
            </w:r>
          </w:p>
        </w:tc>
        <w:tc>
          <w:tcPr>
            <w:tcW w:w="0" w:type="auto"/>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0.03 ± 0.45</w:t>
            </w:r>
          </w:p>
        </w:tc>
        <w:tc>
          <w:tcPr>
            <w:tcW w:w="0" w:type="auto"/>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2.29 ± 0.06</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0" w:type="auto"/>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 xml:space="preserve">  Widowed/Divorced/ Separated</w:t>
            </w:r>
          </w:p>
        </w:tc>
        <w:tc>
          <w:tcPr>
            <w:tcW w:w="0" w:type="auto"/>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-0.37 ± 0.31</w:t>
            </w:r>
          </w:p>
        </w:tc>
        <w:tc>
          <w:tcPr>
            <w:tcW w:w="0" w:type="auto"/>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0.19 ± 0.27</w:t>
            </w:r>
          </w:p>
        </w:tc>
        <w:tc>
          <w:tcPr>
            <w:tcW w:w="0" w:type="auto"/>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0.95 ± 0.17</w:t>
            </w:r>
          </w:p>
        </w:tc>
        <w:tc>
          <w:tcPr>
            <w:tcW w:w="0" w:type="auto"/>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-0.09 ± 0.41</w:t>
            </w:r>
          </w:p>
        </w:tc>
        <w:tc>
          <w:tcPr>
            <w:tcW w:w="0" w:type="auto"/>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2.27 ± 0.06</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0" w:type="auto"/>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Drinking, n (%)</w:t>
            </w:r>
          </w:p>
        </w:tc>
        <w:tc>
          <w:tcPr>
            <w:tcW w:w="0" w:type="auto"/>
            <w:tcBorders>
              <w:top w:val="nil"/>
              <w:left w:val="nil"/>
              <w:bottom w:val="nil"/>
              <w:right w:val="nil"/>
            </w:tcBorders>
            <w:shd w:val="clear" w:color="auto" w:fill="auto"/>
            <w:noWrap/>
            <w:vAlign w:val="center"/>
          </w:tcPr>
          <w:p>
            <w:pPr>
              <w:keepNext w:val="0"/>
              <w:keepLines w:val="0"/>
              <w:suppressLineNumbers w:val="0"/>
              <w:spacing w:before="0" w:beforeAutospacing="0" w:after="0" w:afterAutospacing="0"/>
              <w:ind w:left="0" w:right="0"/>
              <w:rPr>
                <w:rFonts w:hint="default" w:ascii="Times New Roman" w:hAnsi="Times New Roman" w:eastAsia="宋体" w:cs="Times New Roman"/>
                <w:i w:val="0"/>
                <w:iCs w:val="0"/>
                <w:color w:val="000000"/>
                <w:sz w:val="24"/>
                <w:szCs w:val="24"/>
                <w:u w:val="none"/>
              </w:rPr>
            </w:pPr>
          </w:p>
        </w:tc>
        <w:tc>
          <w:tcPr>
            <w:tcW w:w="0" w:type="auto"/>
            <w:tcBorders>
              <w:top w:val="nil"/>
              <w:left w:val="nil"/>
              <w:bottom w:val="nil"/>
              <w:right w:val="nil"/>
            </w:tcBorders>
            <w:shd w:val="clear" w:color="auto" w:fill="auto"/>
            <w:noWrap/>
            <w:vAlign w:val="center"/>
          </w:tcPr>
          <w:p>
            <w:pPr>
              <w:keepNext w:val="0"/>
              <w:keepLines w:val="0"/>
              <w:suppressLineNumbers w:val="0"/>
              <w:spacing w:before="0" w:beforeAutospacing="0" w:after="0" w:afterAutospacing="0"/>
              <w:ind w:left="0" w:right="0"/>
              <w:rPr>
                <w:rFonts w:hint="default" w:ascii="Times New Roman" w:hAnsi="Times New Roman" w:eastAsia="宋体" w:cs="Times New Roman"/>
                <w:i w:val="0"/>
                <w:iCs w:val="0"/>
                <w:color w:val="000000"/>
                <w:sz w:val="24"/>
                <w:szCs w:val="24"/>
                <w:u w:val="none"/>
              </w:rPr>
            </w:pPr>
          </w:p>
        </w:tc>
        <w:tc>
          <w:tcPr>
            <w:tcW w:w="0" w:type="auto"/>
            <w:tcBorders>
              <w:top w:val="nil"/>
              <w:left w:val="nil"/>
              <w:bottom w:val="nil"/>
              <w:right w:val="nil"/>
            </w:tcBorders>
            <w:shd w:val="clear" w:color="auto" w:fill="auto"/>
            <w:noWrap/>
            <w:vAlign w:val="center"/>
          </w:tcPr>
          <w:p>
            <w:pPr>
              <w:keepNext w:val="0"/>
              <w:keepLines w:val="0"/>
              <w:suppressLineNumbers w:val="0"/>
              <w:spacing w:before="0" w:beforeAutospacing="0" w:after="0" w:afterAutospacing="0"/>
              <w:ind w:left="0" w:right="0"/>
              <w:rPr>
                <w:rFonts w:hint="default" w:ascii="Times New Roman" w:hAnsi="Times New Roman" w:eastAsia="宋体" w:cs="Times New Roman"/>
                <w:i w:val="0"/>
                <w:iCs w:val="0"/>
                <w:color w:val="000000"/>
                <w:sz w:val="24"/>
                <w:szCs w:val="24"/>
                <w:u w:val="none"/>
              </w:rPr>
            </w:pPr>
          </w:p>
        </w:tc>
        <w:tc>
          <w:tcPr>
            <w:tcW w:w="0" w:type="auto"/>
            <w:tcBorders>
              <w:top w:val="nil"/>
              <w:left w:val="nil"/>
              <w:bottom w:val="nil"/>
              <w:right w:val="nil"/>
            </w:tcBorders>
            <w:shd w:val="clear" w:color="auto" w:fill="auto"/>
            <w:noWrap/>
            <w:vAlign w:val="center"/>
          </w:tcPr>
          <w:p>
            <w:pPr>
              <w:keepNext w:val="0"/>
              <w:keepLines w:val="0"/>
              <w:suppressLineNumbers w:val="0"/>
              <w:spacing w:before="0" w:beforeAutospacing="0" w:after="0" w:afterAutospacing="0"/>
              <w:ind w:left="0" w:right="0"/>
              <w:rPr>
                <w:rFonts w:hint="default" w:ascii="Times New Roman" w:hAnsi="Times New Roman" w:eastAsia="宋体" w:cs="Times New Roman"/>
                <w:i w:val="0"/>
                <w:iCs w:val="0"/>
                <w:color w:val="000000"/>
                <w:sz w:val="24"/>
                <w:szCs w:val="24"/>
                <w:u w:val="none"/>
              </w:rPr>
            </w:pPr>
          </w:p>
        </w:tc>
        <w:tc>
          <w:tcPr>
            <w:tcW w:w="0" w:type="auto"/>
            <w:tcBorders>
              <w:top w:val="nil"/>
              <w:left w:val="nil"/>
              <w:bottom w:val="nil"/>
              <w:right w:val="nil"/>
            </w:tcBorders>
            <w:shd w:val="clear" w:color="auto" w:fill="auto"/>
            <w:noWrap/>
            <w:vAlign w:val="center"/>
          </w:tcPr>
          <w:p>
            <w:pPr>
              <w:keepNext w:val="0"/>
              <w:keepLines w:val="0"/>
              <w:suppressLineNumbers w:val="0"/>
              <w:spacing w:before="0" w:beforeAutospacing="0" w:after="0" w:afterAutospacing="0"/>
              <w:ind w:left="0" w:right="0"/>
              <w:rPr>
                <w:rFonts w:hint="default" w:ascii="Times New Roman" w:hAnsi="Times New Roman" w:eastAsia="宋体" w:cs="Times New Roman"/>
                <w:i w:val="0"/>
                <w:iCs w:val="0"/>
                <w:color w:val="000000"/>
                <w:sz w:val="24"/>
                <w:szCs w:val="24"/>
                <w:u w:val="none"/>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0" w:type="auto"/>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 xml:space="preserve">  Non-drinker</w:t>
            </w:r>
          </w:p>
        </w:tc>
        <w:tc>
          <w:tcPr>
            <w:tcW w:w="0" w:type="auto"/>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-0.43 ± 0.29</w:t>
            </w:r>
          </w:p>
        </w:tc>
        <w:tc>
          <w:tcPr>
            <w:tcW w:w="0" w:type="auto"/>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0.13 ± 0.24</w:t>
            </w:r>
          </w:p>
        </w:tc>
        <w:tc>
          <w:tcPr>
            <w:tcW w:w="0" w:type="auto"/>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0.95 ± 0.17</w:t>
            </w:r>
          </w:p>
        </w:tc>
        <w:tc>
          <w:tcPr>
            <w:tcW w:w="0" w:type="auto"/>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-0.07 ± 0.43</w:t>
            </w:r>
          </w:p>
        </w:tc>
        <w:tc>
          <w:tcPr>
            <w:tcW w:w="0" w:type="auto"/>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2.29 ± 0.07</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0" w:type="auto"/>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 xml:space="preserve">  drinker</w:t>
            </w:r>
          </w:p>
        </w:tc>
        <w:tc>
          <w:tcPr>
            <w:tcW w:w="0" w:type="auto"/>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-0.40 ± 0.31</w:t>
            </w:r>
          </w:p>
        </w:tc>
        <w:tc>
          <w:tcPr>
            <w:tcW w:w="0" w:type="auto"/>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0.21 ± 0.26</w:t>
            </w:r>
          </w:p>
        </w:tc>
        <w:tc>
          <w:tcPr>
            <w:tcW w:w="0" w:type="auto"/>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0.94 ± 0.15</w:t>
            </w:r>
          </w:p>
        </w:tc>
        <w:tc>
          <w:tcPr>
            <w:tcW w:w="0" w:type="auto"/>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0.01 ± 0.44</w:t>
            </w:r>
          </w:p>
        </w:tc>
        <w:tc>
          <w:tcPr>
            <w:tcW w:w="0" w:type="auto"/>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2.29 ± 0.06</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0" w:type="auto"/>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Smoke, n (%)</w:t>
            </w:r>
          </w:p>
        </w:tc>
        <w:tc>
          <w:tcPr>
            <w:tcW w:w="0" w:type="auto"/>
            <w:tcBorders>
              <w:top w:val="nil"/>
              <w:left w:val="nil"/>
              <w:bottom w:val="nil"/>
              <w:right w:val="nil"/>
            </w:tcBorders>
            <w:shd w:val="clear" w:color="auto" w:fill="auto"/>
            <w:noWrap/>
            <w:vAlign w:val="center"/>
          </w:tcPr>
          <w:p>
            <w:pPr>
              <w:keepNext w:val="0"/>
              <w:keepLines w:val="0"/>
              <w:suppressLineNumbers w:val="0"/>
              <w:spacing w:before="0" w:beforeAutospacing="0" w:after="0" w:afterAutospacing="0"/>
              <w:ind w:left="0" w:right="0"/>
              <w:rPr>
                <w:rFonts w:hint="default" w:ascii="Times New Roman" w:hAnsi="Times New Roman" w:eastAsia="宋体" w:cs="Times New Roman"/>
                <w:i w:val="0"/>
                <w:iCs w:val="0"/>
                <w:color w:val="000000"/>
                <w:sz w:val="24"/>
                <w:szCs w:val="24"/>
                <w:u w:val="none"/>
              </w:rPr>
            </w:pPr>
          </w:p>
        </w:tc>
        <w:tc>
          <w:tcPr>
            <w:tcW w:w="0" w:type="auto"/>
            <w:tcBorders>
              <w:top w:val="nil"/>
              <w:left w:val="nil"/>
              <w:bottom w:val="nil"/>
              <w:right w:val="nil"/>
            </w:tcBorders>
            <w:shd w:val="clear" w:color="auto" w:fill="auto"/>
            <w:noWrap/>
            <w:vAlign w:val="center"/>
          </w:tcPr>
          <w:p>
            <w:pPr>
              <w:keepNext w:val="0"/>
              <w:keepLines w:val="0"/>
              <w:suppressLineNumbers w:val="0"/>
              <w:spacing w:before="0" w:beforeAutospacing="0" w:after="0" w:afterAutospacing="0"/>
              <w:ind w:left="0" w:right="0"/>
              <w:rPr>
                <w:rFonts w:hint="default" w:ascii="Times New Roman" w:hAnsi="Times New Roman" w:eastAsia="宋体" w:cs="Times New Roman"/>
                <w:i w:val="0"/>
                <w:iCs w:val="0"/>
                <w:color w:val="000000"/>
                <w:sz w:val="24"/>
                <w:szCs w:val="24"/>
                <w:u w:val="none"/>
              </w:rPr>
            </w:pPr>
          </w:p>
        </w:tc>
        <w:tc>
          <w:tcPr>
            <w:tcW w:w="0" w:type="auto"/>
            <w:tcBorders>
              <w:top w:val="nil"/>
              <w:left w:val="nil"/>
              <w:bottom w:val="nil"/>
              <w:right w:val="nil"/>
            </w:tcBorders>
            <w:shd w:val="clear" w:color="auto" w:fill="auto"/>
            <w:noWrap/>
            <w:vAlign w:val="center"/>
          </w:tcPr>
          <w:p>
            <w:pPr>
              <w:keepNext w:val="0"/>
              <w:keepLines w:val="0"/>
              <w:suppressLineNumbers w:val="0"/>
              <w:spacing w:before="0" w:beforeAutospacing="0" w:after="0" w:afterAutospacing="0"/>
              <w:ind w:left="0" w:right="0"/>
              <w:rPr>
                <w:rFonts w:hint="default" w:ascii="Times New Roman" w:hAnsi="Times New Roman" w:eastAsia="宋体" w:cs="Times New Roman"/>
                <w:i w:val="0"/>
                <w:iCs w:val="0"/>
                <w:color w:val="000000"/>
                <w:sz w:val="24"/>
                <w:szCs w:val="24"/>
                <w:u w:val="none"/>
              </w:rPr>
            </w:pPr>
          </w:p>
        </w:tc>
        <w:tc>
          <w:tcPr>
            <w:tcW w:w="0" w:type="auto"/>
            <w:tcBorders>
              <w:top w:val="nil"/>
              <w:left w:val="nil"/>
              <w:bottom w:val="nil"/>
              <w:right w:val="nil"/>
            </w:tcBorders>
            <w:shd w:val="clear" w:color="auto" w:fill="auto"/>
            <w:noWrap/>
            <w:vAlign w:val="center"/>
          </w:tcPr>
          <w:p>
            <w:pPr>
              <w:keepNext w:val="0"/>
              <w:keepLines w:val="0"/>
              <w:suppressLineNumbers w:val="0"/>
              <w:spacing w:before="0" w:beforeAutospacing="0" w:after="0" w:afterAutospacing="0"/>
              <w:ind w:left="0" w:right="0"/>
              <w:rPr>
                <w:rFonts w:hint="default" w:ascii="Times New Roman" w:hAnsi="Times New Roman" w:eastAsia="宋体" w:cs="Times New Roman"/>
                <w:i w:val="0"/>
                <w:iCs w:val="0"/>
                <w:color w:val="000000"/>
                <w:sz w:val="24"/>
                <w:szCs w:val="24"/>
                <w:u w:val="none"/>
              </w:rPr>
            </w:pPr>
          </w:p>
        </w:tc>
        <w:tc>
          <w:tcPr>
            <w:tcW w:w="0" w:type="auto"/>
            <w:tcBorders>
              <w:top w:val="nil"/>
              <w:left w:val="nil"/>
              <w:bottom w:val="nil"/>
              <w:right w:val="nil"/>
            </w:tcBorders>
            <w:shd w:val="clear" w:color="auto" w:fill="auto"/>
            <w:noWrap/>
            <w:vAlign w:val="center"/>
          </w:tcPr>
          <w:p>
            <w:pPr>
              <w:keepNext w:val="0"/>
              <w:keepLines w:val="0"/>
              <w:suppressLineNumbers w:val="0"/>
              <w:spacing w:before="0" w:beforeAutospacing="0" w:after="0" w:afterAutospacing="0"/>
              <w:ind w:left="0" w:right="0"/>
              <w:rPr>
                <w:rFonts w:hint="default" w:ascii="Times New Roman" w:hAnsi="Times New Roman" w:eastAsia="宋体" w:cs="Times New Roman"/>
                <w:i w:val="0"/>
                <w:iCs w:val="0"/>
                <w:color w:val="000000"/>
                <w:sz w:val="24"/>
                <w:szCs w:val="24"/>
                <w:u w:val="none"/>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0" w:type="auto"/>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 xml:space="preserve">  Never smoker</w:t>
            </w:r>
          </w:p>
        </w:tc>
        <w:tc>
          <w:tcPr>
            <w:tcW w:w="0" w:type="auto"/>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-0.51 ± 0.25</w:t>
            </w:r>
          </w:p>
        </w:tc>
        <w:tc>
          <w:tcPr>
            <w:tcW w:w="0" w:type="auto"/>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0.15 ± 0.24</w:t>
            </w:r>
          </w:p>
        </w:tc>
        <w:tc>
          <w:tcPr>
            <w:tcW w:w="0" w:type="auto"/>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0.95 ± 0.16</w:t>
            </w:r>
          </w:p>
        </w:tc>
        <w:tc>
          <w:tcPr>
            <w:tcW w:w="0" w:type="auto"/>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0.01 ± 0.44</w:t>
            </w:r>
          </w:p>
        </w:tc>
        <w:tc>
          <w:tcPr>
            <w:tcW w:w="0" w:type="auto"/>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2.29 ± 0.06</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0" w:type="auto"/>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 xml:space="preserve">  smoker</w:t>
            </w:r>
          </w:p>
        </w:tc>
        <w:tc>
          <w:tcPr>
            <w:tcW w:w="0" w:type="auto"/>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-0.31 ± 0.31</w:t>
            </w:r>
          </w:p>
        </w:tc>
        <w:tc>
          <w:tcPr>
            <w:tcW w:w="0" w:type="auto"/>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0.22 ± 0.27</w:t>
            </w:r>
          </w:p>
        </w:tc>
        <w:tc>
          <w:tcPr>
            <w:tcW w:w="0" w:type="auto"/>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0.94 ± 0.15</w:t>
            </w:r>
          </w:p>
        </w:tc>
        <w:tc>
          <w:tcPr>
            <w:tcW w:w="0" w:type="auto"/>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-0.03 ± 0.43</w:t>
            </w:r>
          </w:p>
        </w:tc>
        <w:tc>
          <w:tcPr>
            <w:tcW w:w="0" w:type="auto"/>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2.28 ± 0.07</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0" w:type="auto"/>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BMI, n (%)</w:t>
            </w:r>
          </w:p>
        </w:tc>
        <w:tc>
          <w:tcPr>
            <w:tcW w:w="0" w:type="auto"/>
            <w:tcBorders>
              <w:top w:val="nil"/>
              <w:left w:val="nil"/>
              <w:bottom w:val="nil"/>
              <w:right w:val="nil"/>
            </w:tcBorders>
            <w:shd w:val="clear" w:color="auto" w:fill="auto"/>
            <w:noWrap/>
            <w:vAlign w:val="center"/>
          </w:tcPr>
          <w:p>
            <w:pPr>
              <w:keepNext w:val="0"/>
              <w:keepLines w:val="0"/>
              <w:suppressLineNumbers w:val="0"/>
              <w:spacing w:before="0" w:beforeAutospacing="0" w:after="0" w:afterAutospacing="0"/>
              <w:ind w:left="0" w:right="0"/>
              <w:rPr>
                <w:rFonts w:hint="default" w:ascii="Times New Roman" w:hAnsi="Times New Roman" w:eastAsia="宋体" w:cs="Times New Roman"/>
                <w:i w:val="0"/>
                <w:iCs w:val="0"/>
                <w:color w:val="000000"/>
                <w:sz w:val="24"/>
                <w:szCs w:val="24"/>
                <w:u w:val="none"/>
              </w:rPr>
            </w:pPr>
          </w:p>
        </w:tc>
        <w:tc>
          <w:tcPr>
            <w:tcW w:w="0" w:type="auto"/>
            <w:tcBorders>
              <w:top w:val="nil"/>
              <w:left w:val="nil"/>
              <w:bottom w:val="nil"/>
              <w:right w:val="nil"/>
            </w:tcBorders>
            <w:shd w:val="clear" w:color="auto" w:fill="auto"/>
            <w:noWrap/>
            <w:vAlign w:val="center"/>
          </w:tcPr>
          <w:p>
            <w:pPr>
              <w:keepNext w:val="0"/>
              <w:keepLines w:val="0"/>
              <w:suppressLineNumbers w:val="0"/>
              <w:spacing w:before="0" w:beforeAutospacing="0" w:after="0" w:afterAutospacing="0"/>
              <w:ind w:left="0" w:right="0"/>
              <w:rPr>
                <w:rFonts w:hint="default" w:ascii="Times New Roman" w:hAnsi="Times New Roman" w:eastAsia="宋体" w:cs="Times New Roman"/>
                <w:i w:val="0"/>
                <w:iCs w:val="0"/>
                <w:color w:val="000000"/>
                <w:sz w:val="24"/>
                <w:szCs w:val="24"/>
                <w:u w:val="none"/>
              </w:rPr>
            </w:pPr>
          </w:p>
        </w:tc>
        <w:tc>
          <w:tcPr>
            <w:tcW w:w="0" w:type="auto"/>
            <w:tcBorders>
              <w:top w:val="nil"/>
              <w:left w:val="nil"/>
              <w:bottom w:val="nil"/>
              <w:right w:val="nil"/>
            </w:tcBorders>
            <w:shd w:val="clear" w:color="auto" w:fill="auto"/>
            <w:noWrap/>
            <w:vAlign w:val="center"/>
          </w:tcPr>
          <w:p>
            <w:pPr>
              <w:keepNext w:val="0"/>
              <w:keepLines w:val="0"/>
              <w:suppressLineNumbers w:val="0"/>
              <w:spacing w:before="0" w:beforeAutospacing="0" w:after="0" w:afterAutospacing="0"/>
              <w:ind w:left="0" w:right="0"/>
              <w:rPr>
                <w:rFonts w:hint="default" w:ascii="Times New Roman" w:hAnsi="Times New Roman" w:eastAsia="宋体" w:cs="Times New Roman"/>
                <w:i w:val="0"/>
                <w:iCs w:val="0"/>
                <w:color w:val="000000"/>
                <w:sz w:val="24"/>
                <w:szCs w:val="24"/>
                <w:u w:val="none"/>
              </w:rPr>
            </w:pPr>
          </w:p>
        </w:tc>
        <w:tc>
          <w:tcPr>
            <w:tcW w:w="0" w:type="auto"/>
            <w:tcBorders>
              <w:top w:val="nil"/>
              <w:left w:val="nil"/>
              <w:bottom w:val="nil"/>
              <w:right w:val="nil"/>
            </w:tcBorders>
            <w:shd w:val="clear" w:color="auto" w:fill="auto"/>
            <w:noWrap/>
            <w:vAlign w:val="center"/>
          </w:tcPr>
          <w:p>
            <w:pPr>
              <w:keepNext w:val="0"/>
              <w:keepLines w:val="0"/>
              <w:suppressLineNumbers w:val="0"/>
              <w:spacing w:before="0" w:beforeAutospacing="0" w:after="0" w:afterAutospacing="0"/>
              <w:ind w:left="0" w:right="0"/>
              <w:rPr>
                <w:rFonts w:hint="default" w:ascii="Times New Roman" w:hAnsi="Times New Roman" w:eastAsia="宋体" w:cs="Times New Roman"/>
                <w:i w:val="0"/>
                <w:iCs w:val="0"/>
                <w:color w:val="000000"/>
                <w:sz w:val="24"/>
                <w:szCs w:val="24"/>
                <w:u w:val="none"/>
              </w:rPr>
            </w:pPr>
          </w:p>
        </w:tc>
        <w:tc>
          <w:tcPr>
            <w:tcW w:w="0" w:type="auto"/>
            <w:tcBorders>
              <w:top w:val="nil"/>
              <w:left w:val="nil"/>
              <w:bottom w:val="nil"/>
              <w:right w:val="nil"/>
            </w:tcBorders>
            <w:shd w:val="clear" w:color="auto" w:fill="auto"/>
            <w:noWrap/>
            <w:vAlign w:val="center"/>
          </w:tcPr>
          <w:p>
            <w:pPr>
              <w:keepNext w:val="0"/>
              <w:keepLines w:val="0"/>
              <w:suppressLineNumbers w:val="0"/>
              <w:spacing w:before="0" w:beforeAutospacing="0" w:after="0" w:afterAutospacing="0"/>
              <w:ind w:left="0" w:right="0"/>
              <w:rPr>
                <w:rFonts w:hint="default" w:ascii="Times New Roman" w:hAnsi="Times New Roman" w:eastAsia="宋体" w:cs="Times New Roman"/>
                <w:i w:val="0"/>
                <w:iCs w:val="0"/>
                <w:color w:val="000000"/>
                <w:sz w:val="24"/>
                <w:szCs w:val="24"/>
                <w:u w:val="none"/>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0" w:type="auto"/>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 xml:space="preserve">  Underweight(&lt;18.5)</w:t>
            </w:r>
          </w:p>
        </w:tc>
        <w:tc>
          <w:tcPr>
            <w:tcW w:w="0" w:type="auto"/>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-0.24 ± 0.21</w:t>
            </w:r>
          </w:p>
        </w:tc>
        <w:tc>
          <w:tcPr>
            <w:tcW w:w="0" w:type="auto"/>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0.33 ± 0.38</w:t>
            </w:r>
          </w:p>
        </w:tc>
        <w:tc>
          <w:tcPr>
            <w:tcW w:w="0" w:type="auto"/>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0.95 ± 0.23</w:t>
            </w:r>
          </w:p>
        </w:tc>
        <w:tc>
          <w:tcPr>
            <w:tcW w:w="0" w:type="auto"/>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0.10 ± 0.52</w:t>
            </w:r>
          </w:p>
        </w:tc>
        <w:tc>
          <w:tcPr>
            <w:tcW w:w="0" w:type="auto"/>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2.26 ± 0.07</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0" w:type="auto"/>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 xml:space="preserve">  Normal(18.5 to &lt;25)</w:t>
            </w:r>
          </w:p>
        </w:tc>
        <w:tc>
          <w:tcPr>
            <w:tcW w:w="0" w:type="auto"/>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-0.31 ± 0.32</w:t>
            </w:r>
          </w:p>
        </w:tc>
        <w:tc>
          <w:tcPr>
            <w:tcW w:w="0" w:type="auto"/>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0.25 ± 0.25</w:t>
            </w:r>
          </w:p>
        </w:tc>
        <w:tc>
          <w:tcPr>
            <w:tcW w:w="0" w:type="auto"/>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0.95 ± 0.17</w:t>
            </w:r>
          </w:p>
        </w:tc>
        <w:tc>
          <w:tcPr>
            <w:tcW w:w="0" w:type="auto"/>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0.03 ± 0.48</w:t>
            </w:r>
          </w:p>
        </w:tc>
        <w:tc>
          <w:tcPr>
            <w:tcW w:w="0" w:type="auto"/>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2.28 ± 0.07</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0" w:type="auto"/>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 xml:space="preserve">  Overweight(25 to &lt;30)</w:t>
            </w:r>
          </w:p>
        </w:tc>
        <w:tc>
          <w:tcPr>
            <w:tcW w:w="0" w:type="auto"/>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-0.42 ± 0.30</w:t>
            </w:r>
          </w:p>
        </w:tc>
        <w:tc>
          <w:tcPr>
            <w:tcW w:w="0" w:type="auto"/>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0.19 ± 0.25</w:t>
            </w:r>
          </w:p>
        </w:tc>
        <w:tc>
          <w:tcPr>
            <w:tcW w:w="0" w:type="auto"/>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0.94 ± 0.15</w:t>
            </w:r>
          </w:p>
        </w:tc>
        <w:tc>
          <w:tcPr>
            <w:tcW w:w="0" w:type="auto"/>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0.01 ± 0.44</w:t>
            </w:r>
          </w:p>
        </w:tc>
        <w:tc>
          <w:tcPr>
            <w:tcW w:w="0" w:type="auto"/>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2.29 ± 0.06</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0" w:type="auto"/>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 xml:space="preserve">  Obese(30 or greater)</w:t>
            </w:r>
          </w:p>
        </w:tc>
        <w:tc>
          <w:tcPr>
            <w:tcW w:w="0" w:type="auto"/>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-0.47 ± 0.28</w:t>
            </w:r>
          </w:p>
        </w:tc>
        <w:tc>
          <w:tcPr>
            <w:tcW w:w="0" w:type="auto"/>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0.14 ± 0.25</w:t>
            </w:r>
          </w:p>
        </w:tc>
        <w:tc>
          <w:tcPr>
            <w:tcW w:w="0" w:type="auto"/>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0.94 ± 0.15</w:t>
            </w:r>
          </w:p>
        </w:tc>
        <w:tc>
          <w:tcPr>
            <w:tcW w:w="0" w:type="auto"/>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-0.07 ± 0.39</w:t>
            </w:r>
          </w:p>
        </w:tc>
        <w:tc>
          <w:tcPr>
            <w:tcW w:w="0" w:type="auto"/>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2.28 ± 0.06</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0" w:type="auto"/>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Physical activity, n (%)</w:t>
            </w:r>
          </w:p>
        </w:tc>
        <w:tc>
          <w:tcPr>
            <w:tcW w:w="0" w:type="auto"/>
            <w:tcBorders>
              <w:top w:val="nil"/>
              <w:left w:val="nil"/>
              <w:bottom w:val="nil"/>
              <w:right w:val="nil"/>
            </w:tcBorders>
            <w:shd w:val="clear" w:color="auto" w:fill="auto"/>
            <w:noWrap/>
            <w:vAlign w:val="center"/>
          </w:tcPr>
          <w:p>
            <w:pPr>
              <w:keepNext w:val="0"/>
              <w:keepLines w:val="0"/>
              <w:suppressLineNumbers w:val="0"/>
              <w:spacing w:before="0" w:beforeAutospacing="0" w:after="0" w:afterAutospacing="0"/>
              <w:ind w:left="0" w:right="0"/>
              <w:rPr>
                <w:rFonts w:hint="default" w:ascii="Times New Roman" w:hAnsi="Times New Roman" w:eastAsia="宋体" w:cs="Times New Roman"/>
                <w:i w:val="0"/>
                <w:iCs w:val="0"/>
                <w:color w:val="000000"/>
                <w:sz w:val="24"/>
                <w:szCs w:val="24"/>
                <w:u w:val="none"/>
              </w:rPr>
            </w:pPr>
          </w:p>
        </w:tc>
        <w:tc>
          <w:tcPr>
            <w:tcW w:w="0" w:type="auto"/>
            <w:tcBorders>
              <w:top w:val="nil"/>
              <w:left w:val="nil"/>
              <w:bottom w:val="nil"/>
              <w:right w:val="nil"/>
            </w:tcBorders>
            <w:shd w:val="clear" w:color="auto" w:fill="auto"/>
            <w:noWrap/>
            <w:vAlign w:val="center"/>
          </w:tcPr>
          <w:p>
            <w:pPr>
              <w:keepNext w:val="0"/>
              <w:keepLines w:val="0"/>
              <w:suppressLineNumbers w:val="0"/>
              <w:spacing w:before="0" w:beforeAutospacing="0" w:after="0" w:afterAutospacing="0"/>
              <w:ind w:left="0" w:right="0"/>
              <w:rPr>
                <w:rFonts w:hint="default" w:ascii="Times New Roman" w:hAnsi="Times New Roman" w:eastAsia="宋体" w:cs="Times New Roman"/>
                <w:i w:val="0"/>
                <w:iCs w:val="0"/>
                <w:color w:val="000000"/>
                <w:sz w:val="24"/>
                <w:szCs w:val="24"/>
                <w:u w:val="none"/>
              </w:rPr>
            </w:pPr>
          </w:p>
        </w:tc>
        <w:tc>
          <w:tcPr>
            <w:tcW w:w="0" w:type="auto"/>
            <w:tcBorders>
              <w:top w:val="nil"/>
              <w:left w:val="nil"/>
              <w:bottom w:val="nil"/>
              <w:right w:val="nil"/>
            </w:tcBorders>
            <w:shd w:val="clear" w:color="auto" w:fill="auto"/>
            <w:noWrap/>
            <w:vAlign w:val="center"/>
          </w:tcPr>
          <w:p>
            <w:pPr>
              <w:keepNext w:val="0"/>
              <w:keepLines w:val="0"/>
              <w:suppressLineNumbers w:val="0"/>
              <w:spacing w:before="0" w:beforeAutospacing="0" w:after="0" w:afterAutospacing="0"/>
              <w:ind w:left="0" w:right="0"/>
              <w:rPr>
                <w:rFonts w:hint="default" w:ascii="Times New Roman" w:hAnsi="Times New Roman" w:eastAsia="宋体" w:cs="Times New Roman"/>
                <w:i w:val="0"/>
                <w:iCs w:val="0"/>
                <w:color w:val="000000"/>
                <w:sz w:val="24"/>
                <w:szCs w:val="24"/>
                <w:u w:val="none"/>
              </w:rPr>
            </w:pPr>
          </w:p>
        </w:tc>
        <w:tc>
          <w:tcPr>
            <w:tcW w:w="0" w:type="auto"/>
            <w:tcBorders>
              <w:top w:val="nil"/>
              <w:left w:val="nil"/>
              <w:bottom w:val="nil"/>
              <w:right w:val="nil"/>
            </w:tcBorders>
            <w:shd w:val="clear" w:color="auto" w:fill="auto"/>
            <w:noWrap/>
            <w:vAlign w:val="center"/>
          </w:tcPr>
          <w:p>
            <w:pPr>
              <w:keepNext w:val="0"/>
              <w:keepLines w:val="0"/>
              <w:suppressLineNumbers w:val="0"/>
              <w:spacing w:before="0" w:beforeAutospacing="0" w:after="0" w:afterAutospacing="0"/>
              <w:ind w:left="0" w:right="0"/>
              <w:rPr>
                <w:rFonts w:hint="default" w:ascii="Times New Roman" w:hAnsi="Times New Roman" w:eastAsia="宋体" w:cs="Times New Roman"/>
                <w:i w:val="0"/>
                <w:iCs w:val="0"/>
                <w:color w:val="000000"/>
                <w:sz w:val="24"/>
                <w:szCs w:val="24"/>
                <w:u w:val="none"/>
              </w:rPr>
            </w:pPr>
          </w:p>
        </w:tc>
        <w:tc>
          <w:tcPr>
            <w:tcW w:w="0" w:type="auto"/>
            <w:tcBorders>
              <w:top w:val="nil"/>
              <w:left w:val="nil"/>
              <w:bottom w:val="nil"/>
              <w:right w:val="nil"/>
            </w:tcBorders>
            <w:shd w:val="clear" w:color="auto" w:fill="auto"/>
            <w:noWrap/>
            <w:vAlign w:val="center"/>
          </w:tcPr>
          <w:p>
            <w:pPr>
              <w:keepNext w:val="0"/>
              <w:keepLines w:val="0"/>
              <w:suppressLineNumbers w:val="0"/>
              <w:spacing w:before="0" w:beforeAutospacing="0" w:after="0" w:afterAutospacing="0"/>
              <w:ind w:left="0" w:right="0"/>
              <w:rPr>
                <w:rFonts w:hint="default" w:ascii="Times New Roman" w:hAnsi="Times New Roman" w:eastAsia="宋体" w:cs="Times New Roman"/>
                <w:i w:val="0"/>
                <w:iCs w:val="0"/>
                <w:color w:val="000000"/>
                <w:sz w:val="24"/>
                <w:szCs w:val="24"/>
                <w:u w:val="none"/>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0" w:type="auto"/>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ind w:left="0" w:right="0" w:firstLine="240" w:firstLineChars="10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Low</w:t>
            </w:r>
          </w:p>
        </w:tc>
        <w:tc>
          <w:tcPr>
            <w:tcW w:w="0" w:type="auto"/>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-0.38 ± 0.30</w:t>
            </w:r>
          </w:p>
        </w:tc>
        <w:tc>
          <w:tcPr>
            <w:tcW w:w="0" w:type="auto"/>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0.18 ± 0.26</w:t>
            </w:r>
          </w:p>
        </w:tc>
        <w:tc>
          <w:tcPr>
            <w:tcW w:w="0" w:type="auto"/>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0.95 ± 0.16</w:t>
            </w:r>
          </w:p>
        </w:tc>
        <w:tc>
          <w:tcPr>
            <w:tcW w:w="0" w:type="auto"/>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-0.07 ± 0.42</w:t>
            </w:r>
          </w:p>
        </w:tc>
        <w:tc>
          <w:tcPr>
            <w:tcW w:w="0" w:type="auto"/>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2.28 ± 0.06</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0" w:type="auto"/>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ind w:left="0" w:right="0" w:firstLine="240" w:firstLineChars="10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High</w:t>
            </w:r>
          </w:p>
        </w:tc>
        <w:tc>
          <w:tcPr>
            <w:tcW w:w="0" w:type="auto"/>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-0.43 ± 0.30</w:t>
            </w:r>
          </w:p>
        </w:tc>
        <w:tc>
          <w:tcPr>
            <w:tcW w:w="0" w:type="auto"/>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0.19 ± 0.25</w:t>
            </w:r>
          </w:p>
        </w:tc>
        <w:tc>
          <w:tcPr>
            <w:tcW w:w="0" w:type="auto"/>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0.94 ± 0.15</w:t>
            </w:r>
          </w:p>
        </w:tc>
        <w:tc>
          <w:tcPr>
            <w:tcW w:w="0" w:type="auto"/>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0.04 ± 0.44</w:t>
            </w:r>
          </w:p>
        </w:tc>
        <w:tc>
          <w:tcPr>
            <w:tcW w:w="0" w:type="auto"/>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2.29 ± 0.07</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0" w:type="auto"/>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Diabetes, n (%)</w:t>
            </w:r>
          </w:p>
        </w:tc>
        <w:tc>
          <w:tcPr>
            <w:tcW w:w="0" w:type="auto"/>
            <w:tcBorders>
              <w:top w:val="nil"/>
              <w:left w:val="nil"/>
              <w:bottom w:val="nil"/>
              <w:right w:val="nil"/>
            </w:tcBorders>
            <w:shd w:val="clear" w:color="auto" w:fill="auto"/>
            <w:noWrap/>
            <w:vAlign w:val="center"/>
          </w:tcPr>
          <w:p>
            <w:pPr>
              <w:keepNext w:val="0"/>
              <w:keepLines w:val="0"/>
              <w:suppressLineNumbers w:val="0"/>
              <w:spacing w:before="0" w:beforeAutospacing="0" w:after="0" w:afterAutospacing="0"/>
              <w:ind w:left="0" w:right="0"/>
              <w:rPr>
                <w:rFonts w:hint="default" w:ascii="Times New Roman" w:hAnsi="Times New Roman" w:eastAsia="宋体" w:cs="Times New Roman"/>
                <w:i w:val="0"/>
                <w:iCs w:val="0"/>
                <w:color w:val="000000"/>
                <w:sz w:val="24"/>
                <w:szCs w:val="24"/>
                <w:u w:val="none"/>
              </w:rPr>
            </w:pPr>
          </w:p>
        </w:tc>
        <w:tc>
          <w:tcPr>
            <w:tcW w:w="0" w:type="auto"/>
            <w:tcBorders>
              <w:top w:val="nil"/>
              <w:left w:val="nil"/>
              <w:bottom w:val="nil"/>
              <w:right w:val="nil"/>
            </w:tcBorders>
            <w:shd w:val="clear" w:color="auto" w:fill="auto"/>
            <w:noWrap/>
            <w:vAlign w:val="center"/>
          </w:tcPr>
          <w:p>
            <w:pPr>
              <w:keepNext w:val="0"/>
              <w:keepLines w:val="0"/>
              <w:suppressLineNumbers w:val="0"/>
              <w:spacing w:before="0" w:beforeAutospacing="0" w:after="0" w:afterAutospacing="0"/>
              <w:ind w:left="0" w:right="0"/>
              <w:rPr>
                <w:rFonts w:hint="default" w:ascii="Times New Roman" w:hAnsi="Times New Roman" w:eastAsia="宋体" w:cs="Times New Roman"/>
                <w:i w:val="0"/>
                <w:iCs w:val="0"/>
                <w:color w:val="000000"/>
                <w:sz w:val="24"/>
                <w:szCs w:val="24"/>
                <w:u w:val="none"/>
              </w:rPr>
            </w:pPr>
          </w:p>
        </w:tc>
        <w:tc>
          <w:tcPr>
            <w:tcW w:w="0" w:type="auto"/>
            <w:tcBorders>
              <w:top w:val="nil"/>
              <w:left w:val="nil"/>
              <w:bottom w:val="nil"/>
              <w:right w:val="nil"/>
            </w:tcBorders>
            <w:shd w:val="clear" w:color="auto" w:fill="auto"/>
            <w:noWrap/>
            <w:vAlign w:val="center"/>
          </w:tcPr>
          <w:p>
            <w:pPr>
              <w:keepNext w:val="0"/>
              <w:keepLines w:val="0"/>
              <w:suppressLineNumbers w:val="0"/>
              <w:spacing w:before="0" w:beforeAutospacing="0" w:after="0" w:afterAutospacing="0"/>
              <w:ind w:left="0" w:right="0"/>
              <w:rPr>
                <w:rFonts w:hint="default" w:ascii="Times New Roman" w:hAnsi="Times New Roman" w:eastAsia="宋体" w:cs="Times New Roman"/>
                <w:i w:val="0"/>
                <w:iCs w:val="0"/>
                <w:color w:val="000000"/>
                <w:sz w:val="24"/>
                <w:szCs w:val="24"/>
                <w:u w:val="none"/>
              </w:rPr>
            </w:pPr>
          </w:p>
        </w:tc>
        <w:tc>
          <w:tcPr>
            <w:tcW w:w="0" w:type="auto"/>
            <w:tcBorders>
              <w:top w:val="nil"/>
              <w:left w:val="nil"/>
              <w:bottom w:val="nil"/>
              <w:right w:val="nil"/>
            </w:tcBorders>
            <w:shd w:val="clear" w:color="auto" w:fill="auto"/>
            <w:noWrap/>
            <w:vAlign w:val="center"/>
          </w:tcPr>
          <w:p>
            <w:pPr>
              <w:keepNext w:val="0"/>
              <w:keepLines w:val="0"/>
              <w:suppressLineNumbers w:val="0"/>
              <w:spacing w:before="0" w:beforeAutospacing="0" w:after="0" w:afterAutospacing="0"/>
              <w:ind w:left="0" w:right="0"/>
              <w:rPr>
                <w:rFonts w:hint="default" w:ascii="Times New Roman" w:hAnsi="Times New Roman" w:eastAsia="宋体" w:cs="Times New Roman"/>
                <w:i w:val="0"/>
                <w:iCs w:val="0"/>
                <w:color w:val="000000"/>
                <w:sz w:val="24"/>
                <w:szCs w:val="24"/>
                <w:u w:val="none"/>
              </w:rPr>
            </w:pPr>
          </w:p>
        </w:tc>
        <w:tc>
          <w:tcPr>
            <w:tcW w:w="0" w:type="auto"/>
            <w:tcBorders>
              <w:top w:val="nil"/>
              <w:left w:val="nil"/>
              <w:bottom w:val="nil"/>
              <w:right w:val="nil"/>
            </w:tcBorders>
            <w:shd w:val="clear" w:color="auto" w:fill="auto"/>
            <w:noWrap/>
            <w:vAlign w:val="center"/>
          </w:tcPr>
          <w:p>
            <w:pPr>
              <w:keepNext w:val="0"/>
              <w:keepLines w:val="0"/>
              <w:suppressLineNumbers w:val="0"/>
              <w:spacing w:before="0" w:beforeAutospacing="0" w:after="0" w:afterAutospacing="0"/>
              <w:ind w:left="0" w:right="0"/>
              <w:rPr>
                <w:rFonts w:hint="default" w:ascii="Times New Roman" w:hAnsi="Times New Roman" w:eastAsia="宋体" w:cs="Times New Roman"/>
                <w:i w:val="0"/>
                <w:iCs w:val="0"/>
                <w:color w:val="000000"/>
                <w:sz w:val="24"/>
                <w:szCs w:val="24"/>
                <w:u w:val="none"/>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0" w:type="auto"/>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ind w:left="0" w:right="0" w:firstLine="240" w:firstLineChars="10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No</w:t>
            </w:r>
          </w:p>
        </w:tc>
        <w:tc>
          <w:tcPr>
            <w:tcW w:w="0" w:type="auto"/>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-0.39 ± 0.30</w:t>
            </w:r>
          </w:p>
        </w:tc>
        <w:tc>
          <w:tcPr>
            <w:tcW w:w="0" w:type="auto"/>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0.21 ± 0.25</w:t>
            </w:r>
          </w:p>
        </w:tc>
        <w:tc>
          <w:tcPr>
            <w:tcW w:w="0" w:type="auto"/>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0.95 ± 0.16</w:t>
            </w:r>
          </w:p>
        </w:tc>
        <w:tc>
          <w:tcPr>
            <w:tcW w:w="0" w:type="auto"/>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0.00 ± 0.44</w:t>
            </w:r>
          </w:p>
        </w:tc>
        <w:tc>
          <w:tcPr>
            <w:tcW w:w="0" w:type="auto"/>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2.29 ± 0.06</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0" w:type="auto"/>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ind w:left="0" w:right="0" w:firstLine="240" w:firstLineChars="10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Yes</w:t>
            </w:r>
          </w:p>
        </w:tc>
        <w:tc>
          <w:tcPr>
            <w:tcW w:w="0" w:type="auto"/>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-0.45 ± 0.31</w:t>
            </w:r>
          </w:p>
        </w:tc>
        <w:tc>
          <w:tcPr>
            <w:tcW w:w="0" w:type="auto"/>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0.13 ± 0.27</w:t>
            </w:r>
          </w:p>
        </w:tc>
        <w:tc>
          <w:tcPr>
            <w:tcW w:w="0" w:type="auto"/>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0.93 ± 0.16</w:t>
            </w:r>
          </w:p>
        </w:tc>
        <w:tc>
          <w:tcPr>
            <w:tcW w:w="0" w:type="auto"/>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-0.06 ± 0.42</w:t>
            </w:r>
          </w:p>
        </w:tc>
        <w:tc>
          <w:tcPr>
            <w:tcW w:w="0" w:type="auto"/>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2.29 ± 0.06</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0" w:type="auto"/>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Hypertension, n (%)</w:t>
            </w:r>
          </w:p>
        </w:tc>
        <w:tc>
          <w:tcPr>
            <w:tcW w:w="0" w:type="auto"/>
            <w:tcBorders>
              <w:top w:val="nil"/>
              <w:left w:val="nil"/>
              <w:bottom w:val="nil"/>
              <w:right w:val="nil"/>
            </w:tcBorders>
            <w:shd w:val="clear" w:color="auto" w:fill="auto"/>
            <w:noWrap/>
            <w:vAlign w:val="center"/>
          </w:tcPr>
          <w:p>
            <w:pPr>
              <w:keepNext w:val="0"/>
              <w:keepLines w:val="0"/>
              <w:suppressLineNumbers w:val="0"/>
              <w:spacing w:before="0" w:beforeAutospacing="0" w:after="0" w:afterAutospacing="0"/>
              <w:ind w:left="0" w:right="0"/>
              <w:rPr>
                <w:rFonts w:hint="default" w:ascii="Times New Roman" w:hAnsi="Times New Roman" w:eastAsia="宋体" w:cs="Times New Roman"/>
                <w:i w:val="0"/>
                <w:iCs w:val="0"/>
                <w:color w:val="000000"/>
                <w:sz w:val="24"/>
                <w:szCs w:val="24"/>
                <w:u w:val="none"/>
              </w:rPr>
            </w:pPr>
          </w:p>
        </w:tc>
        <w:tc>
          <w:tcPr>
            <w:tcW w:w="0" w:type="auto"/>
            <w:tcBorders>
              <w:top w:val="nil"/>
              <w:left w:val="nil"/>
              <w:bottom w:val="nil"/>
              <w:right w:val="nil"/>
            </w:tcBorders>
            <w:shd w:val="clear" w:color="auto" w:fill="auto"/>
            <w:noWrap/>
            <w:vAlign w:val="center"/>
          </w:tcPr>
          <w:p>
            <w:pPr>
              <w:keepNext w:val="0"/>
              <w:keepLines w:val="0"/>
              <w:suppressLineNumbers w:val="0"/>
              <w:spacing w:before="0" w:beforeAutospacing="0" w:after="0" w:afterAutospacing="0"/>
              <w:ind w:left="0" w:right="0"/>
              <w:rPr>
                <w:rFonts w:hint="default" w:ascii="Times New Roman" w:hAnsi="Times New Roman" w:eastAsia="宋体" w:cs="Times New Roman"/>
                <w:i w:val="0"/>
                <w:iCs w:val="0"/>
                <w:color w:val="000000"/>
                <w:sz w:val="24"/>
                <w:szCs w:val="24"/>
                <w:u w:val="none"/>
              </w:rPr>
            </w:pPr>
          </w:p>
        </w:tc>
        <w:tc>
          <w:tcPr>
            <w:tcW w:w="0" w:type="auto"/>
            <w:tcBorders>
              <w:top w:val="nil"/>
              <w:left w:val="nil"/>
              <w:bottom w:val="nil"/>
              <w:right w:val="nil"/>
            </w:tcBorders>
            <w:shd w:val="clear" w:color="auto" w:fill="auto"/>
            <w:noWrap/>
            <w:vAlign w:val="center"/>
          </w:tcPr>
          <w:p>
            <w:pPr>
              <w:keepNext w:val="0"/>
              <w:keepLines w:val="0"/>
              <w:suppressLineNumbers w:val="0"/>
              <w:spacing w:before="0" w:beforeAutospacing="0" w:after="0" w:afterAutospacing="0"/>
              <w:ind w:left="0" w:right="0"/>
              <w:rPr>
                <w:rFonts w:hint="default" w:ascii="Times New Roman" w:hAnsi="Times New Roman" w:eastAsia="宋体" w:cs="Times New Roman"/>
                <w:i w:val="0"/>
                <w:iCs w:val="0"/>
                <w:color w:val="000000"/>
                <w:sz w:val="24"/>
                <w:szCs w:val="24"/>
                <w:u w:val="none"/>
              </w:rPr>
            </w:pPr>
          </w:p>
        </w:tc>
        <w:tc>
          <w:tcPr>
            <w:tcW w:w="0" w:type="auto"/>
            <w:tcBorders>
              <w:top w:val="nil"/>
              <w:left w:val="nil"/>
              <w:bottom w:val="nil"/>
              <w:right w:val="nil"/>
            </w:tcBorders>
            <w:shd w:val="clear" w:color="auto" w:fill="auto"/>
            <w:noWrap/>
            <w:vAlign w:val="center"/>
          </w:tcPr>
          <w:p>
            <w:pPr>
              <w:keepNext w:val="0"/>
              <w:keepLines w:val="0"/>
              <w:suppressLineNumbers w:val="0"/>
              <w:spacing w:before="0" w:beforeAutospacing="0" w:after="0" w:afterAutospacing="0"/>
              <w:ind w:left="0" w:right="0"/>
              <w:rPr>
                <w:rFonts w:hint="default" w:ascii="Times New Roman" w:hAnsi="Times New Roman" w:eastAsia="宋体" w:cs="Times New Roman"/>
                <w:i w:val="0"/>
                <w:iCs w:val="0"/>
                <w:color w:val="000000"/>
                <w:sz w:val="24"/>
                <w:szCs w:val="24"/>
                <w:u w:val="none"/>
              </w:rPr>
            </w:pPr>
          </w:p>
        </w:tc>
        <w:tc>
          <w:tcPr>
            <w:tcW w:w="0" w:type="auto"/>
            <w:tcBorders>
              <w:top w:val="nil"/>
              <w:left w:val="nil"/>
              <w:bottom w:val="nil"/>
              <w:right w:val="nil"/>
            </w:tcBorders>
            <w:shd w:val="clear" w:color="auto" w:fill="auto"/>
            <w:noWrap/>
            <w:vAlign w:val="center"/>
          </w:tcPr>
          <w:p>
            <w:pPr>
              <w:keepNext w:val="0"/>
              <w:keepLines w:val="0"/>
              <w:suppressLineNumbers w:val="0"/>
              <w:spacing w:before="0" w:beforeAutospacing="0" w:after="0" w:afterAutospacing="0"/>
              <w:ind w:left="0" w:right="0"/>
              <w:rPr>
                <w:rFonts w:hint="default" w:ascii="Times New Roman" w:hAnsi="Times New Roman" w:eastAsia="宋体" w:cs="Times New Roman"/>
                <w:i w:val="0"/>
                <w:iCs w:val="0"/>
                <w:color w:val="000000"/>
                <w:sz w:val="24"/>
                <w:szCs w:val="24"/>
                <w:u w:val="none"/>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0" w:type="auto"/>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ind w:left="0" w:right="0" w:firstLine="240" w:firstLineChars="10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No</w:t>
            </w:r>
          </w:p>
        </w:tc>
        <w:tc>
          <w:tcPr>
            <w:tcW w:w="0" w:type="auto"/>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-0.40 ± 0.30</w:t>
            </w:r>
          </w:p>
        </w:tc>
        <w:tc>
          <w:tcPr>
            <w:tcW w:w="0" w:type="auto"/>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0.18 ± 0.26</w:t>
            </w:r>
          </w:p>
        </w:tc>
        <w:tc>
          <w:tcPr>
            <w:tcW w:w="0" w:type="auto"/>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0.95 ± 0.15</w:t>
            </w:r>
          </w:p>
        </w:tc>
        <w:tc>
          <w:tcPr>
            <w:tcW w:w="0" w:type="auto"/>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0.03 ± 0.47</w:t>
            </w:r>
          </w:p>
        </w:tc>
        <w:tc>
          <w:tcPr>
            <w:tcW w:w="0" w:type="auto"/>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2.28 ± 0.06</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0" w:type="auto"/>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ind w:left="0" w:right="0" w:firstLine="240" w:firstLineChars="10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Yes</w:t>
            </w:r>
          </w:p>
        </w:tc>
        <w:tc>
          <w:tcPr>
            <w:tcW w:w="0" w:type="auto"/>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-0.41 ± 0.30</w:t>
            </w:r>
          </w:p>
        </w:tc>
        <w:tc>
          <w:tcPr>
            <w:tcW w:w="0" w:type="auto"/>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0.19 ± 0.26</w:t>
            </w:r>
          </w:p>
        </w:tc>
        <w:tc>
          <w:tcPr>
            <w:tcW w:w="0" w:type="auto"/>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0.94 ± 0.16</w:t>
            </w:r>
          </w:p>
        </w:tc>
        <w:tc>
          <w:tcPr>
            <w:tcW w:w="0" w:type="auto"/>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-0.02 ± 0.43</w:t>
            </w:r>
          </w:p>
        </w:tc>
        <w:tc>
          <w:tcPr>
            <w:tcW w:w="0" w:type="auto"/>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2.29 ± 0.06</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0" w:type="auto"/>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Hyperlipidemia, n (%)</w:t>
            </w:r>
          </w:p>
        </w:tc>
        <w:tc>
          <w:tcPr>
            <w:tcW w:w="0" w:type="auto"/>
            <w:tcBorders>
              <w:top w:val="nil"/>
              <w:left w:val="nil"/>
              <w:bottom w:val="nil"/>
              <w:right w:val="nil"/>
            </w:tcBorders>
            <w:shd w:val="clear" w:color="auto" w:fill="auto"/>
            <w:noWrap/>
            <w:vAlign w:val="center"/>
          </w:tcPr>
          <w:p>
            <w:pPr>
              <w:keepNext w:val="0"/>
              <w:keepLines w:val="0"/>
              <w:suppressLineNumbers w:val="0"/>
              <w:spacing w:before="0" w:beforeAutospacing="0" w:after="0" w:afterAutospacing="0"/>
              <w:ind w:left="0" w:right="0"/>
              <w:rPr>
                <w:rFonts w:hint="default" w:ascii="Times New Roman" w:hAnsi="Times New Roman" w:eastAsia="宋体" w:cs="Times New Roman"/>
                <w:i w:val="0"/>
                <w:iCs w:val="0"/>
                <w:color w:val="000000"/>
                <w:sz w:val="24"/>
                <w:szCs w:val="24"/>
                <w:u w:val="none"/>
              </w:rPr>
            </w:pPr>
          </w:p>
        </w:tc>
        <w:tc>
          <w:tcPr>
            <w:tcW w:w="0" w:type="auto"/>
            <w:tcBorders>
              <w:top w:val="nil"/>
              <w:left w:val="nil"/>
              <w:bottom w:val="nil"/>
              <w:right w:val="nil"/>
            </w:tcBorders>
            <w:shd w:val="clear" w:color="auto" w:fill="auto"/>
            <w:noWrap/>
            <w:vAlign w:val="center"/>
          </w:tcPr>
          <w:p>
            <w:pPr>
              <w:keepNext w:val="0"/>
              <w:keepLines w:val="0"/>
              <w:suppressLineNumbers w:val="0"/>
              <w:spacing w:before="0" w:beforeAutospacing="0" w:after="0" w:afterAutospacing="0"/>
              <w:ind w:left="0" w:right="0"/>
              <w:rPr>
                <w:rFonts w:hint="default" w:ascii="Times New Roman" w:hAnsi="Times New Roman" w:eastAsia="宋体" w:cs="Times New Roman"/>
                <w:i w:val="0"/>
                <w:iCs w:val="0"/>
                <w:color w:val="000000"/>
                <w:sz w:val="24"/>
                <w:szCs w:val="24"/>
                <w:u w:val="none"/>
              </w:rPr>
            </w:pPr>
          </w:p>
        </w:tc>
        <w:tc>
          <w:tcPr>
            <w:tcW w:w="0" w:type="auto"/>
            <w:tcBorders>
              <w:top w:val="nil"/>
              <w:left w:val="nil"/>
              <w:bottom w:val="nil"/>
              <w:right w:val="nil"/>
            </w:tcBorders>
            <w:shd w:val="clear" w:color="auto" w:fill="auto"/>
            <w:noWrap/>
            <w:vAlign w:val="center"/>
          </w:tcPr>
          <w:p>
            <w:pPr>
              <w:keepNext w:val="0"/>
              <w:keepLines w:val="0"/>
              <w:suppressLineNumbers w:val="0"/>
              <w:spacing w:before="0" w:beforeAutospacing="0" w:after="0" w:afterAutospacing="0"/>
              <w:ind w:left="0" w:right="0"/>
              <w:rPr>
                <w:rFonts w:hint="default" w:ascii="Times New Roman" w:hAnsi="Times New Roman" w:eastAsia="宋体" w:cs="Times New Roman"/>
                <w:i w:val="0"/>
                <w:iCs w:val="0"/>
                <w:color w:val="000000"/>
                <w:sz w:val="24"/>
                <w:szCs w:val="24"/>
                <w:u w:val="none"/>
              </w:rPr>
            </w:pPr>
          </w:p>
        </w:tc>
        <w:tc>
          <w:tcPr>
            <w:tcW w:w="0" w:type="auto"/>
            <w:tcBorders>
              <w:top w:val="nil"/>
              <w:left w:val="nil"/>
              <w:bottom w:val="nil"/>
              <w:right w:val="nil"/>
            </w:tcBorders>
            <w:shd w:val="clear" w:color="auto" w:fill="auto"/>
            <w:noWrap/>
            <w:vAlign w:val="center"/>
          </w:tcPr>
          <w:p>
            <w:pPr>
              <w:keepNext w:val="0"/>
              <w:keepLines w:val="0"/>
              <w:suppressLineNumbers w:val="0"/>
              <w:spacing w:before="0" w:beforeAutospacing="0" w:after="0" w:afterAutospacing="0"/>
              <w:ind w:left="0" w:right="0"/>
              <w:rPr>
                <w:rFonts w:hint="default" w:ascii="Times New Roman" w:hAnsi="Times New Roman" w:eastAsia="宋体" w:cs="Times New Roman"/>
                <w:i w:val="0"/>
                <w:iCs w:val="0"/>
                <w:color w:val="000000"/>
                <w:sz w:val="24"/>
                <w:szCs w:val="24"/>
                <w:u w:val="none"/>
              </w:rPr>
            </w:pPr>
          </w:p>
        </w:tc>
        <w:tc>
          <w:tcPr>
            <w:tcW w:w="0" w:type="auto"/>
            <w:tcBorders>
              <w:top w:val="nil"/>
              <w:left w:val="nil"/>
              <w:bottom w:val="nil"/>
              <w:right w:val="nil"/>
            </w:tcBorders>
            <w:shd w:val="clear" w:color="auto" w:fill="auto"/>
            <w:noWrap/>
            <w:vAlign w:val="center"/>
          </w:tcPr>
          <w:p>
            <w:pPr>
              <w:keepNext w:val="0"/>
              <w:keepLines w:val="0"/>
              <w:suppressLineNumbers w:val="0"/>
              <w:spacing w:before="0" w:beforeAutospacing="0" w:after="0" w:afterAutospacing="0"/>
              <w:ind w:left="0" w:right="0"/>
              <w:rPr>
                <w:rFonts w:hint="default" w:ascii="Times New Roman" w:hAnsi="Times New Roman" w:eastAsia="宋体" w:cs="Times New Roman"/>
                <w:i w:val="0"/>
                <w:iCs w:val="0"/>
                <w:color w:val="000000"/>
                <w:sz w:val="24"/>
                <w:szCs w:val="24"/>
                <w:u w:val="none"/>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0" w:type="auto"/>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ind w:left="0" w:right="0" w:firstLine="240" w:firstLineChars="10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No</w:t>
            </w:r>
          </w:p>
        </w:tc>
        <w:tc>
          <w:tcPr>
            <w:tcW w:w="0" w:type="auto"/>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-0.38 ± 0.31</w:t>
            </w:r>
          </w:p>
        </w:tc>
        <w:tc>
          <w:tcPr>
            <w:tcW w:w="0" w:type="auto"/>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0.21 ± 0.27</w:t>
            </w:r>
          </w:p>
        </w:tc>
        <w:tc>
          <w:tcPr>
            <w:tcW w:w="0" w:type="auto"/>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0.95 ± 0.16</w:t>
            </w:r>
          </w:p>
        </w:tc>
        <w:tc>
          <w:tcPr>
            <w:tcW w:w="0" w:type="auto"/>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-0.03 ± 0.44</w:t>
            </w:r>
          </w:p>
        </w:tc>
        <w:tc>
          <w:tcPr>
            <w:tcW w:w="0" w:type="auto"/>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2.28 ± 0.07</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0" w:type="auto"/>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ind w:left="0" w:right="0" w:firstLine="240" w:firstLineChars="10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Yes</w:t>
            </w:r>
          </w:p>
        </w:tc>
        <w:tc>
          <w:tcPr>
            <w:tcW w:w="0" w:type="auto"/>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-0.42 ± 0.30</w:t>
            </w:r>
          </w:p>
        </w:tc>
        <w:tc>
          <w:tcPr>
            <w:tcW w:w="0" w:type="auto"/>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0.17 ± 0.25</w:t>
            </w:r>
          </w:p>
        </w:tc>
        <w:tc>
          <w:tcPr>
            <w:tcW w:w="0" w:type="auto"/>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0.94 ± 0.15</w:t>
            </w:r>
          </w:p>
        </w:tc>
        <w:tc>
          <w:tcPr>
            <w:tcW w:w="0" w:type="auto"/>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-0.01 ± 0.43</w:t>
            </w:r>
          </w:p>
        </w:tc>
        <w:tc>
          <w:tcPr>
            <w:tcW w:w="0" w:type="auto"/>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2.29 ± 0.06</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0" w:type="auto"/>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DII group, n (%)</w:t>
            </w:r>
          </w:p>
        </w:tc>
        <w:tc>
          <w:tcPr>
            <w:tcW w:w="0" w:type="auto"/>
            <w:tcBorders>
              <w:top w:val="nil"/>
              <w:left w:val="nil"/>
              <w:bottom w:val="nil"/>
              <w:right w:val="nil"/>
            </w:tcBorders>
            <w:shd w:val="clear" w:color="auto" w:fill="auto"/>
            <w:noWrap/>
            <w:vAlign w:val="center"/>
          </w:tcPr>
          <w:p>
            <w:pPr>
              <w:keepNext w:val="0"/>
              <w:keepLines w:val="0"/>
              <w:suppressLineNumbers w:val="0"/>
              <w:spacing w:before="0" w:beforeAutospacing="0" w:after="0" w:afterAutospacing="0"/>
              <w:ind w:left="0" w:right="0"/>
              <w:rPr>
                <w:rFonts w:hint="default" w:ascii="Times New Roman" w:hAnsi="Times New Roman" w:eastAsia="宋体" w:cs="Times New Roman"/>
                <w:i w:val="0"/>
                <w:iCs w:val="0"/>
                <w:color w:val="000000"/>
                <w:sz w:val="24"/>
                <w:szCs w:val="24"/>
                <w:u w:val="none"/>
              </w:rPr>
            </w:pPr>
          </w:p>
        </w:tc>
        <w:tc>
          <w:tcPr>
            <w:tcW w:w="0" w:type="auto"/>
            <w:tcBorders>
              <w:top w:val="nil"/>
              <w:left w:val="nil"/>
              <w:bottom w:val="nil"/>
              <w:right w:val="nil"/>
            </w:tcBorders>
            <w:shd w:val="clear" w:color="auto" w:fill="auto"/>
            <w:noWrap/>
            <w:vAlign w:val="center"/>
          </w:tcPr>
          <w:p>
            <w:pPr>
              <w:keepNext w:val="0"/>
              <w:keepLines w:val="0"/>
              <w:suppressLineNumbers w:val="0"/>
              <w:spacing w:before="0" w:beforeAutospacing="0" w:after="0" w:afterAutospacing="0"/>
              <w:ind w:left="0" w:right="0"/>
              <w:rPr>
                <w:rFonts w:hint="default" w:ascii="Times New Roman" w:hAnsi="Times New Roman" w:eastAsia="宋体" w:cs="Times New Roman"/>
                <w:i w:val="0"/>
                <w:iCs w:val="0"/>
                <w:color w:val="000000"/>
                <w:sz w:val="24"/>
                <w:szCs w:val="24"/>
                <w:u w:val="none"/>
              </w:rPr>
            </w:pPr>
          </w:p>
        </w:tc>
        <w:tc>
          <w:tcPr>
            <w:tcW w:w="0" w:type="auto"/>
            <w:tcBorders>
              <w:top w:val="nil"/>
              <w:left w:val="nil"/>
              <w:bottom w:val="nil"/>
              <w:right w:val="nil"/>
            </w:tcBorders>
            <w:shd w:val="clear" w:color="auto" w:fill="auto"/>
            <w:noWrap/>
            <w:vAlign w:val="center"/>
          </w:tcPr>
          <w:p>
            <w:pPr>
              <w:keepNext w:val="0"/>
              <w:keepLines w:val="0"/>
              <w:suppressLineNumbers w:val="0"/>
              <w:spacing w:before="0" w:beforeAutospacing="0" w:after="0" w:afterAutospacing="0"/>
              <w:ind w:left="0" w:right="0"/>
              <w:rPr>
                <w:rFonts w:hint="default" w:ascii="Times New Roman" w:hAnsi="Times New Roman" w:eastAsia="宋体" w:cs="Times New Roman"/>
                <w:i w:val="0"/>
                <w:iCs w:val="0"/>
                <w:color w:val="000000"/>
                <w:sz w:val="24"/>
                <w:szCs w:val="24"/>
                <w:u w:val="none"/>
              </w:rPr>
            </w:pPr>
          </w:p>
        </w:tc>
        <w:tc>
          <w:tcPr>
            <w:tcW w:w="0" w:type="auto"/>
            <w:tcBorders>
              <w:top w:val="nil"/>
              <w:left w:val="nil"/>
              <w:bottom w:val="nil"/>
              <w:right w:val="nil"/>
            </w:tcBorders>
            <w:shd w:val="clear" w:color="auto" w:fill="auto"/>
            <w:noWrap/>
            <w:vAlign w:val="center"/>
          </w:tcPr>
          <w:p>
            <w:pPr>
              <w:keepNext w:val="0"/>
              <w:keepLines w:val="0"/>
              <w:suppressLineNumbers w:val="0"/>
              <w:spacing w:before="0" w:beforeAutospacing="0" w:after="0" w:afterAutospacing="0"/>
              <w:ind w:left="0" w:right="0"/>
              <w:rPr>
                <w:rFonts w:hint="default" w:ascii="Times New Roman" w:hAnsi="Times New Roman" w:eastAsia="宋体" w:cs="Times New Roman"/>
                <w:i w:val="0"/>
                <w:iCs w:val="0"/>
                <w:color w:val="000000"/>
                <w:sz w:val="24"/>
                <w:szCs w:val="24"/>
                <w:u w:val="none"/>
              </w:rPr>
            </w:pPr>
          </w:p>
        </w:tc>
        <w:tc>
          <w:tcPr>
            <w:tcW w:w="0" w:type="auto"/>
            <w:tcBorders>
              <w:top w:val="nil"/>
              <w:left w:val="nil"/>
              <w:bottom w:val="nil"/>
              <w:right w:val="nil"/>
            </w:tcBorders>
            <w:shd w:val="clear" w:color="auto" w:fill="auto"/>
            <w:noWrap/>
            <w:vAlign w:val="center"/>
          </w:tcPr>
          <w:p>
            <w:pPr>
              <w:keepNext w:val="0"/>
              <w:keepLines w:val="0"/>
              <w:suppressLineNumbers w:val="0"/>
              <w:spacing w:before="0" w:beforeAutospacing="0" w:after="0" w:afterAutospacing="0"/>
              <w:ind w:left="0" w:right="0"/>
              <w:rPr>
                <w:rFonts w:hint="default" w:ascii="Times New Roman" w:hAnsi="Times New Roman" w:eastAsia="宋体" w:cs="Times New Roman"/>
                <w:i w:val="0"/>
                <w:iCs w:val="0"/>
                <w:color w:val="000000"/>
                <w:sz w:val="24"/>
                <w:szCs w:val="24"/>
                <w:u w:val="none"/>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0" w:type="auto"/>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ind w:left="0" w:right="0" w:firstLine="240" w:firstLineChars="10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pro-inflammatory diet</w:t>
            </w:r>
          </w:p>
        </w:tc>
        <w:tc>
          <w:tcPr>
            <w:tcW w:w="0" w:type="auto"/>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-0.39 ± 0.31</w:t>
            </w:r>
          </w:p>
        </w:tc>
        <w:tc>
          <w:tcPr>
            <w:tcW w:w="0" w:type="auto"/>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0.19 ± 0.26</w:t>
            </w:r>
          </w:p>
        </w:tc>
        <w:tc>
          <w:tcPr>
            <w:tcW w:w="0" w:type="auto"/>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0.94 ± 0.17</w:t>
            </w:r>
          </w:p>
        </w:tc>
        <w:tc>
          <w:tcPr>
            <w:tcW w:w="0" w:type="auto"/>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-0.07 ± 0.42</w:t>
            </w:r>
          </w:p>
        </w:tc>
        <w:tc>
          <w:tcPr>
            <w:tcW w:w="0" w:type="auto"/>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2.28 ± 0.06</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0" w:type="auto"/>
            <w:tcBorders>
              <w:top w:val="nil"/>
              <w:left w:val="nil"/>
              <w:right w:val="nil"/>
            </w:tcBorders>
            <w:shd w:val="clear" w:color="auto" w:fill="auto"/>
            <w:noWrap/>
            <w:vAlign w:val="center"/>
          </w:tcPr>
          <w:p>
            <w:pPr>
              <w:keepNext w:val="0"/>
              <w:keepLines w:val="0"/>
              <w:widowControl/>
              <w:suppressLineNumbers w:val="0"/>
              <w:spacing w:before="0" w:beforeAutospacing="0" w:after="0" w:afterAutospacing="0"/>
              <w:ind w:left="0" w:right="0" w:firstLine="240" w:firstLineChars="10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anti-inflammatory diet</w:t>
            </w:r>
          </w:p>
        </w:tc>
        <w:tc>
          <w:tcPr>
            <w:tcW w:w="0" w:type="auto"/>
            <w:tcBorders>
              <w:top w:val="nil"/>
              <w:left w:val="nil"/>
              <w:right w:val="nil"/>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-0.44 ± 0.28</w:t>
            </w:r>
          </w:p>
        </w:tc>
        <w:tc>
          <w:tcPr>
            <w:tcW w:w="0" w:type="auto"/>
            <w:tcBorders>
              <w:top w:val="nil"/>
              <w:left w:val="nil"/>
              <w:right w:val="nil"/>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0.18 ± 0.25</w:t>
            </w:r>
          </w:p>
        </w:tc>
        <w:tc>
          <w:tcPr>
            <w:tcW w:w="0" w:type="auto"/>
            <w:tcBorders>
              <w:top w:val="nil"/>
              <w:left w:val="nil"/>
              <w:right w:val="nil"/>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0.95 ± 0.14</w:t>
            </w:r>
          </w:p>
        </w:tc>
        <w:tc>
          <w:tcPr>
            <w:tcW w:w="0" w:type="auto"/>
            <w:tcBorders>
              <w:top w:val="nil"/>
              <w:left w:val="nil"/>
              <w:right w:val="nil"/>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0.06 ± 0.44</w:t>
            </w:r>
          </w:p>
        </w:tc>
        <w:tc>
          <w:tcPr>
            <w:tcW w:w="0" w:type="auto"/>
            <w:tcBorders>
              <w:top w:val="nil"/>
              <w:left w:val="nil"/>
              <w:right w:val="nil"/>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2.30 ± 0.07</w:t>
            </w:r>
          </w:p>
        </w:tc>
      </w:tr>
    </w:tbl>
    <w:p>
      <w:pPr>
        <w:rPr>
          <w:rFonts w:hint="default" w:ascii="Times New Roman" w:hAnsi="Times New Roman" w:cs="Times New Roman"/>
          <w:sz w:val="24"/>
          <w:szCs w:val="24"/>
        </w:rPr>
      </w:pPr>
    </w:p>
    <w:p>
      <w:pPr>
        <w:rPr>
          <w:rFonts w:hint="default" w:ascii="Times New Roman" w:hAnsi="Times New Roman" w:cs="Times New Roman"/>
          <w:sz w:val="24"/>
          <w:szCs w:val="24"/>
        </w:rPr>
      </w:pPr>
      <w:r>
        <w:rPr>
          <w:rFonts w:hint="default" w:ascii="Times New Roman" w:hAnsi="Times New Roman" w:cs="Times New Roman"/>
          <w:sz w:val="24"/>
          <w:szCs w:val="24"/>
        </w:rPr>
        <w:br w:type="page"/>
      </w:r>
    </w:p>
    <w:p>
      <w:pPr>
        <w:jc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 xml:space="preserve">Table S2 </w:t>
      </w:r>
      <w:r>
        <w:rPr>
          <w:rFonts w:hint="default" w:ascii="Times New Roman" w:hAnsi="Times New Roman" w:eastAsia="宋体" w:cs="Times New Roman"/>
          <w:i w:val="0"/>
          <w:iCs w:val="0"/>
          <w:color w:val="000000"/>
          <w:sz w:val="22"/>
          <w:szCs w:val="22"/>
          <w:u w:val="none"/>
          <w:lang w:val="en-US" w:eastAsia="zh-CN"/>
        </w:rPr>
        <w:t>Univariate linear regression analysis of the association between Se, Cd and DSST scores, Se and IRT scores.</w:t>
      </w:r>
    </w:p>
    <w:tbl>
      <w:tblPr>
        <w:tblStyle w:val="4"/>
        <w:tblW w:w="0" w:type="auto"/>
        <w:jc w:val="center"/>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231"/>
        <w:gridCol w:w="2306"/>
        <w:gridCol w:w="2306"/>
        <w:gridCol w:w="2306"/>
        <w:gridCol w:w="2306"/>
        <w:gridCol w:w="2306"/>
      </w:tblGrid>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6" w:hRule="atLeast"/>
          <w:jc w:val="center"/>
        </w:trPr>
        <w:tc>
          <w:tcPr>
            <w:tcW w:w="0" w:type="auto"/>
            <w:tcBorders>
              <w:left w:val="nil"/>
              <w:bottom w:val="single" w:color="auto" w:sz="4" w:space="0"/>
              <w:right w:val="nil"/>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Variable</w:t>
            </w:r>
          </w:p>
        </w:tc>
        <w:tc>
          <w:tcPr>
            <w:tcW w:w="0" w:type="auto"/>
            <w:gridSpan w:val="5"/>
            <w:tcBorders>
              <w:left w:val="nil"/>
              <w:bottom w:val="single" w:color="auto" w:sz="4" w:space="0"/>
              <w:right w:val="nil"/>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DSST</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6" w:hRule="atLeast"/>
          <w:jc w:val="center"/>
        </w:trPr>
        <w:tc>
          <w:tcPr>
            <w:tcW w:w="0" w:type="auto"/>
            <w:tcBorders>
              <w:top w:val="single" w:color="auto" w:sz="4" w:space="0"/>
              <w:left w:val="nil"/>
              <w:bottom w:val="nil"/>
              <w:right w:val="nil"/>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Se</w:t>
            </w:r>
          </w:p>
        </w:tc>
        <w:tc>
          <w:tcPr>
            <w:tcW w:w="0" w:type="auto"/>
            <w:tcBorders>
              <w:top w:val="single" w:color="auto" w:sz="4" w:space="0"/>
              <w:left w:val="nil"/>
              <w:bottom w:val="nil"/>
              <w:right w:val="nil"/>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Model 1</w:t>
            </w:r>
          </w:p>
        </w:tc>
        <w:tc>
          <w:tcPr>
            <w:tcW w:w="0" w:type="auto"/>
            <w:tcBorders>
              <w:top w:val="single" w:color="auto" w:sz="4" w:space="0"/>
              <w:left w:val="nil"/>
              <w:bottom w:val="nil"/>
              <w:right w:val="nil"/>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Model 2</w:t>
            </w:r>
          </w:p>
        </w:tc>
        <w:tc>
          <w:tcPr>
            <w:tcW w:w="0" w:type="auto"/>
            <w:tcBorders>
              <w:top w:val="single" w:color="auto" w:sz="4" w:space="0"/>
              <w:left w:val="nil"/>
              <w:bottom w:val="nil"/>
              <w:right w:val="nil"/>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Model 3</w:t>
            </w:r>
          </w:p>
        </w:tc>
        <w:tc>
          <w:tcPr>
            <w:tcW w:w="0" w:type="auto"/>
            <w:tcBorders>
              <w:top w:val="single" w:color="auto" w:sz="4" w:space="0"/>
              <w:left w:val="nil"/>
              <w:bottom w:val="nil"/>
              <w:right w:val="nil"/>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Model 4</w:t>
            </w:r>
          </w:p>
        </w:tc>
        <w:tc>
          <w:tcPr>
            <w:tcW w:w="0" w:type="auto"/>
            <w:tcBorders>
              <w:top w:val="single" w:color="auto" w:sz="4" w:space="0"/>
              <w:left w:val="nil"/>
              <w:bottom w:val="nil"/>
              <w:right w:val="nil"/>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Model 5</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jc w:val="center"/>
        </w:trPr>
        <w:tc>
          <w:tcPr>
            <w:tcW w:w="0" w:type="auto"/>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Continuous</w:t>
            </w:r>
          </w:p>
        </w:tc>
        <w:tc>
          <w:tcPr>
            <w:tcW w:w="0" w:type="auto"/>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15.26 (9.85~20.67)</w:t>
            </w:r>
          </w:p>
        </w:tc>
        <w:tc>
          <w:tcPr>
            <w:tcW w:w="0" w:type="auto"/>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14.46 (9.23~19.7)</w:t>
            </w:r>
          </w:p>
        </w:tc>
        <w:tc>
          <w:tcPr>
            <w:tcW w:w="0" w:type="auto"/>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7.18 (3.08~11.29)</w:t>
            </w:r>
          </w:p>
        </w:tc>
        <w:tc>
          <w:tcPr>
            <w:tcW w:w="0" w:type="auto"/>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6.18 (2.11~10.26)</w:t>
            </w:r>
          </w:p>
        </w:tc>
        <w:tc>
          <w:tcPr>
            <w:tcW w:w="0" w:type="auto"/>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6.41 (2.35~10.46)</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jc w:val="center"/>
        </w:trPr>
        <w:tc>
          <w:tcPr>
            <w:tcW w:w="0" w:type="auto"/>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P</w:t>
            </w:r>
          </w:p>
        </w:tc>
        <w:tc>
          <w:tcPr>
            <w:tcW w:w="0" w:type="auto"/>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&lt;0.001</w:t>
            </w:r>
          </w:p>
        </w:tc>
        <w:tc>
          <w:tcPr>
            <w:tcW w:w="0" w:type="auto"/>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&lt;0.001</w:t>
            </w:r>
          </w:p>
        </w:tc>
        <w:tc>
          <w:tcPr>
            <w:tcW w:w="0" w:type="auto"/>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0.001</w:t>
            </w:r>
          </w:p>
        </w:tc>
        <w:tc>
          <w:tcPr>
            <w:tcW w:w="0" w:type="auto"/>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0.003</w:t>
            </w:r>
          </w:p>
        </w:tc>
        <w:tc>
          <w:tcPr>
            <w:tcW w:w="0" w:type="auto"/>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0.002</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jc w:val="center"/>
        </w:trPr>
        <w:tc>
          <w:tcPr>
            <w:tcW w:w="0" w:type="auto"/>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Q1</w:t>
            </w:r>
          </w:p>
        </w:tc>
        <w:tc>
          <w:tcPr>
            <w:tcW w:w="0" w:type="auto"/>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0(Ref)</w:t>
            </w:r>
          </w:p>
        </w:tc>
        <w:tc>
          <w:tcPr>
            <w:tcW w:w="0" w:type="auto"/>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0(Ref)</w:t>
            </w:r>
          </w:p>
        </w:tc>
        <w:tc>
          <w:tcPr>
            <w:tcW w:w="0" w:type="auto"/>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0(Ref)</w:t>
            </w:r>
          </w:p>
        </w:tc>
        <w:tc>
          <w:tcPr>
            <w:tcW w:w="0" w:type="auto"/>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0(Ref)</w:t>
            </w:r>
          </w:p>
        </w:tc>
        <w:tc>
          <w:tcPr>
            <w:tcW w:w="0" w:type="auto"/>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0(Ref)</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jc w:val="center"/>
        </w:trPr>
        <w:tc>
          <w:tcPr>
            <w:tcW w:w="0" w:type="auto"/>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Q2</w:t>
            </w:r>
          </w:p>
        </w:tc>
        <w:tc>
          <w:tcPr>
            <w:tcW w:w="0" w:type="auto"/>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6.33 (4.07~8.58)</w:t>
            </w:r>
          </w:p>
        </w:tc>
        <w:tc>
          <w:tcPr>
            <w:tcW w:w="0" w:type="auto"/>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5.8 (3.63~7.97)</w:t>
            </w:r>
          </w:p>
        </w:tc>
        <w:tc>
          <w:tcPr>
            <w:tcW w:w="0" w:type="auto"/>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3.1 (1.41~4.8)</w:t>
            </w:r>
          </w:p>
        </w:tc>
        <w:tc>
          <w:tcPr>
            <w:tcW w:w="0" w:type="auto"/>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2.95 (1.28~4.62)</w:t>
            </w:r>
          </w:p>
        </w:tc>
        <w:tc>
          <w:tcPr>
            <w:tcW w:w="0" w:type="auto"/>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2.87 (1.2~4.53)</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jc w:val="center"/>
        </w:trPr>
        <w:tc>
          <w:tcPr>
            <w:tcW w:w="0" w:type="auto"/>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Q3</w:t>
            </w:r>
          </w:p>
        </w:tc>
        <w:tc>
          <w:tcPr>
            <w:tcW w:w="0" w:type="auto"/>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7.21 (4.95~9.46)</w:t>
            </w:r>
          </w:p>
        </w:tc>
        <w:tc>
          <w:tcPr>
            <w:tcW w:w="0" w:type="auto"/>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6.65 (4.48~8.83)</w:t>
            </w:r>
          </w:p>
        </w:tc>
        <w:tc>
          <w:tcPr>
            <w:tcW w:w="0" w:type="auto"/>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3.62 (1.92~5.32)</w:t>
            </w:r>
          </w:p>
        </w:tc>
        <w:tc>
          <w:tcPr>
            <w:tcW w:w="0" w:type="auto"/>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3.29 (1.61~4.97)</w:t>
            </w:r>
          </w:p>
        </w:tc>
        <w:tc>
          <w:tcPr>
            <w:tcW w:w="0" w:type="auto"/>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3.14 (1.46~4.81)</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jc w:val="center"/>
        </w:trPr>
        <w:tc>
          <w:tcPr>
            <w:tcW w:w="0" w:type="auto"/>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Q4</w:t>
            </w:r>
          </w:p>
        </w:tc>
        <w:tc>
          <w:tcPr>
            <w:tcW w:w="0" w:type="auto"/>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6.5 (4.25~8.75)</w:t>
            </w:r>
          </w:p>
        </w:tc>
        <w:tc>
          <w:tcPr>
            <w:tcW w:w="0" w:type="auto"/>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6.3 (4.12~8.47)</w:t>
            </w:r>
          </w:p>
        </w:tc>
        <w:tc>
          <w:tcPr>
            <w:tcW w:w="0" w:type="auto"/>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2.83 (1.11~4.54)</w:t>
            </w:r>
          </w:p>
        </w:tc>
        <w:tc>
          <w:tcPr>
            <w:tcW w:w="0" w:type="auto"/>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2.43 (0.73~4.12)</w:t>
            </w:r>
          </w:p>
        </w:tc>
        <w:tc>
          <w:tcPr>
            <w:tcW w:w="0" w:type="auto"/>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2.54 (0.85~4.22)</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jc w:val="center"/>
        </w:trPr>
        <w:tc>
          <w:tcPr>
            <w:tcW w:w="0" w:type="auto"/>
            <w:tcBorders>
              <w:top w:val="nil"/>
              <w:left w:val="nil"/>
              <w:bottom w:val="single" w:color="auto" w:sz="4" w:space="0"/>
              <w:right w:val="nil"/>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P-t</w:t>
            </w:r>
          </w:p>
        </w:tc>
        <w:tc>
          <w:tcPr>
            <w:tcW w:w="0" w:type="auto"/>
            <w:tcBorders>
              <w:top w:val="nil"/>
              <w:left w:val="nil"/>
              <w:bottom w:val="single" w:color="auto" w:sz="4" w:space="0"/>
              <w:right w:val="nil"/>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&lt;0.001</w:t>
            </w:r>
          </w:p>
        </w:tc>
        <w:tc>
          <w:tcPr>
            <w:tcW w:w="0" w:type="auto"/>
            <w:tcBorders>
              <w:top w:val="nil"/>
              <w:left w:val="nil"/>
              <w:bottom w:val="single" w:color="auto" w:sz="4" w:space="0"/>
              <w:right w:val="nil"/>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&lt;0.001</w:t>
            </w:r>
          </w:p>
        </w:tc>
        <w:tc>
          <w:tcPr>
            <w:tcW w:w="0" w:type="auto"/>
            <w:tcBorders>
              <w:top w:val="nil"/>
              <w:left w:val="nil"/>
              <w:bottom w:val="single" w:color="auto" w:sz="4" w:space="0"/>
              <w:right w:val="nil"/>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0.001</w:t>
            </w:r>
          </w:p>
        </w:tc>
        <w:tc>
          <w:tcPr>
            <w:tcW w:w="0" w:type="auto"/>
            <w:tcBorders>
              <w:top w:val="nil"/>
              <w:left w:val="nil"/>
              <w:bottom w:val="single" w:color="auto" w:sz="4" w:space="0"/>
              <w:right w:val="nil"/>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0.006</w:t>
            </w:r>
          </w:p>
        </w:tc>
        <w:tc>
          <w:tcPr>
            <w:tcW w:w="0" w:type="auto"/>
            <w:tcBorders>
              <w:top w:val="nil"/>
              <w:left w:val="nil"/>
              <w:bottom w:val="single" w:color="auto" w:sz="4" w:space="0"/>
              <w:right w:val="nil"/>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0.004</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6" w:hRule="atLeast"/>
          <w:jc w:val="center"/>
        </w:trPr>
        <w:tc>
          <w:tcPr>
            <w:tcW w:w="0" w:type="auto"/>
            <w:tcBorders>
              <w:top w:val="single" w:color="auto" w:sz="4" w:space="0"/>
              <w:left w:val="nil"/>
              <w:bottom w:val="nil"/>
              <w:right w:val="nil"/>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Cd</w:t>
            </w:r>
          </w:p>
        </w:tc>
        <w:tc>
          <w:tcPr>
            <w:tcW w:w="0" w:type="auto"/>
            <w:gridSpan w:val="5"/>
            <w:tcBorders>
              <w:top w:val="single" w:color="auto" w:sz="4" w:space="0"/>
              <w:left w:val="nil"/>
              <w:bottom w:val="nil"/>
              <w:right w:val="nil"/>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DSST</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jc w:val="center"/>
        </w:trPr>
        <w:tc>
          <w:tcPr>
            <w:tcW w:w="0" w:type="auto"/>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Continuous</w:t>
            </w:r>
          </w:p>
        </w:tc>
        <w:tc>
          <w:tcPr>
            <w:tcW w:w="0" w:type="auto"/>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-2.51 (-3.66~-1.35)</w:t>
            </w:r>
          </w:p>
        </w:tc>
        <w:tc>
          <w:tcPr>
            <w:tcW w:w="0" w:type="auto"/>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-2.54 (-3.65~-1.43)</w:t>
            </w:r>
          </w:p>
        </w:tc>
        <w:tc>
          <w:tcPr>
            <w:tcW w:w="0" w:type="auto"/>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-1.21 (-2.11~-0.32)</w:t>
            </w:r>
          </w:p>
        </w:tc>
        <w:tc>
          <w:tcPr>
            <w:tcW w:w="0" w:type="auto"/>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-1.01 (-1.97~-0.05)</w:t>
            </w:r>
          </w:p>
        </w:tc>
        <w:tc>
          <w:tcPr>
            <w:tcW w:w="0" w:type="auto"/>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-1.17 (-2.13~-0.22)</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jc w:val="center"/>
        </w:trPr>
        <w:tc>
          <w:tcPr>
            <w:tcW w:w="0" w:type="auto"/>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P</w:t>
            </w:r>
          </w:p>
        </w:tc>
        <w:tc>
          <w:tcPr>
            <w:tcW w:w="0" w:type="auto"/>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&lt;0.001</w:t>
            </w:r>
          </w:p>
        </w:tc>
        <w:tc>
          <w:tcPr>
            <w:tcW w:w="0" w:type="auto"/>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&lt;0.001</w:t>
            </w:r>
          </w:p>
        </w:tc>
        <w:tc>
          <w:tcPr>
            <w:tcW w:w="0" w:type="auto"/>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0.008</w:t>
            </w:r>
          </w:p>
        </w:tc>
        <w:tc>
          <w:tcPr>
            <w:tcW w:w="0" w:type="auto"/>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0.04</w:t>
            </w:r>
          </w:p>
        </w:tc>
        <w:tc>
          <w:tcPr>
            <w:tcW w:w="0" w:type="auto"/>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0.016</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jc w:val="center"/>
        </w:trPr>
        <w:tc>
          <w:tcPr>
            <w:tcW w:w="0" w:type="auto"/>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Q1</w:t>
            </w:r>
          </w:p>
        </w:tc>
        <w:tc>
          <w:tcPr>
            <w:tcW w:w="0" w:type="auto"/>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0(Ref)</w:t>
            </w:r>
          </w:p>
        </w:tc>
        <w:tc>
          <w:tcPr>
            <w:tcW w:w="0" w:type="auto"/>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0(Ref)</w:t>
            </w:r>
          </w:p>
        </w:tc>
        <w:tc>
          <w:tcPr>
            <w:tcW w:w="0" w:type="auto"/>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0(Ref)</w:t>
            </w:r>
          </w:p>
        </w:tc>
        <w:tc>
          <w:tcPr>
            <w:tcW w:w="0" w:type="auto"/>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0(Ref)</w:t>
            </w:r>
          </w:p>
        </w:tc>
        <w:tc>
          <w:tcPr>
            <w:tcW w:w="0" w:type="auto"/>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0(Ref)</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jc w:val="center"/>
        </w:trPr>
        <w:tc>
          <w:tcPr>
            <w:tcW w:w="0" w:type="auto"/>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Q2</w:t>
            </w:r>
          </w:p>
        </w:tc>
        <w:tc>
          <w:tcPr>
            <w:tcW w:w="0" w:type="auto"/>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-1.12 (-3.41~1.18)</w:t>
            </w:r>
          </w:p>
        </w:tc>
        <w:tc>
          <w:tcPr>
            <w:tcW w:w="0" w:type="auto"/>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-1.02 (-3.23~1.19)</w:t>
            </w:r>
          </w:p>
        </w:tc>
        <w:tc>
          <w:tcPr>
            <w:tcW w:w="0" w:type="auto"/>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-1.69 (-3.4~0.01)</w:t>
            </w:r>
          </w:p>
        </w:tc>
        <w:tc>
          <w:tcPr>
            <w:tcW w:w="0" w:type="auto"/>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-1.71 (-3.4~-0.02)</w:t>
            </w:r>
          </w:p>
        </w:tc>
        <w:tc>
          <w:tcPr>
            <w:tcW w:w="0" w:type="auto"/>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-1.91 (-3.59~-0.23)</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jc w:val="center"/>
        </w:trPr>
        <w:tc>
          <w:tcPr>
            <w:tcW w:w="0" w:type="auto"/>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Q3</w:t>
            </w:r>
          </w:p>
        </w:tc>
        <w:tc>
          <w:tcPr>
            <w:tcW w:w="0" w:type="auto"/>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-2.04 (-4.31~0.24)</w:t>
            </w:r>
          </w:p>
        </w:tc>
        <w:tc>
          <w:tcPr>
            <w:tcW w:w="0" w:type="auto"/>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-1.78 (-3.98~0.43)</w:t>
            </w:r>
          </w:p>
        </w:tc>
        <w:tc>
          <w:tcPr>
            <w:tcW w:w="0" w:type="auto"/>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-1.65 (-3.36~0.07)</w:t>
            </w:r>
          </w:p>
        </w:tc>
        <w:tc>
          <w:tcPr>
            <w:tcW w:w="0" w:type="auto"/>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-1.58 (-3.3~0.13)</w:t>
            </w:r>
          </w:p>
        </w:tc>
        <w:tc>
          <w:tcPr>
            <w:tcW w:w="0" w:type="auto"/>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-1.87 (-3.57~-0.16)</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jc w:val="center"/>
        </w:trPr>
        <w:tc>
          <w:tcPr>
            <w:tcW w:w="0" w:type="auto"/>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Q4</w:t>
            </w:r>
          </w:p>
        </w:tc>
        <w:tc>
          <w:tcPr>
            <w:tcW w:w="0" w:type="auto"/>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-4.68 (-6.95~-2.41)</w:t>
            </w:r>
          </w:p>
        </w:tc>
        <w:tc>
          <w:tcPr>
            <w:tcW w:w="0" w:type="auto"/>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-4.52 (-6.71~-2.32)</w:t>
            </w:r>
          </w:p>
        </w:tc>
        <w:tc>
          <w:tcPr>
            <w:tcW w:w="0" w:type="auto"/>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-2.36 (-4.12~-0.61)</w:t>
            </w:r>
          </w:p>
        </w:tc>
        <w:tc>
          <w:tcPr>
            <w:tcW w:w="0" w:type="auto"/>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-1.98 (-3.84~-0.12)</w:t>
            </w:r>
          </w:p>
        </w:tc>
        <w:tc>
          <w:tcPr>
            <w:tcW w:w="0" w:type="auto"/>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-2.33 (-4.18~-0.48)</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jc w:val="center"/>
        </w:trPr>
        <w:tc>
          <w:tcPr>
            <w:tcW w:w="0" w:type="auto"/>
            <w:tcBorders>
              <w:top w:val="nil"/>
              <w:left w:val="nil"/>
              <w:bottom w:val="single" w:color="auto" w:sz="4" w:space="0"/>
              <w:right w:val="nil"/>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P-t</w:t>
            </w:r>
          </w:p>
        </w:tc>
        <w:tc>
          <w:tcPr>
            <w:tcW w:w="0" w:type="auto"/>
            <w:tcBorders>
              <w:top w:val="nil"/>
              <w:left w:val="nil"/>
              <w:bottom w:val="single" w:color="auto" w:sz="4" w:space="0"/>
              <w:right w:val="nil"/>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&lt;0.001</w:t>
            </w:r>
          </w:p>
        </w:tc>
        <w:tc>
          <w:tcPr>
            <w:tcW w:w="0" w:type="auto"/>
            <w:tcBorders>
              <w:top w:val="nil"/>
              <w:left w:val="nil"/>
              <w:bottom w:val="single" w:color="auto" w:sz="4" w:space="0"/>
              <w:right w:val="nil"/>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&lt;0.001</w:t>
            </w:r>
          </w:p>
        </w:tc>
        <w:tc>
          <w:tcPr>
            <w:tcW w:w="0" w:type="auto"/>
            <w:tcBorders>
              <w:top w:val="nil"/>
              <w:left w:val="nil"/>
              <w:bottom w:val="single" w:color="auto" w:sz="4" w:space="0"/>
              <w:right w:val="nil"/>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0.013</w:t>
            </w:r>
          </w:p>
        </w:tc>
        <w:tc>
          <w:tcPr>
            <w:tcW w:w="0" w:type="auto"/>
            <w:tcBorders>
              <w:top w:val="nil"/>
              <w:left w:val="nil"/>
              <w:bottom w:val="single" w:color="auto" w:sz="4" w:space="0"/>
              <w:right w:val="nil"/>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0.049</w:t>
            </w:r>
          </w:p>
        </w:tc>
        <w:tc>
          <w:tcPr>
            <w:tcW w:w="0" w:type="auto"/>
            <w:tcBorders>
              <w:top w:val="nil"/>
              <w:left w:val="nil"/>
              <w:bottom w:val="single" w:color="auto" w:sz="4" w:space="0"/>
              <w:right w:val="nil"/>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0.019</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jc w:val="center"/>
        </w:trPr>
        <w:tc>
          <w:tcPr>
            <w:tcW w:w="0" w:type="auto"/>
            <w:tcBorders>
              <w:top w:val="single" w:color="auto" w:sz="4" w:space="0"/>
              <w:left w:val="nil"/>
              <w:bottom w:val="nil"/>
              <w:right w:val="nil"/>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Se</w:t>
            </w:r>
          </w:p>
        </w:tc>
        <w:tc>
          <w:tcPr>
            <w:tcW w:w="11530" w:type="dxa"/>
            <w:gridSpan w:val="5"/>
            <w:tcBorders>
              <w:top w:val="single" w:color="auto" w:sz="4" w:space="0"/>
              <w:left w:val="nil"/>
              <w:bottom w:val="nil"/>
              <w:right w:val="nil"/>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IRT</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jc w:val="center"/>
        </w:trPr>
        <w:tc>
          <w:tcPr>
            <w:tcW w:w="1231"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Continuous</w:t>
            </w:r>
          </w:p>
        </w:tc>
        <w:tc>
          <w:tcPr>
            <w:tcW w:w="2306"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3.13 (1.68~4.58)</w:t>
            </w:r>
          </w:p>
        </w:tc>
        <w:tc>
          <w:tcPr>
            <w:tcW w:w="2306"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2.11 (0.76~3.45)</w:t>
            </w:r>
          </w:p>
        </w:tc>
        <w:tc>
          <w:tcPr>
            <w:tcW w:w="2306"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2.01 (0.66~3.37)</w:t>
            </w:r>
          </w:p>
        </w:tc>
        <w:tc>
          <w:tcPr>
            <w:tcW w:w="2306"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2.06 (0.7~3.41)</w:t>
            </w:r>
          </w:p>
        </w:tc>
        <w:tc>
          <w:tcPr>
            <w:tcW w:w="2306"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1.95 (0.58~3.31)</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jc w:val="center"/>
        </w:trPr>
        <w:tc>
          <w:tcPr>
            <w:tcW w:w="1231"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iCs/>
                <w:color w:val="000000"/>
                <w:kern w:val="0"/>
                <w:sz w:val="22"/>
                <w:szCs w:val="22"/>
                <w:u w:val="none"/>
                <w:lang w:val="en-US" w:eastAsia="zh-CN" w:bidi="ar"/>
              </w:rPr>
              <w:t>P</w:t>
            </w:r>
          </w:p>
        </w:tc>
        <w:tc>
          <w:tcPr>
            <w:tcW w:w="2306"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&lt;0.001</w:t>
            </w:r>
          </w:p>
        </w:tc>
        <w:tc>
          <w:tcPr>
            <w:tcW w:w="2306"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0.002</w:t>
            </w:r>
          </w:p>
        </w:tc>
        <w:tc>
          <w:tcPr>
            <w:tcW w:w="2306"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0.004</w:t>
            </w:r>
          </w:p>
        </w:tc>
        <w:tc>
          <w:tcPr>
            <w:tcW w:w="2306"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0.003</w:t>
            </w:r>
          </w:p>
        </w:tc>
        <w:tc>
          <w:tcPr>
            <w:tcW w:w="2306"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0.005</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jc w:val="center"/>
        </w:trPr>
        <w:tc>
          <w:tcPr>
            <w:tcW w:w="1231"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Q1</w:t>
            </w:r>
          </w:p>
        </w:tc>
        <w:tc>
          <w:tcPr>
            <w:tcW w:w="2306"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0(Ref)</w:t>
            </w:r>
          </w:p>
        </w:tc>
        <w:tc>
          <w:tcPr>
            <w:tcW w:w="2306"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0(Ref)</w:t>
            </w:r>
          </w:p>
        </w:tc>
        <w:tc>
          <w:tcPr>
            <w:tcW w:w="2306"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0(Ref)</w:t>
            </w:r>
          </w:p>
        </w:tc>
        <w:tc>
          <w:tcPr>
            <w:tcW w:w="2306"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0(Ref)</w:t>
            </w:r>
          </w:p>
        </w:tc>
        <w:tc>
          <w:tcPr>
            <w:tcW w:w="2306"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0(Ref)</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jc w:val="center"/>
        </w:trPr>
        <w:tc>
          <w:tcPr>
            <w:tcW w:w="1231"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Q2</w:t>
            </w:r>
          </w:p>
        </w:tc>
        <w:tc>
          <w:tcPr>
            <w:tcW w:w="2306"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1.34 (0.74~1.95)</w:t>
            </w:r>
          </w:p>
        </w:tc>
        <w:tc>
          <w:tcPr>
            <w:tcW w:w="2306"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0.89 (0.33~1.45)</w:t>
            </w:r>
          </w:p>
        </w:tc>
        <w:tc>
          <w:tcPr>
            <w:tcW w:w="2306"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0.89 (0.34~1.45)</w:t>
            </w:r>
          </w:p>
        </w:tc>
        <w:tc>
          <w:tcPr>
            <w:tcW w:w="2306"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0.89 (0.33~1.45)</w:t>
            </w:r>
          </w:p>
        </w:tc>
        <w:tc>
          <w:tcPr>
            <w:tcW w:w="2306"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0.89 (0.32~1.45)</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jc w:val="center"/>
        </w:trPr>
        <w:tc>
          <w:tcPr>
            <w:tcW w:w="1231"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Q3</w:t>
            </w:r>
          </w:p>
        </w:tc>
        <w:tc>
          <w:tcPr>
            <w:tcW w:w="2306"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1.03 (0.43~1.64)</w:t>
            </w:r>
          </w:p>
        </w:tc>
        <w:tc>
          <w:tcPr>
            <w:tcW w:w="2306"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0.53 (-0.03~1.09)</w:t>
            </w:r>
          </w:p>
        </w:tc>
        <w:tc>
          <w:tcPr>
            <w:tcW w:w="2306"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0.5 (-0.06~1.06)</w:t>
            </w:r>
          </w:p>
        </w:tc>
        <w:tc>
          <w:tcPr>
            <w:tcW w:w="2306"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0.49 (-0.07~1.05)</w:t>
            </w:r>
          </w:p>
        </w:tc>
        <w:tc>
          <w:tcPr>
            <w:tcW w:w="2306"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0.47 (-0.1~1.03)</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jc w:val="center"/>
        </w:trPr>
        <w:tc>
          <w:tcPr>
            <w:tcW w:w="1231"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Q4</w:t>
            </w:r>
          </w:p>
        </w:tc>
        <w:tc>
          <w:tcPr>
            <w:tcW w:w="2306"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1.22 (0.61~1.82)</w:t>
            </w:r>
          </w:p>
        </w:tc>
        <w:tc>
          <w:tcPr>
            <w:tcW w:w="2306"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0.78 (0.22~1.34)</w:t>
            </w:r>
          </w:p>
        </w:tc>
        <w:tc>
          <w:tcPr>
            <w:tcW w:w="2306"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0.74 (0.17~1.31)</w:t>
            </w:r>
          </w:p>
        </w:tc>
        <w:tc>
          <w:tcPr>
            <w:tcW w:w="2306"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0.76 (0.19~1.32)</w:t>
            </w:r>
          </w:p>
        </w:tc>
        <w:tc>
          <w:tcPr>
            <w:tcW w:w="2306"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0.73 (0.16~1.3)</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jc w:val="center"/>
        </w:trPr>
        <w:tc>
          <w:tcPr>
            <w:tcW w:w="1231" w:type="dxa"/>
            <w:tcBorders>
              <w:top w:val="nil"/>
              <w:left w:val="nil"/>
              <w:right w:val="nil"/>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iCs/>
                <w:color w:val="000000"/>
                <w:kern w:val="0"/>
                <w:sz w:val="22"/>
                <w:szCs w:val="22"/>
                <w:u w:val="none"/>
                <w:lang w:val="en-US" w:eastAsia="zh-CN" w:bidi="ar"/>
              </w:rPr>
              <w:t>P</w:t>
            </w:r>
            <w:r>
              <w:rPr>
                <w:rFonts w:hint="default" w:ascii="Times New Roman" w:hAnsi="Times New Roman" w:eastAsia="宋体" w:cs="Times New Roman"/>
                <w:i w:val="0"/>
                <w:iCs w:val="0"/>
                <w:color w:val="000000"/>
                <w:kern w:val="0"/>
                <w:sz w:val="22"/>
                <w:szCs w:val="22"/>
                <w:u w:val="none"/>
                <w:lang w:val="en-US" w:eastAsia="zh-CN" w:bidi="ar"/>
              </w:rPr>
              <w:t>-t</w:t>
            </w:r>
          </w:p>
        </w:tc>
        <w:tc>
          <w:tcPr>
            <w:tcW w:w="2306" w:type="dxa"/>
            <w:tcBorders>
              <w:top w:val="nil"/>
              <w:left w:val="nil"/>
              <w:right w:val="nil"/>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0.001</w:t>
            </w:r>
          </w:p>
        </w:tc>
        <w:tc>
          <w:tcPr>
            <w:tcW w:w="2306" w:type="dxa"/>
            <w:tcBorders>
              <w:top w:val="nil"/>
              <w:left w:val="nil"/>
              <w:right w:val="nil"/>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0.031</w:t>
            </w:r>
          </w:p>
        </w:tc>
        <w:tc>
          <w:tcPr>
            <w:tcW w:w="2306" w:type="dxa"/>
            <w:tcBorders>
              <w:top w:val="nil"/>
              <w:left w:val="nil"/>
              <w:right w:val="nil"/>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0.047</w:t>
            </w:r>
          </w:p>
        </w:tc>
        <w:tc>
          <w:tcPr>
            <w:tcW w:w="2306" w:type="dxa"/>
            <w:tcBorders>
              <w:top w:val="nil"/>
              <w:left w:val="nil"/>
              <w:right w:val="nil"/>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0.042</w:t>
            </w:r>
          </w:p>
        </w:tc>
        <w:tc>
          <w:tcPr>
            <w:tcW w:w="2306" w:type="dxa"/>
            <w:tcBorders>
              <w:top w:val="nil"/>
              <w:left w:val="nil"/>
              <w:right w:val="nil"/>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0.058</w:t>
            </w:r>
          </w:p>
        </w:tc>
      </w:tr>
    </w:tbl>
    <w:p>
      <w:pPr>
        <w:rPr>
          <w:rFonts w:hint="default" w:ascii="Times New Roman" w:hAnsi="Times New Roman" w:cs="Times New Roman"/>
          <w:lang w:val="en-US" w:eastAsia="zh-CN"/>
        </w:rPr>
      </w:pPr>
      <w:r>
        <w:rPr>
          <w:rFonts w:hint="default" w:ascii="Times New Roman" w:hAnsi="Times New Roman" w:cs="Times New Roman"/>
          <w:lang w:val="en-US" w:eastAsia="zh-CN"/>
        </w:rPr>
        <w:t>Model 1:Crude model</w:t>
      </w:r>
    </w:p>
    <w:p>
      <w:pPr>
        <w:rPr>
          <w:rFonts w:hint="default" w:ascii="Times New Roman" w:hAnsi="Times New Roman" w:cs="Times New Roman"/>
          <w:lang w:val="en-US" w:eastAsia="zh-CN"/>
        </w:rPr>
      </w:pPr>
      <w:r>
        <w:rPr>
          <w:rFonts w:hint="default" w:ascii="Times New Roman" w:hAnsi="Times New Roman" w:cs="Times New Roman"/>
          <w:lang w:val="en-US" w:eastAsia="zh-CN"/>
        </w:rPr>
        <w:t>Model 2:adjusted by sex, age, race, education, income, marital status.</w:t>
      </w:r>
    </w:p>
    <w:p>
      <w:pPr>
        <w:rPr>
          <w:rFonts w:hint="default" w:ascii="Times New Roman" w:hAnsi="Times New Roman" w:cs="Times New Roman"/>
          <w:lang w:val="en-US" w:eastAsia="zh-CN"/>
        </w:rPr>
      </w:pPr>
      <w:r>
        <w:rPr>
          <w:rFonts w:hint="default" w:ascii="Times New Roman" w:hAnsi="Times New Roman" w:cs="Times New Roman"/>
          <w:lang w:val="en-US" w:eastAsia="zh-CN"/>
        </w:rPr>
        <w:t>Model 3:adjusted by sex, age, race, education, income, marital status, physical activity, drinking, smoking, BMI, DII.</w:t>
      </w:r>
    </w:p>
    <w:p>
      <w:pPr>
        <w:rPr>
          <w:rFonts w:hint="default" w:ascii="Times New Roman" w:hAnsi="Times New Roman" w:cs="Times New Roman"/>
          <w:lang w:val="en-US" w:eastAsia="zh-CN"/>
        </w:rPr>
      </w:pPr>
      <w:r>
        <w:rPr>
          <w:rFonts w:hint="default" w:ascii="Times New Roman" w:hAnsi="Times New Roman" w:cs="Times New Roman"/>
          <w:lang w:val="en-US" w:eastAsia="zh-CN"/>
        </w:rPr>
        <w:t>Model 4:adjusted by sex, age, race, education, income, marital status, physical activity, drinking, smoking, BMI, DII, diabetes, hypertension, hyperlipidemia.</w:t>
      </w:r>
    </w:p>
    <w:p>
      <w:pPr>
        <w:rPr>
          <w:rFonts w:hint="default" w:ascii="Times New Roman" w:hAnsi="Times New Roman" w:cs="Times New Roman"/>
          <w:lang w:val="en-US" w:eastAsia="zh-CN"/>
        </w:rPr>
      </w:pPr>
      <w:r>
        <w:rPr>
          <w:rFonts w:hint="default" w:ascii="Times New Roman" w:hAnsi="Times New Roman" w:cs="Times New Roman"/>
          <w:lang w:val="en-US" w:eastAsia="zh-CN"/>
        </w:rPr>
        <w:t>Model 5:adjusted by sex, age, race, education, income, marital status, physical activity, drinking, smoking, BMI, DII, diabetes, hypertension, hyperlipidemia, and other four metals</w:t>
      </w:r>
    </w:p>
    <w:p>
      <w:pPr>
        <w:rPr>
          <w:rFonts w:hint="default" w:ascii="Times New Roman" w:hAnsi="Times New Roman" w:cs="Times New Roman"/>
          <w:sz w:val="24"/>
          <w:szCs w:val="24"/>
        </w:rPr>
      </w:pPr>
    </w:p>
    <w:p>
      <w:pPr>
        <w:jc w:val="center"/>
        <w:rPr>
          <w:rFonts w:hint="default" w:ascii="Times New Roman" w:hAnsi="Times New Roman" w:cs="Times New Roman" w:eastAsiaTheme="minorEastAsia"/>
          <w:sz w:val="24"/>
          <w:szCs w:val="24"/>
          <w:lang w:eastAsia="zh-CN"/>
        </w:rPr>
      </w:pPr>
      <w:r>
        <w:rPr>
          <w:rFonts w:hint="default" w:ascii="Times New Roman" w:hAnsi="Times New Roman" w:cs="Times New Roman" w:eastAsiaTheme="minorEastAsia"/>
          <w:sz w:val="24"/>
          <w:szCs w:val="24"/>
          <w:lang w:eastAsia="zh-CN"/>
        </w:rPr>
        <w:drawing>
          <wp:inline distT="0" distB="0" distL="114300" distR="114300">
            <wp:extent cx="6248400" cy="4137660"/>
            <wp:effectExtent l="0" t="0" r="0" b="7620"/>
            <wp:docPr id="20" name="图片 20" descr="Figure 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descr="Figure S1"/>
                    <pic:cNvPicPr>
                      <a:picLocks noChangeAspect="1"/>
                    </pic:cNvPicPr>
                  </pic:nvPicPr>
                  <pic:blipFill>
                    <a:blip r:embed="rId4"/>
                    <a:stretch>
                      <a:fillRect/>
                    </a:stretch>
                  </pic:blipFill>
                  <pic:spPr>
                    <a:xfrm>
                      <a:off x="0" y="0"/>
                      <a:ext cx="6248400" cy="4137660"/>
                    </a:xfrm>
                    <a:prstGeom prst="rect">
                      <a:avLst/>
                    </a:prstGeom>
                  </pic:spPr>
                </pic:pic>
              </a:graphicData>
            </a:graphic>
          </wp:inline>
        </w:drawing>
      </w:r>
    </w:p>
    <w:p>
      <w:pPr>
        <w:jc w:val="center"/>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 xml:space="preserve">Fig S1 </w:t>
      </w:r>
      <w:r>
        <w:rPr>
          <w:rFonts w:hint="default" w:ascii="Times New Roman" w:hAnsi="Times New Roman" w:cs="Times New Roman" w:eastAsiaTheme="minorEastAsia"/>
          <w:sz w:val="24"/>
          <w:szCs w:val="24"/>
          <w:lang w:eastAsia="zh-CN"/>
        </w:rPr>
        <w:t xml:space="preserve">Pearson correlations between ln-transformed concentrations of </w:t>
      </w:r>
      <w:r>
        <w:rPr>
          <w:rFonts w:hint="default" w:ascii="Times New Roman" w:hAnsi="Times New Roman" w:cs="Times New Roman"/>
          <w:sz w:val="24"/>
          <w:szCs w:val="24"/>
          <w:lang w:val="en-US" w:eastAsia="zh-CN"/>
        </w:rPr>
        <w:t>five heavy metals</w:t>
      </w:r>
    </w:p>
    <w:p>
      <w:pPr>
        <w:jc w:val="center"/>
        <w:rPr>
          <w:rFonts w:hint="default" w:ascii="Times New Roman" w:hAnsi="Times New Roman" w:cs="Times New Roman"/>
          <w:sz w:val="24"/>
          <w:szCs w:val="24"/>
          <w:lang w:val="en-US" w:eastAsia="zh-CN"/>
        </w:rPr>
      </w:pPr>
    </w:p>
    <w:p>
      <w:pPr>
        <w:jc w:val="center"/>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br w:type="page"/>
      </w:r>
      <w:r>
        <w:rPr>
          <w:rFonts w:hint="default" w:ascii="Times New Roman" w:hAnsi="Times New Roman" w:cs="Times New Roman"/>
          <w:sz w:val="24"/>
          <w:szCs w:val="24"/>
          <w:lang w:val="en-US" w:eastAsia="zh-CN"/>
        </w:rPr>
        <w:drawing>
          <wp:inline distT="0" distB="0" distL="114300" distR="114300">
            <wp:extent cx="2879725" cy="4458335"/>
            <wp:effectExtent l="0" t="0" r="635" b="6985"/>
            <wp:docPr id="2" name="图片 2" descr="Fig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Figure 2"/>
                    <pic:cNvPicPr>
                      <a:picLocks noChangeAspect="1"/>
                    </pic:cNvPicPr>
                  </pic:nvPicPr>
                  <pic:blipFill>
                    <a:blip r:embed="rId5"/>
                    <a:stretch>
                      <a:fillRect/>
                    </a:stretch>
                  </pic:blipFill>
                  <pic:spPr>
                    <a:xfrm>
                      <a:off x="0" y="0"/>
                      <a:ext cx="2879725" cy="4458335"/>
                    </a:xfrm>
                    <a:prstGeom prst="rect">
                      <a:avLst/>
                    </a:prstGeom>
                  </pic:spPr>
                </pic:pic>
              </a:graphicData>
            </a:graphic>
          </wp:inline>
        </w:drawing>
      </w:r>
    </w:p>
    <w:p>
      <w:pPr>
        <w:rPr>
          <w:rFonts w:hint="default" w:ascii="Times New Roman" w:hAnsi="Times New Roman" w:cs="Times New Roman"/>
          <w:sz w:val="24"/>
        </w:rPr>
      </w:pPr>
      <w:r>
        <w:rPr>
          <w:rFonts w:hint="default" w:ascii="Times New Roman" w:hAnsi="Times New Roman" w:cs="Times New Roman"/>
          <w:sz w:val="24"/>
        </w:rPr>
        <w:t>Fig</w:t>
      </w:r>
      <w:r>
        <w:rPr>
          <w:rFonts w:hint="default" w:ascii="Times New Roman" w:hAnsi="Times New Roman" w:cs="Times New Roman"/>
          <w:sz w:val="24"/>
          <w:lang w:val="en-US" w:eastAsia="zh-CN"/>
        </w:rPr>
        <w:t xml:space="preserve"> S</w:t>
      </w:r>
      <w:r>
        <w:rPr>
          <w:rFonts w:hint="default" w:ascii="Times New Roman" w:hAnsi="Times New Roman" w:cs="Times New Roman"/>
          <w:sz w:val="24"/>
        </w:rPr>
        <w:t>2 Associations between blood metals (continuous and quartile variables) and four cognitive performance tests in the anti-inflammatory and pro-inflammatory diet. The model was adjusted for adjusted by sex, age, race, education, income, marital status, physical activity, drinking, smoking, BMI, DII, diabetes, hypertension, and hyperlipidemia.</w:t>
      </w:r>
    </w:p>
    <w:p>
      <w:pPr>
        <w:rPr>
          <w:rFonts w:hint="default" w:ascii="Times New Roman" w:hAnsi="Times New Roman" w:cs="Times New Roman"/>
          <w:sz w:val="24"/>
          <w:szCs w:val="24"/>
          <w:lang w:val="en-US" w:eastAsia="zh-CN"/>
        </w:rPr>
      </w:pPr>
    </w:p>
    <w:p>
      <w:pPr>
        <w:rPr>
          <w:rFonts w:hint="default" w:ascii="Times New Roman" w:hAnsi="Times New Roman" w:cs="Times New Roman"/>
          <w:sz w:val="24"/>
          <w:szCs w:val="24"/>
          <w:lang w:val="en-US" w:eastAsia="zh-CN"/>
        </w:rPr>
      </w:pPr>
    </w:p>
    <w:p>
      <w:pPr>
        <w:jc w:val="center"/>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drawing>
          <wp:inline distT="0" distB="0" distL="114300" distR="114300">
            <wp:extent cx="4679950" cy="4127500"/>
            <wp:effectExtent l="0" t="0" r="13970" b="2540"/>
            <wp:docPr id="21" name="图片 21" descr="Figure S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Figure S2"/>
                    <pic:cNvPicPr>
                      <a:picLocks noChangeAspect="1"/>
                    </pic:cNvPicPr>
                  </pic:nvPicPr>
                  <pic:blipFill>
                    <a:blip r:embed="rId6"/>
                    <a:stretch>
                      <a:fillRect/>
                    </a:stretch>
                  </pic:blipFill>
                  <pic:spPr>
                    <a:xfrm>
                      <a:off x="0" y="0"/>
                      <a:ext cx="4679950" cy="4127500"/>
                    </a:xfrm>
                    <a:prstGeom prst="rect">
                      <a:avLst/>
                    </a:prstGeom>
                  </pic:spPr>
                </pic:pic>
              </a:graphicData>
            </a:graphic>
          </wp:inline>
        </w:drawing>
      </w:r>
    </w:p>
    <w:p>
      <w:pPr>
        <w:rPr>
          <w:rFonts w:hint="default" w:ascii="Times New Roman" w:hAnsi="Times New Roman" w:cs="Times New Roman"/>
          <w:sz w:val="24"/>
          <w:szCs w:val="24"/>
        </w:rPr>
      </w:pPr>
      <w:r>
        <w:rPr>
          <w:rFonts w:hint="default" w:ascii="Times New Roman" w:hAnsi="Times New Roman" w:cs="Times New Roman"/>
          <w:sz w:val="24"/>
          <w:szCs w:val="24"/>
          <w:lang w:val="en-US" w:eastAsia="zh-CN"/>
        </w:rPr>
        <w:t xml:space="preserve">Fig S3 </w:t>
      </w:r>
      <w:r>
        <w:rPr>
          <w:rFonts w:hint="default" w:ascii="Times New Roman" w:hAnsi="Times New Roman" w:cs="Times New Roman"/>
          <w:sz w:val="24"/>
          <w:szCs w:val="24"/>
        </w:rPr>
        <w:t>Joint effect (95% CI) of the metals on IRT, DRT, AFT, and DSST when all the metals at particular percentiles were compared to those at their 50th percentile in t</w:t>
      </w:r>
      <w:r>
        <w:rPr>
          <w:rFonts w:hint="default" w:ascii="Times New Roman" w:hAnsi="Times New Roman" w:cs="Times New Roman"/>
          <w:sz w:val="24"/>
          <w:szCs w:val="24"/>
          <w:lang w:val="en-US" w:eastAsia="zh-CN"/>
        </w:rPr>
        <w:t>he whole population</w:t>
      </w:r>
      <w:r>
        <w:rPr>
          <w:rFonts w:hint="default" w:ascii="Times New Roman" w:hAnsi="Times New Roman" w:cs="Times New Roman"/>
          <w:sz w:val="24"/>
          <w:szCs w:val="24"/>
        </w:rPr>
        <w:t xml:space="preserve"> by the BKMR model. The model was adjusted for adjusted </w:t>
      </w:r>
      <w:bookmarkStart w:id="1" w:name="OLE_LINK2"/>
      <w:r>
        <w:rPr>
          <w:rFonts w:hint="default" w:ascii="Times New Roman" w:hAnsi="Times New Roman" w:cs="Times New Roman"/>
          <w:sz w:val="24"/>
          <w:szCs w:val="24"/>
        </w:rPr>
        <w:t>by sex, age, race, education, income, marital status, physical activity, drinking, smoking, BMI, diabetes, hypertension, hyperlipidemia</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and</w:t>
      </w:r>
      <w:r>
        <w:rPr>
          <w:rFonts w:hint="default" w:ascii="Times New Roman" w:hAnsi="Times New Roman" w:cs="Times New Roman"/>
          <w:sz w:val="24"/>
          <w:szCs w:val="24"/>
          <w:lang w:val="en-US" w:eastAsia="zh-CN"/>
        </w:rPr>
        <w:t xml:space="preserve"> DII</w:t>
      </w:r>
      <w:r>
        <w:rPr>
          <w:rFonts w:hint="default" w:ascii="Times New Roman" w:hAnsi="Times New Roman" w:cs="Times New Roman"/>
          <w:sz w:val="24"/>
          <w:szCs w:val="24"/>
        </w:rPr>
        <w:t>.</w:t>
      </w:r>
      <w:bookmarkEnd w:id="1"/>
    </w:p>
    <w:p>
      <w:pPr>
        <w:jc w:val="center"/>
        <w:rPr>
          <w:rFonts w:hint="default" w:ascii="Times New Roman" w:hAnsi="Times New Roman" w:cs="Times New Roman" w:eastAsiaTheme="minorEastAsia"/>
          <w:sz w:val="24"/>
          <w:szCs w:val="24"/>
          <w:lang w:eastAsia="zh-CN"/>
        </w:rPr>
      </w:pPr>
      <w:r>
        <w:rPr>
          <w:rFonts w:hint="default" w:ascii="Times New Roman" w:hAnsi="Times New Roman" w:cs="Times New Roman" w:eastAsiaTheme="minorEastAsia"/>
          <w:sz w:val="24"/>
          <w:szCs w:val="24"/>
          <w:lang w:eastAsia="zh-CN"/>
        </w:rPr>
        <w:drawing>
          <wp:inline distT="0" distB="0" distL="114300" distR="114300">
            <wp:extent cx="5328285" cy="4695825"/>
            <wp:effectExtent l="0" t="0" r="5715" b="13335"/>
            <wp:docPr id="3" name="图片 3" descr="Fig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Figure 3"/>
                    <pic:cNvPicPr>
                      <a:picLocks noChangeAspect="1"/>
                    </pic:cNvPicPr>
                  </pic:nvPicPr>
                  <pic:blipFill>
                    <a:blip r:embed="rId7"/>
                    <a:stretch>
                      <a:fillRect/>
                    </a:stretch>
                  </pic:blipFill>
                  <pic:spPr>
                    <a:xfrm>
                      <a:off x="0" y="0"/>
                      <a:ext cx="5328285" cy="4695825"/>
                    </a:xfrm>
                    <a:prstGeom prst="rect">
                      <a:avLst/>
                    </a:prstGeom>
                  </pic:spPr>
                </pic:pic>
              </a:graphicData>
            </a:graphic>
          </wp:inline>
        </w:drawing>
      </w:r>
    </w:p>
    <w:p>
      <w:pPr>
        <w:rPr>
          <w:rFonts w:hint="default" w:ascii="Times New Roman" w:hAnsi="Times New Roman" w:cs="Times New Roman"/>
          <w:sz w:val="24"/>
        </w:rPr>
      </w:pPr>
      <w:r>
        <w:rPr>
          <w:rFonts w:hint="default" w:ascii="Times New Roman" w:hAnsi="Times New Roman" w:cs="Times New Roman"/>
          <w:sz w:val="24"/>
        </w:rPr>
        <w:t>Fig</w:t>
      </w:r>
      <w:r>
        <w:rPr>
          <w:rFonts w:hint="default" w:ascii="Times New Roman" w:hAnsi="Times New Roman" w:cs="Times New Roman"/>
          <w:sz w:val="24"/>
          <w:lang w:val="en-US" w:eastAsia="zh-CN"/>
        </w:rPr>
        <w:t xml:space="preserve"> S4 </w:t>
      </w:r>
      <w:r>
        <w:rPr>
          <w:rFonts w:hint="default" w:ascii="Times New Roman" w:hAnsi="Times New Roman" w:cs="Times New Roman"/>
          <w:sz w:val="24"/>
        </w:rPr>
        <w:t xml:space="preserve">The effect of a single metal variable at the 25th to 75th percentile on the IRT, DRT, AFT, and DSST by BKMR model analysis in the whole population when other metals were fixed at the 25th, 50th, and 75th percentiles. </w:t>
      </w:r>
    </w:p>
    <w:p>
      <w:pPr>
        <w:jc w:val="center"/>
        <w:rPr>
          <w:rFonts w:hint="default" w:ascii="Times New Roman" w:hAnsi="Times New Roman" w:cs="Times New Roman" w:eastAsiaTheme="minorEastAsia"/>
          <w:sz w:val="24"/>
          <w:szCs w:val="24"/>
          <w:lang w:eastAsia="zh-CN"/>
        </w:rPr>
      </w:pPr>
    </w:p>
    <w:p>
      <w:pPr>
        <w:jc w:val="center"/>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drawing>
          <wp:inline distT="0" distB="0" distL="114300" distR="114300">
            <wp:extent cx="4679950" cy="4127500"/>
            <wp:effectExtent l="0" t="0" r="13970" b="2540"/>
            <wp:docPr id="22" name="图片 22" descr="Figure S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Figure S3"/>
                    <pic:cNvPicPr>
                      <a:picLocks noChangeAspect="1"/>
                    </pic:cNvPicPr>
                  </pic:nvPicPr>
                  <pic:blipFill>
                    <a:blip r:embed="rId8"/>
                    <a:stretch>
                      <a:fillRect/>
                    </a:stretch>
                  </pic:blipFill>
                  <pic:spPr>
                    <a:xfrm>
                      <a:off x="0" y="0"/>
                      <a:ext cx="4679950" cy="4127500"/>
                    </a:xfrm>
                    <a:prstGeom prst="rect">
                      <a:avLst/>
                    </a:prstGeom>
                  </pic:spPr>
                </pic:pic>
              </a:graphicData>
            </a:graphic>
          </wp:inline>
        </w:drawing>
      </w:r>
    </w:p>
    <w:p>
      <w:pPr>
        <w:jc w:val="left"/>
        <w:rPr>
          <w:rFonts w:hint="default" w:ascii="Times New Roman" w:hAnsi="Times New Roman" w:cs="Times New Roman"/>
          <w:sz w:val="24"/>
          <w:szCs w:val="24"/>
        </w:rPr>
      </w:pPr>
      <w:r>
        <w:rPr>
          <w:rFonts w:hint="default" w:ascii="Times New Roman" w:hAnsi="Times New Roman" w:cs="Times New Roman"/>
          <w:sz w:val="24"/>
          <w:szCs w:val="24"/>
          <w:lang w:val="en-US" w:eastAsia="zh-CN"/>
        </w:rPr>
        <w:t xml:space="preserve">Fig S5 </w:t>
      </w:r>
      <w:r>
        <w:rPr>
          <w:rFonts w:hint="default" w:ascii="Times New Roman" w:hAnsi="Times New Roman" w:cs="Times New Roman"/>
          <w:sz w:val="24"/>
          <w:szCs w:val="24"/>
        </w:rPr>
        <w:t>Univariate exposure-response relationships (95% CI) between the metal and cognitive performance tests (IRT, DRT, AFT, and DSST) while fixing at the median for other four metal concentrations in t</w:t>
      </w:r>
      <w:r>
        <w:rPr>
          <w:rFonts w:hint="default" w:ascii="Times New Roman" w:hAnsi="Times New Roman" w:cs="Times New Roman"/>
          <w:sz w:val="24"/>
          <w:szCs w:val="24"/>
          <w:lang w:val="en-US" w:eastAsia="zh-CN"/>
        </w:rPr>
        <w:t>he whole population</w:t>
      </w:r>
      <w:r>
        <w:rPr>
          <w:rFonts w:hint="default" w:ascii="Times New Roman" w:hAnsi="Times New Roman" w:cs="Times New Roman"/>
          <w:sz w:val="24"/>
          <w:szCs w:val="24"/>
        </w:rPr>
        <w:t xml:space="preserve"> by the BKMR model. The model was adjusted for adjusted by sex, age, race, education, income, marital status, physical activity, drinking, smoking, BMI, diabetes, hypertension,</w:t>
      </w:r>
      <w:bookmarkStart w:id="2" w:name="OLE_LINK1"/>
      <w:r>
        <w:rPr>
          <w:rFonts w:hint="default" w:ascii="Times New Roman" w:hAnsi="Times New Roman" w:cs="Times New Roman"/>
          <w:sz w:val="24"/>
          <w:szCs w:val="24"/>
        </w:rPr>
        <w:t xml:space="preserve"> hyperlipidemia</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and</w:t>
      </w:r>
      <w:r>
        <w:rPr>
          <w:rFonts w:hint="default" w:ascii="Times New Roman" w:hAnsi="Times New Roman" w:cs="Times New Roman"/>
          <w:sz w:val="24"/>
          <w:szCs w:val="24"/>
          <w:lang w:val="en-US" w:eastAsia="zh-CN"/>
        </w:rPr>
        <w:t xml:space="preserve"> DII</w:t>
      </w:r>
      <w:r>
        <w:rPr>
          <w:rFonts w:hint="default" w:ascii="Times New Roman" w:hAnsi="Times New Roman" w:cs="Times New Roman"/>
          <w:sz w:val="24"/>
          <w:szCs w:val="24"/>
        </w:rPr>
        <w:t>.</w:t>
      </w:r>
      <w:bookmarkEnd w:id="2"/>
    </w:p>
    <w:p>
      <w:pPr>
        <w:jc w:val="center"/>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drawing>
          <wp:inline distT="0" distB="0" distL="114300" distR="114300">
            <wp:extent cx="7199630" cy="4319270"/>
            <wp:effectExtent l="0" t="0" r="8890" b="8890"/>
            <wp:docPr id="23" name="图片 23" descr="Figure S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Figure S4"/>
                    <pic:cNvPicPr>
                      <a:picLocks noChangeAspect="1"/>
                    </pic:cNvPicPr>
                  </pic:nvPicPr>
                  <pic:blipFill>
                    <a:blip r:embed="rId9"/>
                    <a:stretch>
                      <a:fillRect/>
                    </a:stretch>
                  </pic:blipFill>
                  <pic:spPr>
                    <a:xfrm>
                      <a:off x="0" y="0"/>
                      <a:ext cx="7199630" cy="4319270"/>
                    </a:xfrm>
                    <a:prstGeom prst="rect">
                      <a:avLst/>
                    </a:prstGeom>
                  </pic:spPr>
                </pic:pic>
              </a:graphicData>
            </a:graphic>
          </wp:inline>
        </w:drawing>
      </w:r>
    </w:p>
    <w:p>
      <w:pPr>
        <w:rPr>
          <w:rFonts w:hint="default" w:ascii="Times New Roman" w:hAnsi="Times New Roman" w:cs="Times New Roman"/>
          <w:sz w:val="24"/>
          <w:szCs w:val="24"/>
        </w:rPr>
      </w:pPr>
      <w:r>
        <w:rPr>
          <w:rFonts w:hint="default" w:ascii="Times New Roman" w:hAnsi="Times New Roman" w:cs="Times New Roman"/>
          <w:sz w:val="24"/>
          <w:szCs w:val="24"/>
        </w:rPr>
        <w:t>Fig</w:t>
      </w:r>
      <w:r>
        <w:rPr>
          <w:rFonts w:hint="default" w:ascii="Times New Roman" w:hAnsi="Times New Roman" w:cs="Times New Roman"/>
          <w:sz w:val="24"/>
          <w:szCs w:val="24"/>
          <w:lang w:val="en-US" w:eastAsia="zh-CN"/>
        </w:rPr>
        <w:t xml:space="preserve"> S6</w:t>
      </w:r>
      <w:r>
        <w:rPr>
          <w:rFonts w:hint="default" w:ascii="Times New Roman" w:hAnsi="Times New Roman" w:cs="Times New Roman"/>
          <w:sz w:val="24"/>
          <w:szCs w:val="24"/>
        </w:rPr>
        <w:t xml:space="preserve"> </w:t>
      </w:r>
      <w:r>
        <w:rPr>
          <w:rFonts w:hint="default" w:ascii="Times New Roman" w:hAnsi="Times New Roman" w:cs="Times New Roman"/>
          <w:sz w:val="24"/>
          <w:szCs w:val="24"/>
          <w:lang w:val="en-US" w:eastAsia="zh-CN"/>
        </w:rPr>
        <w:t xml:space="preserve">Bivariate exposure-response relationship for each metal </w:t>
      </w:r>
      <w:r>
        <w:rPr>
          <w:rFonts w:hint="default" w:ascii="Times New Roman" w:hAnsi="Times New Roman" w:cs="Times New Roman"/>
          <w:sz w:val="24"/>
          <w:szCs w:val="24"/>
        </w:rPr>
        <w:t xml:space="preserve">on IRT when the </w:t>
      </w:r>
      <w:r>
        <w:rPr>
          <w:rFonts w:hint="default" w:ascii="Times New Roman" w:hAnsi="Times New Roman" w:cs="Times New Roman"/>
          <w:sz w:val="24"/>
          <w:szCs w:val="24"/>
          <w:lang w:val="en-US" w:eastAsia="zh-CN"/>
        </w:rPr>
        <w:t xml:space="preserve">other </w:t>
      </w:r>
      <w:r>
        <w:rPr>
          <w:rFonts w:hint="default" w:ascii="Times New Roman" w:hAnsi="Times New Roman" w:cs="Times New Roman"/>
          <w:sz w:val="24"/>
          <w:szCs w:val="24"/>
        </w:rPr>
        <w:t>metals</w:t>
      </w:r>
      <w:r>
        <w:rPr>
          <w:rFonts w:hint="default" w:ascii="Times New Roman" w:hAnsi="Times New Roman" w:cs="Times New Roman"/>
          <w:sz w:val="24"/>
          <w:szCs w:val="24"/>
          <w:lang w:val="en-US" w:eastAsia="zh-CN"/>
        </w:rPr>
        <w:t xml:space="preserve"> were fixed at 25th,</w:t>
      </w:r>
      <w:r>
        <w:rPr>
          <w:rFonts w:hint="default" w:ascii="Times New Roman" w:hAnsi="Times New Roman" w:cs="Times New Roman"/>
          <w:sz w:val="24"/>
          <w:szCs w:val="24"/>
        </w:rPr>
        <w:t xml:space="preserve"> 50th</w:t>
      </w:r>
      <w:r>
        <w:rPr>
          <w:rFonts w:hint="default" w:ascii="Times New Roman" w:hAnsi="Times New Roman" w:cs="Times New Roman"/>
          <w:sz w:val="24"/>
          <w:szCs w:val="24"/>
          <w:lang w:val="en-US" w:eastAsia="zh-CN"/>
        </w:rPr>
        <w:t>, and 75th</w:t>
      </w:r>
      <w:r>
        <w:rPr>
          <w:rFonts w:hint="default" w:ascii="Times New Roman" w:hAnsi="Times New Roman" w:cs="Times New Roman"/>
          <w:sz w:val="24"/>
          <w:szCs w:val="24"/>
        </w:rPr>
        <w:t xml:space="preserve"> in the </w:t>
      </w:r>
      <w:r>
        <w:rPr>
          <w:rFonts w:hint="default" w:ascii="Times New Roman" w:hAnsi="Times New Roman" w:cs="Times New Roman"/>
          <w:sz w:val="24"/>
          <w:szCs w:val="24"/>
          <w:lang w:val="en-US" w:eastAsia="zh-CN"/>
        </w:rPr>
        <w:t>whole population</w:t>
      </w:r>
      <w:r>
        <w:rPr>
          <w:rFonts w:hint="default" w:ascii="Times New Roman" w:hAnsi="Times New Roman" w:cs="Times New Roman"/>
          <w:sz w:val="24"/>
          <w:szCs w:val="24"/>
        </w:rPr>
        <w:t xml:space="preserve"> by the BKMR model. The model was adjusted for adjusted by sex, age, race, education, income, marital status, physical activity, drinking, smoking, BMI, diabetes, hypertension, hyperlipidemia</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and</w:t>
      </w:r>
      <w:r>
        <w:rPr>
          <w:rFonts w:hint="default" w:ascii="Times New Roman" w:hAnsi="Times New Roman" w:cs="Times New Roman"/>
          <w:sz w:val="24"/>
          <w:szCs w:val="24"/>
          <w:lang w:val="en-US" w:eastAsia="zh-CN"/>
        </w:rPr>
        <w:t xml:space="preserve"> DII</w:t>
      </w:r>
      <w:r>
        <w:rPr>
          <w:rFonts w:hint="default" w:ascii="Times New Roman" w:hAnsi="Times New Roman" w:cs="Times New Roman"/>
          <w:sz w:val="24"/>
          <w:szCs w:val="24"/>
        </w:rPr>
        <w:t>.</w:t>
      </w:r>
    </w:p>
    <w:p>
      <w:pPr>
        <w:rPr>
          <w:rFonts w:hint="default" w:ascii="Times New Roman" w:hAnsi="Times New Roman" w:cs="Times New Roman"/>
          <w:sz w:val="24"/>
          <w:szCs w:val="24"/>
        </w:rPr>
      </w:pPr>
    </w:p>
    <w:p>
      <w:pPr>
        <w:rPr>
          <w:rFonts w:hint="default" w:ascii="Times New Roman" w:hAnsi="Times New Roman" w:cs="Times New Roman"/>
          <w:sz w:val="24"/>
          <w:szCs w:val="24"/>
        </w:rPr>
      </w:pPr>
    </w:p>
    <w:p>
      <w:pPr>
        <w:jc w:val="center"/>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drawing>
          <wp:inline distT="0" distB="0" distL="114300" distR="114300">
            <wp:extent cx="7199630" cy="4319270"/>
            <wp:effectExtent l="0" t="0" r="8890" b="8890"/>
            <wp:docPr id="24" name="图片 24" descr="Figure S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Figure S5"/>
                    <pic:cNvPicPr>
                      <a:picLocks noChangeAspect="1"/>
                    </pic:cNvPicPr>
                  </pic:nvPicPr>
                  <pic:blipFill>
                    <a:blip r:embed="rId10"/>
                    <a:stretch>
                      <a:fillRect/>
                    </a:stretch>
                  </pic:blipFill>
                  <pic:spPr>
                    <a:xfrm>
                      <a:off x="0" y="0"/>
                      <a:ext cx="7199630" cy="4319270"/>
                    </a:xfrm>
                    <a:prstGeom prst="rect">
                      <a:avLst/>
                    </a:prstGeom>
                  </pic:spPr>
                </pic:pic>
              </a:graphicData>
            </a:graphic>
          </wp:inline>
        </w:drawing>
      </w:r>
    </w:p>
    <w:p>
      <w:pPr>
        <w:rPr>
          <w:rFonts w:hint="default" w:ascii="Times New Roman" w:hAnsi="Times New Roman" w:cs="Times New Roman"/>
          <w:sz w:val="24"/>
          <w:szCs w:val="24"/>
        </w:rPr>
      </w:pPr>
      <w:r>
        <w:rPr>
          <w:rFonts w:hint="default" w:ascii="Times New Roman" w:hAnsi="Times New Roman" w:cs="Times New Roman"/>
          <w:sz w:val="24"/>
          <w:szCs w:val="24"/>
        </w:rPr>
        <w:t>Fig</w:t>
      </w:r>
      <w:r>
        <w:rPr>
          <w:rFonts w:hint="default" w:ascii="Times New Roman" w:hAnsi="Times New Roman" w:cs="Times New Roman"/>
          <w:sz w:val="24"/>
          <w:szCs w:val="24"/>
          <w:lang w:val="en-US" w:eastAsia="zh-CN"/>
        </w:rPr>
        <w:t xml:space="preserve"> S7</w:t>
      </w:r>
      <w:r>
        <w:rPr>
          <w:rFonts w:hint="default" w:ascii="Times New Roman" w:hAnsi="Times New Roman" w:cs="Times New Roman"/>
          <w:sz w:val="24"/>
          <w:szCs w:val="24"/>
        </w:rPr>
        <w:t xml:space="preserve"> </w:t>
      </w:r>
      <w:r>
        <w:rPr>
          <w:rFonts w:hint="default" w:ascii="Times New Roman" w:hAnsi="Times New Roman" w:cs="Times New Roman"/>
          <w:sz w:val="24"/>
          <w:szCs w:val="24"/>
          <w:lang w:val="en-US" w:eastAsia="zh-CN"/>
        </w:rPr>
        <w:t xml:space="preserve">Bivariate exposure-response relationship for each metal </w:t>
      </w:r>
      <w:r>
        <w:rPr>
          <w:rFonts w:hint="default" w:ascii="Times New Roman" w:hAnsi="Times New Roman" w:cs="Times New Roman"/>
          <w:sz w:val="24"/>
          <w:szCs w:val="24"/>
        </w:rPr>
        <w:t xml:space="preserve">on DRT when the </w:t>
      </w:r>
      <w:r>
        <w:rPr>
          <w:rFonts w:hint="default" w:ascii="Times New Roman" w:hAnsi="Times New Roman" w:cs="Times New Roman"/>
          <w:sz w:val="24"/>
          <w:szCs w:val="24"/>
          <w:lang w:val="en-US" w:eastAsia="zh-CN"/>
        </w:rPr>
        <w:t xml:space="preserve">other </w:t>
      </w:r>
      <w:r>
        <w:rPr>
          <w:rFonts w:hint="default" w:ascii="Times New Roman" w:hAnsi="Times New Roman" w:cs="Times New Roman"/>
          <w:sz w:val="24"/>
          <w:szCs w:val="24"/>
        </w:rPr>
        <w:t>metals</w:t>
      </w:r>
      <w:r>
        <w:rPr>
          <w:rFonts w:hint="default" w:ascii="Times New Roman" w:hAnsi="Times New Roman" w:cs="Times New Roman"/>
          <w:sz w:val="24"/>
          <w:szCs w:val="24"/>
          <w:lang w:val="en-US" w:eastAsia="zh-CN"/>
        </w:rPr>
        <w:t xml:space="preserve"> were fixed at 25th,</w:t>
      </w:r>
      <w:r>
        <w:rPr>
          <w:rFonts w:hint="default" w:ascii="Times New Roman" w:hAnsi="Times New Roman" w:cs="Times New Roman"/>
          <w:sz w:val="24"/>
          <w:szCs w:val="24"/>
        </w:rPr>
        <w:t xml:space="preserve"> 50th</w:t>
      </w:r>
      <w:r>
        <w:rPr>
          <w:rFonts w:hint="default" w:ascii="Times New Roman" w:hAnsi="Times New Roman" w:cs="Times New Roman"/>
          <w:sz w:val="24"/>
          <w:szCs w:val="24"/>
          <w:lang w:val="en-US" w:eastAsia="zh-CN"/>
        </w:rPr>
        <w:t>, and 75th</w:t>
      </w:r>
      <w:r>
        <w:rPr>
          <w:rFonts w:hint="default" w:ascii="Times New Roman" w:hAnsi="Times New Roman" w:cs="Times New Roman"/>
          <w:sz w:val="24"/>
          <w:szCs w:val="24"/>
        </w:rPr>
        <w:t xml:space="preserve"> in the </w:t>
      </w:r>
      <w:r>
        <w:rPr>
          <w:rFonts w:hint="default" w:ascii="Times New Roman" w:hAnsi="Times New Roman" w:cs="Times New Roman"/>
          <w:sz w:val="24"/>
          <w:szCs w:val="24"/>
          <w:lang w:val="en-US" w:eastAsia="zh-CN"/>
        </w:rPr>
        <w:t>whole population</w:t>
      </w:r>
      <w:r>
        <w:rPr>
          <w:rFonts w:hint="default" w:ascii="Times New Roman" w:hAnsi="Times New Roman" w:cs="Times New Roman"/>
          <w:sz w:val="24"/>
          <w:szCs w:val="24"/>
        </w:rPr>
        <w:t xml:space="preserve"> by the BKMR model. The model was adjusted for adjusted by sex, age, race, education, income, marital status, physical activity, drinking, smoking, BMI, diabetes, hypertension, hyperlipidemia</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and</w:t>
      </w:r>
      <w:r>
        <w:rPr>
          <w:rFonts w:hint="default" w:ascii="Times New Roman" w:hAnsi="Times New Roman" w:cs="Times New Roman"/>
          <w:sz w:val="24"/>
          <w:szCs w:val="24"/>
          <w:lang w:val="en-US" w:eastAsia="zh-CN"/>
        </w:rPr>
        <w:t xml:space="preserve"> DII</w:t>
      </w:r>
      <w:r>
        <w:rPr>
          <w:rFonts w:hint="default" w:ascii="Times New Roman" w:hAnsi="Times New Roman" w:cs="Times New Roman"/>
          <w:sz w:val="24"/>
          <w:szCs w:val="24"/>
        </w:rPr>
        <w:t>.</w:t>
      </w:r>
    </w:p>
    <w:p>
      <w:pPr>
        <w:jc w:val="center"/>
        <w:rPr>
          <w:rFonts w:hint="default" w:ascii="Times New Roman" w:hAnsi="Times New Roman" w:cs="Times New Roman"/>
          <w:sz w:val="24"/>
          <w:szCs w:val="24"/>
          <w:lang w:val="en-US" w:eastAsia="zh-CN"/>
        </w:rPr>
      </w:pPr>
    </w:p>
    <w:p>
      <w:pPr>
        <w:jc w:val="center"/>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drawing>
          <wp:inline distT="0" distB="0" distL="114300" distR="114300">
            <wp:extent cx="6875780" cy="4124960"/>
            <wp:effectExtent l="0" t="0" r="12700" b="5080"/>
            <wp:docPr id="25" name="图片 25" descr="Figure S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Figure S6"/>
                    <pic:cNvPicPr>
                      <a:picLocks noChangeAspect="1"/>
                    </pic:cNvPicPr>
                  </pic:nvPicPr>
                  <pic:blipFill>
                    <a:blip r:embed="rId11"/>
                    <a:stretch>
                      <a:fillRect/>
                    </a:stretch>
                  </pic:blipFill>
                  <pic:spPr>
                    <a:xfrm>
                      <a:off x="0" y="0"/>
                      <a:ext cx="6875780" cy="4124960"/>
                    </a:xfrm>
                    <a:prstGeom prst="rect">
                      <a:avLst/>
                    </a:prstGeom>
                  </pic:spPr>
                </pic:pic>
              </a:graphicData>
            </a:graphic>
          </wp:inline>
        </w:drawing>
      </w:r>
    </w:p>
    <w:p>
      <w:pPr>
        <w:jc w:val="center"/>
        <w:rPr>
          <w:rFonts w:hint="default" w:ascii="Times New Roman" w:hAnsi="Times New Roman" w:cs="Times New Roman"/>
          <w:sz w:val="24"/>
          <w:szCs w:val="24"/>
          <w:lang w:val="en-US" w:eastAsia="zh-CN"/>
        </w:rPr>
      </w:pPr>
    </w:p>
    <w:p>
      <w:pPr>
        <w:rPr>
          <w:rFonts w:hint="default" w:ascii="Times New Roman" w:hAnsi="Times New Roman" w:cs="Times New Roman"/>
          <w:sz w:val="24"/>
          <w:szCs w:val="24"/>
        </w:rPr>
      </w:pPr>
      <w:r>
        <w:rPr>
          <w:rFonts w:hint="default" w:ascii="Times New Roman" w:hAnsi="Times New Roman" w:cs="Times New Roman"/>
          <w:sz w:val="24"/>
          <w:szCs w:val="24"/>
        </w:rPr>
        <w:t>Fig</w:t>
      </w:r>
      <w:r>
        <w:rPr>
          <w:rFonts w:hint="default" w:ascii="Times New Roman" w:hAnsi="Times New Roman" w:cs="Times New Roman"/>
          <w:sz w:val="24"/>
          <w:szCs w:val="24"/>
          <w:lang w:val="en-US" w:eastAsia="zh-CN"/>
        </w:rPr>
        <w:t xml:space="preserve"> S8</w:t>
      </w:r>
      <w:r>
        <w:rPr>
          <w:rFonts w:hint="default" w:ascii="Times New Roman" w:hAnsi="Times New Roman" w:cs="Times New Roman"/>
          <w:sz w:val="24"/>
          <w:szCs w:val="24"/>
        </w:rPr>
        <w:t xml:space="preserve"> </w:t>
      </w:r>
      <w:r>
        <w:rPr>
          <w:rFonts w:hint="default" w:ascii="Times New Roman" w:hAnsi="Times New Roman" w:cs="Times New Roman"/>
          <w:sz w:val="24"/>
          <w:szCs w:val="24"/>
          <w:lang w:val="en-US" w:eastAsia="zh-CN"/>
        </w:rPr>
        <w:t xml:space="preserve">Bivariate exposure-response relationship for each metal </w:t>
      </w:r>
      <w:r>
        <w:rPr>
          <w:rFonts w:hint="default" w:ascii="Times New Roman" w:hAnsi="Times New Roman" w:cs="Times New Roman"/>
          <w:sz w:val="24"/>
          <w:szCs w:val="24"/>
        </w:rPr>
        <w:t xml:space="preserve">on AFT when the </w:t>
      </w:r>
      <w:r>
        <w:rPr>
          <w:rFonts w:hint="default" w:ascii="Times New Roman" w:hAnsi="Times New Roman" w:cs="Times New Roman"/>
          <w:sz w:val="24"/>
          <w:szCs w:val="24"/>
          <w:lang w:val="en-US" w:eastAsia="zh-CN"/>
        </w:rPr>
        <w:t xml:space="preserve">other </w:t>
      </w:r>
      <w:r>
        <w:rPr>
          <w:rFonts w:hint="default" w:ascii="Times New Roman" w:hAnsi="Times New Roman" w:cs="Times New Roman"/>
          <w:sz w:val="24"/>
          <w:szCs w:val="24"/>
        </w:rPr>
        <w:t>metals</w:t>
      </w:r>
      <w:r>
        <w:rPr>
          <w:rFonts w:hint="default" w:ascii="Times New Roman" w:hAnsi="Times New Roman" w:cs="Times New Roman"/>
          <w:sz w:val="24"/>
          <w:szCs w:val="24"/>
          <w:lang w:val="en-US" w:eastAsia="zh-CN"/>
        </w:rPr>
        <w:t xml:space="preserve"> were fixed at 25th,</w:t>
      </w:r>
      <w:r>
        <w:rPr>
          <w:rFonts w:hint="default" w:ascii="Times New Roman" w:hAnsi="Times New Roman" w:cs="Times New Roman"/>
          <w:sz w:val="24"/>
          <w:szCs w:val="24"/>
        </w:rPr>
        <w:t xml:space="preserve"> 50th</w:t>
      </w:r>
      <w:r>
        <w:rPr>
          <w:rFonts w:hint="default" w:ascii="Times New Roman" w:hAnsi="Times New Roman" w:cs="Times New Roman"/>
          <w:sz w:val="24"/>
          <w:szCs w:val="24"/>
          <w:lang w:val="en-US" w:eastAsia="zh-CN"/>
        </w:rPr>
        <w:t>, and 75th</w:t>
      </w:r>
      <w:r>
        <w:rPr>
          <w:rFonts w:hint="default" w:ascii="Times New Roman" w:hAnsi="Times New Roman" w:cs="Times New Roman"/>
          <w:sz w:val="24"/>
          <w:szCs w:val="24"/>
        </w:rPr>
        <w:t xml:space="preserve"> in the </w:t>
      </w:r>
      <w:r>
        <w:rPr>
          <w:rFonts w:hint="default" w:ascii="Times New Roman" w:hAnsi="Times New Roman" w:cs="Times New Roman"/>
          <w:sz w:val="24"/>
          <w:szCs w:val="24"/>
          <w:lang w:val="en-US" w:eastAsia="zh-CN"/>
        </w:rPr>
        <w:t>whole population</w:t>
      </w:r>
      <w:r>
        <w:rPr>
          <w:rFonts w:hint="default" w:ascii="Times New Roman" w:hAnsi="Times New Roman" w:cs="Times New Roman"/>
          <w:sz w:val="24"/>
          <w:szCs w:val="24"/>
        </w:rPr>
        <w:t xml:space="preserve"> by the BKMR model. The model was adjusted for adjusted by sex, age, race, education, income, marital status, physical activity, drinking, smoking, BMI, diabetes, hypertension, hyperlipidemia</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and</w:t>
      </w:r>
      <w:r>
        <w:rPr>
          <w:rFonts w:hint="default" w:ascii="Times New Roman" w:hAnsi="Times New Roman" w:cs="Times New Roman"/>
          <w:sz w:val="24"/>
          <w:szCs w:val="24"/>
          <w:lang w:val="en-US" w:eastAsia="zh-CN"/>
        </w:rPr>
        <w:t xml:space="preserve"> DII</w:t>
      </w:r>
      <w:r>
        <w:rPr>
          <w:rFonts w:hint="default" w:ascii="Times New Roman" w:hAnsi="Times New Roman" w:cs="Times New Roman"/>
          <w:sz w:val="24"/>
          <w:szCs w:val="24"/>
        </w:rPr>
        <w:t>.</w:t>
      </w:r>
    </w:p>
    <w:p>
      <w:pPr>
        <w:jc w:val="center"/>
        <w:rPr>
          <w:rFonts w:hint="default" w:ascii="Times New Roman" w:hAnsi="Times New Roman" w:cs="Times New Roman"/>
          <w:sz w:val="24"/>
          <w:szCs w:val="24"/>
          <w:lang w:val="en-US" w:eastAsia="zh-CN"/>
        </w:rPr>
      </w:pPr>
    </w:p>
    <w:p>
      <w:pPr>
        <w:jc w:val="center"/>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drawing>
          <wp:inline distT="0" distB="0" distL="114300" distR="114300">
            <wp:extent cx="7199630" cy="4319270"/>
            <wp:effectExtent l="0" t="0" r="8890" b="8890"/>
            <wp:docPr id="26" name="图片 26" descr="Figure S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Figure S7"/>
                    <pic:cNvPicPr>
                      <a:picLocks noChangeAspect="1"/>
                    </pic:cNvPicPr>
                  </pic:nvPicPr>
                  <pic:blipFill>
                    <a:blip r:embed="rId12"/>
                    <a:stretch>
                      <a:fillRect/>
                    </a:stretch>
                  </pic:blipFill>
                  <pic:spPr>
                    <a:xfrm>
                      <a:off x="0" y="0"/>
                      <a:ext cx="7199630" cy="4319270"/>
                    </a:xfrm>
                    <a:prstGeom prst="rect">
                      <a:avLst/>
                    </a:prstGeom>
                  </pic:spPr>
                </pic:pic>
              </a:graphicData>
            </a:graphic>
          </wp:inline>
        </w:drawing>
      </w:r>
    </w:p>
    <w:p>
      <w:pPr>
        <w:rPr>
          <w:rFonts w:hint="default" w:ascii="Times New Roman" w:hAnsi="Times New Roman" w:cs="Times New Roman"/>
          <w:sz w:val="24"/>
          <w:szCs w:val="24"/>
        </w:rPr>
      </w:pPr>
      <w:r>
        <w:rPr>
          <w:rFonts w:hint="default" w:ascii="Times New Roman" w:hAnsi="Times New Roman" w:cs="Times New Roman"/>
          <w:sz w:val="24"/>
          <w:szCs w:val="24"/>
        </w:rPr>
        <w:t>Fig</w:t>
      </w:r>
      <w:r>
        <w:rPr>
          <w:rFonts w:hint="default" w:ascii="Times New Roman" w:hAnsi="Times New Roman" w:cs="Times New Roman"/>
          <w:sz w:val="24"/>
          <w:szCs w:val="24"/>
          <w:lang w:val="en-US" w:eastAsia="zh-CN"/>
        </w:rPr>
        <w:t xml:space="preserve"> S9</w:t>
      </w:r>
      <w:r>
        <w:rPr>
          <w:rFonts w:hint="default" w:ascii="Times New Roman" w:hAnsi="Times New Roman" w:cs="Times New Roman"/>
          <w:sz w:val="24"/>
          <w:szCs w:val="24"/>
        </w:rPr>
        <w:t xml:space="preserve"> </w:t>
      </w:r>
      <w:r>
        <w:rPr>
          <w:rFonts w:hint="default" w:ascii="Times New Roman" w:hAnsi="Times New Roman" w:cs="Times New Roman"/>
          <w:sz w:val="24"/>
          <w:szCs w:val="24"/>
          <w:lang w:val="en-US" w:eastAsia="zh-CN"/>
        </w:rPr>
        <w:t xml:space="preserve">Bivariate exposure-response relationship for each metal </w:t>
      </w:r>
      <w:r>
        <w:rPr>
          <w:rFonts w:hint="default" w:ascii="Times New Roman" w:hAnsi="Times New Roman" w:cs="Times New Roman"/>
          <w:sz w:val="24"/>
          <w:szCs w:val="24"/>
        </w:rPr>
        <w:t xml:space="preserve">on DSST when the </w:t>
      </w:r>
      <w:r>
        <w:rPr>
          <w:rFonts w:hint="default" w:ascii="Times New Roman" w:hAnsi="Times New Roman" w:cs="Times New Roman"/>
          <w:sz w:val="24"/>
          <w:szCs w:val="24"/>
          <w:lang w:val="en-US" w:eastAsia="zh-CN"/>
        </w:rPr>
        <w:t xml:space="preserve">other </w:t>
      </w:r>
      <w:r>
        <w:rPr>
          <w:rFonts w:hint="default" w:ascii="Times New Roman" w:hAnsi="Times New Roman" w:cs="Times New Roman"/>
          <w:sz w:val="24"/>
          <w:szCs w:val="24"/>
        </w:rPr>
        <w:t>metals</w:t>
      </w:r>
      <w:r>
        <w:rPr>
          <w:rFonts w:hint="default" w:ascii="Times New Roman" w:hAnsi="Times New Roman" w:cs="Times New Roman"/>
          <w:sz w:val="24"/>
          <w:szCs w:val="24"/>
          <w:lang w:val="en-US" w:eastAsia="zh-CN"/>
        </w:rPr>
        <w:t xml:space="preserve"> were fixed at 25th,</w:t>
      </w:r>
      <w:r>
        <w:rPr>
          <w:rFonts w:hint="default" w:ascii="Times New Roman" w:hAnsi="Times New Roman" w:cs="Times New Roman"/>
          <w:sz w:val="24"/>
          <w:szCs w:val="24"/>
        </w:rPr>
        <w:t xml:space="preserve"> 50th</w:t>
      </w:r>
      <w:r>
        <w:rPr>
          <w:rFonts w:hint="default" w:ascii="Times New Roman" w:hAnsi="Times New Roman" w:cs="Times New Roman"/>
          <w:sz w:val="24"/>
          <w:szCs w:val="24"/>
          <w:lang w:val="en-US" w:eastAsia="zh-CN"/>
        </w:rPr>
        <w:t>, and 75th</w:t>
      </w:r>
      <w:r>
        <w:rPr>
          <w:rFonts w:hint="default" w:ascii="Times New Roman" w:hAnsi="Times New Roman" w:cs="Times New Roman"/>
          <w:sz w:val="24"/>
          <w:szCs w:val="24"/>
        </w:rPr>
        <w:t xml:space="preserve"> in the </w:t>
      </w:r>
      <w:r>
        <w:rPr>
          <w:rFonts w:hint="default" w:ascii="Times New Roman" w:hAnsi="Times New Roman" w:cs="Times New Roman"/>
          <w:sz w:val="24"/>
          <w:szCs w:val="24"/>
          <w:lang w:val="en-US" w:eastAsia="zh-CN"/>
        </w:rPr>
        <w:t>whole population</w:t>
      </w:r>
      <w:r>
        <w:rPr>
          <w:rFonts w:hint="default" w:ascii="Times New Roman" w:hAnsi="Times New Roman" w:cs="Times New Roman"/>
          <w:sz w:val="24"/>
          <w:szCs w:val="24"/>
        </w:rPr>
        <w:t xml:space="preserve"> by the BKMR model. The model was adjusted for adjusted by sex, age, race, education, income, marital status, physical activity, drinking, smoking, BMI, diabetes, hypertension</w:t>
      </w:r>
      <w:bookmarkStart w:id="3" w:name="OLE_LINK3"/>
      <w:r>
        <w:rPr>
          <w:rFonts w:hint="default" w:ascii="Times New Roman" w:hAnsi="Times New Roman" w:cs="Times New Roman"/>
          <w:sz w:val="24"/>
          <w:szCs w:val="24"/>
        </w:rPr>
        <w:t>, hyperlipidemia</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and</w:t>
      </w:r>
      <w:r>
        <w:rPr>
          <w:rFonts w:hint="default" w:ascii="Times New Roman" w:hAnsi="Times New Roman" w:cs="Times New Roman"/>
          <w:sz w:val="24"/>
          <w:szCs w:val="24"/>
          <w:lang w:val="en-US" w:eastAsia="zh-CN"/>
        </w:rPr>
        <w:t xml:space="preserve"> DII</w:t>
      </w:r>
      <w:r>
        <w:rPr>
          <w:rFonts w:hint="default" w:ascii="Times New Roman" w:hAnsi="Times New Roman" w:cs="Times New Roman"/>
          <w:sz w:val="24"/>
          <w:szCs w:val="24"/>
        </w:rPr>
        <w:t>.</w:t>
      </w:r>
      <w:bookmarkEnd w:id="3"/>
    </w:p>
    <w:p>
      <w:pPr>
        <w:jc w:val="center"/>
        <w:rPr>
          <w:rFonts w:hint="default" w:ascii="Times New Roman" w:hAnsi="Times New Roman" w:cs="Times New Roman"/>
          <w:sz w:val="24"/>
          <w:szCs w:val="24"/>
          <w:lang w:val="en-US" w:eastAsia="zh-CN"/>
        </w:rPr>
      </w:pPr>
    </w:p>
    <w:p>
      <w:pPr>
        <w:jc w:val="center"/>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drawing>
          <wp:inline distT="0" distB="0" distL="114300" distR="114300">
            <wp:extent cx="8862695" cy="4432300"/>
            <wp:effectExtent l="0" t="0" r="6985" b="2540"/>
            <wp:docPr id="27" name="图片 27" descr="Figure S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Figure S8"/>
                    <pic:cNvPicPr>
                      <a:picLocks noChangeAspect="1"/>
                    </pic:cNvPicPr>
                  </pic:nvPicPr>
                  <pic:blipFill>
                    <a:blip r:embed="rId13"/>
                    <a:stretch>
                      <a:fillRect/>
                    </a:stretch>
                  </pic:blipFill>
                  <pic:spPr>
                    <a:xfrm>
                      <a:off x="0" y="0"/>
                      <a:ext cx="8862695" cy="4432300"/>
                    </a:xfrm>
                    <a:prstGeom prst="rect">
                      <a:avLst/>
                    </a:prstGeom>
                  </pic:spPr>
                </pic:pic>
              </a:graphicData>
            </a:graphic>
          </wp:inline>
        </w:drawing>
      </w:r>
    </w:p>
    <w:p>
      <w:pPr>
        <w:rPr>
          <w:rFonts w:hint="default" w:ascii="Times New Roman" w:hAnsi="Times New Roman" w:cs="Times New Roman"/>
          <w:sz w:val="24"/>
          <w:szCs w:val="24"/>
        </w:rPr>
      </w:pPr>
      <w:r>
        <w:rPr>
          <w:rFonts w:hint="default" w:ascii="Times New Roman" w:hAnsi="Times New Roman" w:cs="Times New Roman"/>
          <w:sz w:val="24"/>
          <w:szCs w:val="24"/>
        </w:rPr>
        <w:t>Fig</w:t>
      </w:r>
      <w:r>
        <w:rPr>
          <w:rFonts w:hint="default" w:ascii="Times New Roman" w:hAnsi="Times New Roman" w:cs="Times New Roman"/>
          <w:sz w:val="24"/>
          <w:szCs w:val="24"/>
          <w:lang w:val="en-US" w:eastAsia="zh-CN"/>
        </w:rPr>
        <w:t xml:space="preserve"> S10</w:t>
      </w:r>
      <w:r>
        <w:rPr>
          <w:rFonts w:hint="default" w:ascii="Times New Roman" w:hAnsi="Times New Roman" w:cs="Times New Roman"/>
          <w:sz w:val="24"/>
          <w:szCs w:val="24"/>
        </w:rPr>
        <w:t xml:space="preserve"> WQS model regression index weights for blood heavy metals and cognitive function</w:t>
      </w:r>
      <w:bookmarkStart w:id="4" w:name="OLE_LINK4"/>
      <w:r>
        <w:rPr>
          <w:rFonts w:hint="default" w:ascii="Times New Roman" w:hAnsi="Times New Roman" w:cs="Times New Roman"/>
          <w:sz w:val="24"/>
          <w:szCs w:val="24"/>
        </w:rPr>
        <w:t xml:space="preserve"> in the </w:t>
      </w:r>
      <w:r>
        <w:rPr>
          <w:rFonts w:hint="default" w:ascii="Times New Roman" w:hAnsi="Times New Roman" w:cs="Times New Roman"/>
          <w:sz w:val="24"/>
          <w:szCs w:val="24"/>
          <w:lang w:val="en-US" w:eastAsia="zh-CN"/>
        </w:rPr>
        <w:t>whole population</w:t>
      </w:r>
      <w:r>
        <w:rPr>
          <w:rFonts w:hint="default" w:ascii="Times New Roman" w:hAnsi="Times New Roman" w:cs="Times New Roman"/>
          <w:sz w:val="24"/>
          <w:szCs w:val="24"/>
        </w:rPr>
        <w:t>. The model was adjusted for sex, age, race, education, income, marital status, physical activity, drinking, smoking, BMI, diabetes, hypertension, hyperlipidemia</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and</w:t>
      </w:r>
      <w:r>
        <w:rPr>
          <w:rFonts w:hint="default" w:ascii="Times New Roman" w:hAnsi="Times New Roman" w:cs="Times New Roman"/>
          <w:sz w:val="24"/>
          <w:szCs w:val="24"/>
          <w:lang w:val="en-US" w:eastAsia="zh-CN"/>
        </w:rPr>
        <w:t xml:space="preserve"> DII</w:t>
      </w:r>
      <w:r>
        <w:rPr>
          <w:rFonts w:hint="default" w:ascii="Times New Roman" w:hAnsi="Times New Roman" w:cs="Times New Roman"/>
          <w:sz w:val="24"/>
          <w:szCs w:val="24"/>
        </w:rPr>
        <w:t>.</w:t>
      </w:r>
      <w:bookmarkEnd w:id="4"/>
    </w:p>
    <w:p>
      <w:pPr>
        <w:jc w:val="center"/>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drawing>
          <wp:inline distT="0" distB="0" distL="114300" distR="114300">
            <wp:extent cx="4787900" cy="4533900"/>
            <wp:effectExtent l="0" t="0" r="12700" b="7620"/>
            <wp:docPr id="28" name="图片 28" descr="Figure S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Figure S9"/>
                    <pic:cNvPicPr>
                      <a:picLocks noChangeAspect="1"/>
                    </pic:cNvPicPr>
                  </pic:nvPicPr>
                  <pic:blipFill>
                    <a:blip r:embed="rId14"/>
                    <a:stretch>
                      <a:fillRect/>
                    </a:stretch>
                  </pic:blipFill>
                  <pic:spPr>
                    <a:xfrm>
                      <a:off x="0" y="0"/>
                      <a:ext cx="4787900" cy="4533900"/>
                    </a:xfrm>
                    <a:prstGeom prst="rect">
                      <a:avLst/>
                    </a:prstGeom>
                  </pic:spPr>
                </pic:pic>
              </a:graphicData>
            </a:graphic>
          </wp:inline>
        </w:drawing>
      </w:r>
    </w:p>
    <w:p>
      <w:pPr>
        <w:rPr>
          <w:rFonts w:hint="default" w:ascii="Times New Roman" w:hAnsi="Times New Roman" w:cs="Times New Roman"/>
          <w:sz w:val="24"/>
          <w:szCs w:val="24"/>
        </w:rPr>
      </w:pPr>
      <w:r>
        <w:rPr>
          <w:rFonts w:hint="default" w:ascii="Times New Roman" w:hAnsi="Times New Roman" w:cs="Times New Roman"/>
          <w:sz w:val="24"/>
          <w:szCs w:val="24"/>
        </w:rPr>
        <w:t>Fig</w:t>
      </w:r>
      <w:r>
        <w:rPr>
          <w:rFonts w:hint="default" w:ascii="Times New Roman" w:hAnsi="Times New Roman" w:cs="Times New Roman"/>
          <w:sz w:val="24"/>
          <w:szCs w:val="24"/>
          <w:lang w:val="en-US" w:eastAsia="zh-CN"/>
        </w:rPr>
        <w:t xml:space="preserve"> S11</w:t>
      </w:r>
      <w:r>
        <w:rPr>
          <w:rFonts w:hint="default" w:ascii="Times New Roman" w:hAnsi="Times New Roman" w:cs="Times New Roman"/>
          <w:sz w:val="24"/>
          <w:szCs w:val="24"/>
        </w:rPr>
        <w:t xml:space="preserve"> Qg-comp model regression index weights for blood heavy metals and cognitive function in the </w:t>
      </w:r>
      <w:r>
        <w:rPr>
          <w:rFonts w:hint="default" w:ascii="Times New Roman" w:hAnsi="Times New Roman" w:cs="Times New Roman"/>
          <w:sz w:val="24"/>
          <w:szCs w:val="24"/>
          <w:lang w:val="en-US" w:eastAsia="zh-CN"/>
        </w:rPr>
        <w:t>whole population</w:t>
      </w:r>
      <w:r>
        <w:rPr>
          <w:rFonts w:hint="default" w:ascii="Times New Roman" w:hAnsi="Times New Roman" w:cs="Times New Roman"/>
          <w:sz w:val="24"/>
          <w:szCs w:val="24"/>
        </w:rPr>
        <w:t>. The model was adjusted for sex, age, race, education, income, marital status, physical activity, drinking, smoking, BMI, diabetes, hypertension, hyperlipidemia</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and</w:t>
      </w:r>
      <w:r>
        <w:rPr>
          <w:rFonts w:hint="default" w:ascii="Times New Roman" w:hAnsi="Times New Roman" w:cs="Times New Roman"/>
          <w:sz w:val="24"/>
          <w:szCs w:val="24"/>
          <w:lang w:val="en-US" w:eastAsia="zh-CN"/>
        </w:rPr>
        <w:t xml:space="preserve"> DII</w:t>
      </w:r>
      <w:r>
        <w:rPr>
          <w:rFonts w:hint="default" w:ascii="Times New Roman" w:hAnsi="Times New Roman" w:cs="Times New Roman"/>
          <w:sz w:val="24"/>
          <w:szCs w:val="24"/>
        </w:rPr>
        <w:t>.</w:t>
      </w:r>
    </w:p>
    <w:p>
      <w:pPr>
        <w:jc w:val="center"/>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drawing>
          <wp:inline distT="0" distB="0" distL="114300" distR="114300">
            <wp:extent cx="5328285" cy="4695825"/>
            <wp:effectExtent l="0" t="0" r="5715" b="13335"/>
            <wp:docPr id="29" name="图片 29" descr="Figure 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Figure S10"/>
                    <pic:cNvPicPr>
                      <a:picLocks noChangeAspect="1"/>
                    </pic:cNvPicPr>
                  </pic:nvPicPr>
                  <pic:blipFill>
                    <a:blip r:embed="rId15"/>
                    <a:stretch>
                      <a:fillRect/>
                    </a:stretch>
                  </pic:blipFill>
                  <pic:spPr>
                    <a:xfrm>
                      <a:off x="0" y="0"/>
                      <a:ext cx="5328285" cy="4695825"/>
                    </a:xfrm>
                    <a:prstGeom prst="rect">
                      <a:avLst/>
                    </a:prstGeom>
                  </pic:spPr>
                </pic:pic>
              </a:graphicData>
            </a:graphic>
          </wp:inline>
        </w:drawing>
      </w:r>
    </w:p>
    <w:p>
      <w:pPr>
        <w:rPr>
          <w:rFonts w:hint="default" w:ascii="Times New Roman" w:hAnsi="Times New Roman" w:cs="Times New Roman"/>
          <w:sz w:val="24"/>
          <w:szCs w:val="24"/>
        </w:rPr>
      </w:pPr>
      <w:r>
        <w:rPr>
          <w:rFonts w:hint="default" w:ascii="Times New Roman" w:hAnsi="Times New Roman" w:cs="Times New Roman"/>
          <w:sz w:val="24"/>
          <w:szCs w:val="24"/>
        </w:rPr>
        <w:t>Fig</w:t>
      </w:r>
      <w:r>
        <w:rPr>
          <w:rFonts w:hint="default" w:ascii="Times New Roman" w:hAnsi="Times New Roman" w:cs="Times New Roman"/>
          <w:sz w:val="24"/>
          <w:szCs w:val="24"/>
          <w:lang w:val="en-US" w:eastAsia="zh-CN"/>
        </w:rPr>
        <w:t xml:space="preserve"> S12</w:t>
      </w:r>
      <w:r>
        <w:rPr>
          <w:rFonts w:hint="default" w:ascii="Times New Roman" w:hAnsi="Times New Roman" w:cs="Times New Roman"/>
          <w:sz w:val="24"/>
          <w:szCs w:val="24"/>
        </w:rPr>
        <w:t xml:space="preserve"> </w:t>
      </w:r>
      <w:bookmarkStart w:id="5" w:name="OLE_LINK5"/>
      <w:r>
        <w:rPr>
          <w:rFonts w:hint="default" w:ascii="Times New Roman" w:hAnsi="Times New Roman" w:cs="Times New Roman"/>
          <w:sz w:val="24"/>
          <w:lang w:val="en-US" w:eastAsia="zh-CN"/>
        </w:rPr>
        <w:t>T</w:t>
      </w:r>
      <w:r>
        <w:rPr>
          <w:rFonts w:hint="default" w:ascii="Times New Roman" w:hAnsi="Times New Roman" w:cs="Times New Roman"/>
          <w:sz w:val="24"/>
        </w:rPr>
        <w:t>he effect of a single metal variable at the 25th to 75th percentile</w:t>
      </w:r>
      <w:r>
        <w:rPr>
          <w:rFonts w:hint="default" w:ascii="Times New Roman" w:hAnsi="Times New Roman" w:cs="Times New Roman"/>
          <w:sz w:val="24"/>
          <w:lang w:val="en-US" w:eastAsia="zh-CN"/>
        </w:rPr>
        <w:t xml:space="preserve"> </w:t>
      </w:r>
      <w:r>
        <w:rPr>
          <w:rFonts w:hint="default" w:ascii="Times New Roman" w:hAnsi="Times New Roman" w:cs="Times New Roman"/>
          <w:sz w:val="24"/>
        </w:rPr>
        <w:t xml:space="preserve">on the IRT, DRT, AFT, and DSST by BKMR model analysis </w:t>
      </w:r>
      <w:r>
        <w:rPr>
          <w:rFonts w:hint="default" w:ascii="Times New Roman" w:hAnsi="Times New Roman" w:cs="Times New Roman"/>
          <w:sz w:val="24"/>
          <w:szCs w:val="24"/>
        </w:rPr>
        <w:t>in the anti-inflammatory population</w:t>
      </w:r>
      <w:r>
        <w:rPr>
          <w:rFonts w:hint="default" w:ascii="Times New Roman" w:hAnsi="Times New Roman" w:cs="Times New Roman"/>
          <w:sz w:val="24"/>
          <w:lang w:val="en-US" w:eastAsia="zh-CN"/>
        </w:rPr>
        <w:t xml:space="preserve"> when</w:t>
      </w:r>
      <w:r>
        <w:rPr>
          <w:rFonts w:hint="default" w:ascii="Times New Roman" w:hAnsi="Times New Roman" w:cs="Times New Roman"/>
          <w:sz w:val="24"/>
        </w:rPr>
        <w:t xml:space="preserve"> other</w:t>
      </w:r>
      <w:r>
        <w:rPr>
          <w:rFonts w:hint="default" w:ascii="Times New Roman" w:hAnsi="Times New Roman" w:cs="Times New Roman"/>
          <w:sz w:val="24"/>
          <w:lang w:val="en-US" w:eastAsia="zh-CN"/>
        </w:rPr>
        <w:t xml:space="preserve"> metals were fixed </w:t>
      </w:r>
      <w:r>
        <w:rPr>
          <w:rFonts w:hint="default" w:ascii="Times New Roman" w:hAnsi="Times New Roman" w:cs="Times New Roman"/>
          <w:sz w:val="24"/>
        </w:rPr>
        <w:t xml:space="preserve">at the 25th, 50th, and 75th percentiles. </w:t>
      </w:r>
    </w:p>
    <w:bookmarkEnd w:id="5"/>
    <w:p>
      <w:pPr>
        <w:jc w:val="center"/>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drawing>
          <wp:inline distT="0" distB="0" distL="114300" distR="114300">
            <wp:extent cx="5328285" cy="4695825"/>
            <wp:effectExtent l="0" t="0" r="5715" b="13335"/>
            <wp:docPr id="1" name="图片 1" descr="Figure 3 pro_画板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Figure 3 pro_画板 1"/>
                    <pic:cNvPicPr>
                      <a:picLocks noChangeAspect="1"/>
                    </pic:cNvPicPr>
                  </pic:nvPicPr>
                  <pic:blipFill>
                    <a:blip r:embed="rId16"/>
                    <a:stretch>
                      <a:fillRect/>
                    </a:stretch>
                  </pic:blipFill>
                  <pic:spPr>
                    <a:xfrm>
                      <a:off x="0" y="0"/>
                      <a:ext cx="5328285" cy="4695825"/>
                    </a:xfrm>
                    <a:prstGeom prst="rect">
                      <a:avLst/>
                    </a:prstGeom>
                  </pic:spPr>
                </pic:pic>
              </a:graphicData>
            </a:graphic>
          </wp:inline>
        </w:drawing>
      </w:r>
    </w:p>
    <w:p>
      <w:pPr>
        <w:rPr>
          <w:rFonts w:hint="default" w:ascii="Times New Roman" w:hAnsi="Times New Roman" w:cs="Times New Roman"/>
          <w:sz w:val="24"/>
          <w:szCs w:val="24"/>
        </w:rPr>
      </w:pPr>
      <w:r>
        <w:rPr>
          <w:rFonts w:hint="default" w:ascii="Times New Roman" w:hAnsi="Times New Roman" w:cs="Times New Roman"/>
          <w:sz w:val="24"/>
          <w:szCs w:val="24"/>
        </w:rPr>
        <w:t>Fig</w:t>
      </w:r>
      <w:r>
        <w:rPr>
          <w:rFonts w:hint="default" w:ascii="Times New Roman" w:hAnsi="Times New Roman" w:cs="Times New Roman"/>
          <w:sz w:val="24"/>
          <w:szCs w:val="24"/>
          <w:lang w:val="en-US" w:eastAsia="zh-CN"/>
        </w:rPr>
        <w:t xml:space="preserve"> S13</w:t>
      </w:r>
      <w:r>
        <w:rPr>
          <w:rFonts w:hint="default" w:ascii="Times New Roman" w:hAnsi="Times New Roman" w:cs="Times New Roman"/>
          <w:sz w:val="24"/>
          <w:szCs w:val="24"/>
        </w:rPr>
        <w:t xml:space="preserve"> </w:t>
      </w:r>
      <w:r>
        <w:rPr>
          <w:rFonts w:hint="default" w:ascii="Times New Roman" w:hAnsi="Times New Roman" w:cs="Times New Roman"/>
          <w:sz w:val="24"/>
          <w:lang w:val="en-US" w:eastAsia="zh-CN"/>
        </w:rPr>
        <w:t>T</w:t>
      </w:r>
      <w:r>
        <w:rPr>
          <w:rFonts w:hint="default" w:ascii="Times New Roman" w:hAnsi="Times New Roman" w:cs="Times New Roman"/>
          <w:sz w:val="24"/>
        </w:rPr>
        <w:t>he effect of a single metal variable at the 25th to 75th percentile</w:t>
      </w:r>
      <w:r>
        <w:rPr>
          <w:rFonts w:hint="default" w:ascii="Times New Roman" w:hAnsi="Times New Roman" w:cs="Times New Roman"/>
          <w:sz w:val="24"/>
          <w:lang w:val="en-US" w:eastAsia="zh-CN"/>
        </w:rPr>
        <w:t xml:space="preserve"> </w:t>
      </w:r>
      <w:r>
        <w:rPr>
          <w:rFonts w:hint="default" w:ascii="Times New Roman" w:hAnsi="Times New Roman" w:cs="Times New Roman"/>
          <w:sz w:val="24"/>
        </w:rPr>
        <w:t xml:space="preserve">on the IRT, DRT, AFT, and DSST by BKMR model analysis </w:t>
      </w:r>
      <w:r>
        <w:rPr>
          <w:rFonts w:hint="default" w:ascii="Times New Roman" w:hAnsi="Times New Roman" w:cs="Times New Roman"/>
          <w:sz w:val="24"/>
          <w:szCs w:val="24"/>
        </w:rPr>
        <w:t xml:space="preserve">in the </w:t>
      </w:r>
      <w:r>
        <w:rPr>
          <w:rFonts w:hint="default" w:ascii="Times New Roman" w:hAnsi="Times New Roman" w:cs="Times New Roman"/>
          <w:sz w:val="24"/>
          <w:szCs w:val="24"/>
          <w:lang w:val="en-US" w:eastAsia="zh-CN"/>
        </w:rPr>
        <w:t>pro</w:t>
      </w:r>
      <w:r>
        <w:rPr>
          <w:rFonts w:hint="default" w:ascii="Times New Roman" w:hAnsi="Times New Roman" w:cs="Times New Roman"/>
          <w:sz w:val="24"/>
          <w:szCs w:val="24"/>
        </w:rPr>
        <w:t>-inflammatory population</w:t>
      </w:r>
      <w:r>
        <w:rPr>
          <w:rFonts w:hint="default" w:ascii="Times New Roman" w:hAnsi="Times New Roman" w:cs="Times New Roman"/>
          <w:sz w:val="24"/>
          <w:lang w:val="en-US" w:eastAsia="zh-CN"/>
        </w:rPr>
        <w:t xml:space="preserve"> when</w:t>
      </w:r>
      <w:r>
        <w:rPr>
          <w:rFonts w:hint="default" w:ascii="Times New Roman" w:hAnsi="Times New Roman" w:cs="Times New Roman"/>
          <w:sz w:val="24"/>
        </w:rPr>
        <w:t xml:space="preserve"> other</w:t>
      </w:r>
      <w:r>
        <w:rPr>
          <w:rFonts w:hint="default" w:ascii="Times New Roman" w:hAnsi="Times New Roman" w:cs="Times New Roman"/>
          <w:sz w:val="24"/>
          <w:lang w:val="en-US" w:eastAsia="zh-CN"/>
        </w:rPr>
        <w:t xml:space="preserve"> metals were fixed </w:t>
      </w:r>
      <w:r>
        <w:rPr>
          <w:rFonts w:hint="default" w:ascii="Times New Roman" w:hAnsi="Times New Roman" w:cs="Times New Roman"/>
          <w:sz w:val="24"/>
        </w:rPr>
        <w:t xml:space="preserve">at the 25th, 50th, and 75th percentiles. </w:t>
      </w:r>
    </w:p>
    <w:p>
      <w:pPr>
        <w:rPr>
          <w:rFonts w:hint="default" w:ascii="Times New Roman" w:hAnsi="Times New Roman" w:cs="Times New Roman"/>
          <w:sz w:val="24"/>
          <w:szCs w:val="24"/>
        </w:rPr>
      </w:pPr>
    </w:p>
    <w:p>
      <w:pPr>
        <w:jc w:val="center"/>
        <w:rPr>
          <w:rFonts w:hint="default" w:ascii="Times New Roman" w:hAnsi="Times New Roman" w:cs="Times New Roman"/>
          <w:sz w:val="24"/>
          <w:szCs w:val="24"/>
          <w:lang w:val="en-US" w:eastAsia="zh-CN"/>
        </w:rPr>
      </w:pPr>
    </w:p>
    <w:p>
      <w:pPr>
        <w:jc w:val="center"/>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drawing>
          <wp:inline distT="0" distB="0" distL="114300" distR="114300">
            <wp:extent cx="6875780" cy="4124960"/>
            <wp:effectExtent l="0" t="0" r="12700" b="5080"/>
            <wp:docPr id="31" name="图片 31" descr="Figure S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Figure S12"/>
                    <pic:cNvPicPr>
                      <a:picLocks noChangeAspect="1"/>
                    </pic:cNvPicPr>
                  </pic:nvPicPr>
                  <pic:blipFill>
                    <a:blip r:embed="rId17"/>
                    <a:stretch>
                      <a:fillRect/>
                    </a:stretch>
                  </pic:blipFill>
                  <pic:spPr>
                    <a:xfrm>
                      <a:off x="0" y="0"/>
                      <a:ext cx="6875780" cy="4124960"/>
                    </a:xfrm>
                    <a:prstGeom prst="rect">
                      <a:avLst/>
                    </a:prstGeom>
                  </pic:spPr>
                </pic:pic>
              </a:graphicData>
            </a:graphic>
          </wp:inline>
        </w:drawing>
      </w:r>
    </w:p>
    <w:p>
      <w:pPr>
        <w:rPr>
          <w:rFonts w:hint="default" w:ascii="Times New Roman" w:hAnsi="Times New Roman" w:cs="Times New Roman"/>
          <w:sz w:val="24"/>
          <w:szCs w:val="24"/>
        </w:rPr>
      </w:pPr>
      <w:r>
        <w:rPr>
          <w:rFonts w:hint="default" w:ascii="Times New Roman" w:hAnsi="Times New Roman" w:cs="Times New Roman"/>
          <w:sz w:val="24"/>
          <w:szCs w:val="24"/>
        </w:rPr>
        <w:t>Fig</w:t>
      </w:r>
      <w:r>
        <w:rPr>
          <w:rFonts w:hint="default" w:ascii="Times New Roman" w:hAnsi="Times New Roman" w:cs="Times New Roman"/>
          <w:sz w:val="24"/>
          <w:szCs w:val="24"/>
          <w:lang w:val="en-US" w:eastAsia="zh-CN"/>
        </w:rPr>
        <w:t xml:space="preserve"> S14</w:t>
      </w:r>
      <w:r>
        <w:rPr>
          <w:rFonts w:hint="default" w:ascii="Times New Roman" w:hAnsi="Times New Roman" w:cs="Times New Roman"/>
          <w:sz w:val="24"/>
          <w:szCs w:val="24"/>
        </w:rPr>
        <w:t xml:space="preserve"> </w:t>
      </w:r>
      <w:r>
        <w:rPr>
          <w:rFonts w:hint="default" w:ascii="Times New Roman" w:hAnsi="Times New Roman" w:cs="Times New Roman"/>
          <w:sz w:val="24"/>
          <w:szCs w:val="24"/>
          <w:lang w:val="en-US" w:eastAsia="zh-CN"/>
        </w:rPr>
        <w:t xml:space="preserve">Bivariate exposure-response relationship for each metal </w:t>
      </w:r>
      <w:r>
        <w:rPr>
          <w:rFonts w:hint="default" w:ascii="Times New Roman" w:hAnsi="Times New Roman" w:cs="Times New Roman"/>
          <w:sz w:val="24"/>
          <w:szCs w:val="24"/>
        </w:rPr>
        <w:t xml:space="preserve">on IRT when the </w:t>
      </w:r>
      <w:r>
        <w:rPr>
          <w:rFonts w:hint="default" w:ascii="Times New Roman" w:hAnsi="Times New Roman" w:cs="Times New Roman"/>
          <w:sz w:val="24"/>
          <w:szCs w:val="24"/>
          <w:lang w:val="en-US" w:eastAsia="zh-CN"/>
        </w:rPr>
        <w:t xml:space="preserve">other </w:t>
      </w:r>
      <w:r>
        <w:rPr>
          <w:rFonts w:hint="default" w:ascii="Times New Roman" w:hAnsi="Times New Roman" w:cs="Times New Roman"/>
          <w:sz w:val="24"/>
          <w:szCs w:val="24"/>
        </w:rPr>
        <w:t>metals</w:t>
      </w:r>
      <w:r>
        <w:rPr>
          <w:rFonts w:hint="default" w:ascii="Times New Roman" w:hAnsi="Times New Roman" w:cs="Times New Roman"/>
          <w:sz w:val="24"/>
          <w:szCs w:val="24"/>
          <w:lang w:val="en-US" w:eastAsia="zh-CN"/>
        </w:rPr>
        <w:t xml:space="preserve"> were fixed at 25th,</w:t>
      </w:r>
      <w:r>
        <w:rPr>
          <w:rFonts w:hint="default" w:ascii="Times New Roman" w:hAnsi="Times New Roman" w:cs="Times New Roman"/>
          <w:sz w:val="24"/>
          <w:szCs w:val="24"/>
        </w:rPr>
        <w:t xml:space="preserve"> 50th</w:t>
      </w:r>
      <w:r>
        <w:rPr>
          <w:rFonts w:hint="default" w:ascii="Times New Roman" w:hAnsi="Times New Roman" w:cs="Times New Roman"/>
          <w:sz w:val="24"/>
          <w:szCs w:val="24"/>
          <w:lang w:val="en-US" w:eastAsia="zh-CN"/>
        </w:rPr>
        <w:t xml:space="preserve">, and 75th </w:t>
      </w:r>
      <w:r>
        <w:rPr>
          <w:rFonts w:hint="default" w:ascii="Times New Roman" w:hAnsi="Times New Roman" w:cs="Times New Roman"/>
          <w:sz w:val="24"/>
          <w:szCs w:val="24"/>
        </w:rPr>
        <w:t>in the anti-inflammatory population by the BKMR model. The model was adjusted for adjusted by sex, age, race, education, income, marital status, physical activity, drinking, smoking, BMI, diabetes, hypertension,</w:t>
      </w:r>
      <w:r>
        <w:rPr>
          <w:rFonts w:hint="default" w:ascii="Times New Roman" w:hAnsi="Times New Roman" w:cs="Times New Roman"/>
          <w:sz w:val="24"/>
          <w:szCs w:val="24"/>
          <w:lang w:val="en-US" w:eastAsia="zh-CN"/>
        </w:rPr>
        <w:t xml:space="preserve"> and</w:t>
      </w:r>
      <w:r>
        <w:rPr>
          <w:rFonts w:hint="default" w:ascii="Times New Roman" w:hAnsi="Times New Roman" w:cs="Times New Roman"/>
          <w:sz w:val="24"/>
          <w:szCs w:val="24"/>
        </w:rPr>
        <w:t xml:space="preserve"> hyperlipidemia.</w:t>
      </w:r>
    </w:p>
    <w:p>
      <w:pPr>
        <w:jc w:val="center"/>
        <w:rPr>
          <w:rFonts w:hint="default" w:ascii="Times New Roman" w:hAnsi="Times New Roman" w:cs="Times New Roman"/>
          <w:sz w:val="24"/>
          <w:szCs w:val="24"/>
          <w:lang w:val="en-US" w:eastAsia="zh-CN"/>
        </w:rPr>
      </w:pPr>
    </w:p>
    <w:p>
      <w:pPr>
        <w:jc w:val="center"/>
        <w:rPr>
          <w:rFonts w:hint="default" w:ascii="Times New Roman" w:hAnsi="Times New Roman" w:cs="Times New Roman"/>
          <w:sz w:val="24"/>
          <w:szCs w:val="24"/>
          <w:lang w:val="en-US" w:eastAsia="zh-CN"/>
        </w:rPr>
      </w:pPr>
    </w:p>
    <w:p>
      <w:pPr>
        <w:jc w:val="center"/>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drawing>
          <wp:inline distT="0" distB="0" distL="114300" distR="114300">
            <wp:extent cx="6911975" cy="4146550"/>
            <wp:effectExtent l="0" t="0" r="6985" b="13970"/>
            <wp:docPr id="32" name="图片 32" descr="Figure S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Figure S13"/>
                    <pic:cNvPicPr>
                      <a:picLocks noChangeAspect="1"/>
                    </pic:cNvPicPr>
                  </pic:nvPicPr>
                  <pic:blipFill>
                    <a:blip r:embed="rId18"/>
                    <a:stretch>
                      <a:fillRect/>
                    </a:stretch>
                  </pic:blipFill>
                  <pic:spPr>
                    <a:xfrm>
                      <a:off x="0" y="0"/>
                      <a:ext cx="6911975" cy="4146550"/>
                    </a:xfrm>
                    <a:prstGeom prst="rect">
                      <a:avLst/>
                    </a:prstGeom>
                  </pic:spPr>
                </pic:pic>
              </a:graphicData>
            </a:graphic>
          </wp:inline>
        </w:drawing>
      </w:r>
    </w:p>
    <w:p>
      <w:pPr>
        <w:rPr>
          <w:rFonts w:hint="default" w:ascii="Times New Roman" w:hAnsi="Times New Roman" w:cs="Times New Roman"/>
          <w:sz w:val="24"/>
          <w:szCs w:val="24"/>
        </w:rPr>
      </w:pPr>
      <w:bookmarkStart w:id="6" w:name="OLE_LINK6"/>
      <w:r>
        <w:rPr>
          <w:rFonts w:hint="default" w:ascii="Times New Roman" w:hAnsi="Times New Roman" w:cs="Times New Roman"/>
          <w:sz w:val="24"/>
          <w:szCs w:val="24"/>
        </w:rPr>
        <w:t>Fig</w:t>
      </w:r>
      <w:r>
        <w:rPr>
          <w:rFonts w:hint="default" w:ascii="Times New Roman" w:hAnsi="Times New Roman" w:cs="Times New Roman"/>
          <w:sz w:val="24"/>
          <w:szCs w:val="24"/>
          <w:lang w:val="en-US" w:eastAsia="zh-CN"/>
        </w:rPr>
        <w:t xml:space="preserve"> S15</w:t>
      </w:r>
      <w:r>
        <w:rPr>
          <w:rFonts w:hint="default" w:ascii="Times New Roman" w:hAnsi="Times New Roman" w:cs="Times New Roman"/>
          <w:sz w:val="24"/>
          <w:szCs w:val="24"/>
        </w:rPr>
        <w:t xml:space="preserve"> </w:t>
      </w:r>
      <w:r>
        <w:rPr>
          <w:rFonts w:hint="default" w:ascii="Times New Roman" w:hAnsi="Times New Roman" w:cs="Times New Roman"/>
          <w:sz w:val="24"/>
          <w:szCs w:val="24"/>
          <w:lang w:val="en-US" w:eastAsia="zh-CN"/>
        </w:rPr>
        <w:t xml:space="preserve">Bivariate exposure-response relationship for each metal </w:t>
      </w:r>
      <w:r>
        <w:rPr>
          <w:rFonts w:hint="default" w:ascii="Times New Roman" w:hAnsi="Times New Roman" w:cs="Times New Roman"/>
          <w:sz w:val="24"/>
          <w:szCs w:val="24"/>
        </w:rPr>
        <w:t xml:space="preserve">on </w:t>
      </w:r>
      <w:r>
        <w:rPr>
          <w:rFonts w:hint="default" w:ascii="Times New Roman" w:hAnsi="Times New Roman" w:cs="Times New Roman"/>
          <w:sz w:val="24"/>
          <w:szCs w:val="24"/>
          <w:lang w:val="en-US" w:eastAsia="zh-CN"/>
        </w:rPr>
        <w:t>D</w:t>
      </w:r>
      <w:r>
        <w:rPr>
          <w:rFonts w:hint="default" w:ascii="Times New Roman" w:hAnsi="Times New Roman" w:cs="Times New Roman"/>
          <w:sz w:val="24"/>
          <w:szCs w:val="24"/>
        </w:rPr>
        <w:t xml:space="preserve">RT when the </w:t>
      </w:r>
      <w:r>
        <w:rPr>
          <w:rFonts w:hint="default" w:ascii="Times New Roman" w:hAnsi="Times New Roman" w:cs="Times New Roman"/>
          <w:sz w:val="24"/>
          <w:szCs w:val="24"/>
          <w:lang w:val="en-US" w:eastAsia="zh-CN"/>
        </w:rPr>
        <w:t xml:space="preserve">other </w:t>
      </w:r>
      <w:r>
        <w:rPr>
          <w:rFonts w:hint="default" w:ascii="Times New Roman" w:hAnsi="Times New Roman" w:cs="Times New Roman"/>
          <w:sz w:val="24"/>
          <w:szCs w:val="24"/>
        </w:rPr>
        <w:t>metals</w:t>
      </w:r>
      <w:r>
        <w:rPr>
          <w:rFonts w:hint="default" w:ascii="Times New Roman" w:hAnsi="Times New Roman" w:cs="Times New Roman"/>
          <w:sz w:val="24"/>
          <w:szCs w:val="24"/>
          <w:lang w:val="en-US" w:eastAsia="zh-CN"/>
        </w:rPr>
        <w:t xml:space="preserve"> were fixed at 25th,</w:t>
      </w:r>
      <w:r>
        <w:rPr>
          <w:rFonts w:hint="default" w:ascii="Times New Roman" w:hAnsi="Times New Roman" w:cs="Times New Roman"/>
          <w:sz w:val="24"/>
          <w:szCs w:val="24"/>
        </w:rPr>
        <w:t xml:space="preserve"> 50th</w:t>
      </w:r>
      <w:r>
        <w:rPr>
          <w:rFonts w:hint="default" w:ascii="Times New Roman" w:hAnsi="Times New Roman" w:cs="Times New Roman"/>
          <w:sz w:val="24"/>
          <w:szCs w:val="24"/>
          <w:lang w:val="en-US" w:eastAsia="zh-CN"/>
        </w:rPr>
        <w:t xml:space="preserve">, and 75th </w:t>
      </w:r>
      <w:r>
        <w:rPr>
          <w:rFonts w:hint="default" w:ascii="Times New Roman" w:hAnsi="Times New Roman" w:cs="Times New Roman"/>
          <w:sz w:val="24"/>
          <w:szCs w:val="24"/>
        </w:rPr>
        <w:t>in the anti-inflammatory population by the BKMR model. The model was adjusted for adjusted by sex, age, race, education, income, marital status, physical activity, drinking, smoking, BMI, diabetes, hypertension,</w:t>
      </w:r>
      <w:r>
        <w:rPr>
          <w:rFonts w:hint="default" w:ascii="Times New Roman" w:hAnsi="Times New Roman" w:cs="Times New Roman"/>
          <w:sz w:val="24"/>
          <w:szCs w:val="24"/>
          <w:lang w:val="en-US" w:eastAsia="zh-CN"/>
        </w:rPr>
        <w:t xml:space="preserve"> and</w:t>
      </w:r>
      <w:r>
        <w:rPr>
          <w:rFonts w:hint="default" w:ascii="Times New Roman" w:hAnsi="Times New Roman" w:cs="Times New Roman"/>
          <w:sz w:val="24"/>
          <w:szCs w:val="24"/>
        </w:rPr>
        <w:t xml:space="preserve"> hyperlipidemia.</w:t>
      </w:r>
    </w:p>
    <w:bookmarkEnd w:id="6"/>
    <w:p>
      <w:pPr>
        <w:jc w:val="center"/>
        <w:rPr>
          <w:rFonts w:hint="default" w:ascii="Times New Roman" w:hAnsi="Times New Roman" w:cs="Times New Roman"/>
          <w:sz w:val="24"/>
          <w:szCs w:val="24"/>
          <w:lang w:val="en-US" w:eastAsia="zh-CN"/>
        </w:rPr>
      </w:pPr>
    </w:p>
    <w:p>
      <w:pPr>
        <w:jc w:val="center"/>
        <w:rPr>
          <w:rFonts w:hint="default" w:ascii="Times New Roman" w:hAnsi="Times New Roman" w:cs="Times New Roman"/>
          <w:sz w:val="24"/>
          <w:szCs w:val="24"/>
          <w:lang w:val="en-US" w:eastAsia="zh-CN"/>
        </w:rPr>
      </w:pPr>
    </w:p>
    <w:p>
      <w:pPr>
        <w:jc w:val="center"/>
        <w:rPr>
          <w:rFonts w:hint="default" w:ascii="Times New Roman" w:hAnsi="Times New Roman" w:cs="Times New Roman"/>
          <w:sz w:val="24"/>
          <w:szCs w:val="24"/>
          <w:lang w:val="en-US" w:eastAsia="zh-CN"/>
        </w:rPr>
      </w:pPr>
    </w:p>
    <w:p>
      <w:pPr>
        <w:jc w:val="center"/>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drawing>
          <wp:inline distT="0" distB="0" distL="114300" distR="114300">
            <wp:extent cx="6588125" cy="3952240"/>
            <wp:effectExtent l="0" t="0" r="10795" b="10160"/>
            <wp:docPr id="33" name="图片 33" descr="Figure S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33" descr="Figure S14"/>
                    <pic:cNvPicPr>
                      <a:picLocks noChangeAspect="1"/>
                    </pic:cNvPicPr>
                  </pic:nvPicPr>
                  <pic:blipFill>
                    <a:blip r:embed="rId19"/>
                    <a:stretch>
                      <a:fillRect/>
                    </a:stretch>
                  </pic:blipFill>
                  <pic:spPr>
                    <a:xfrm>
                      <a:off x="0" y="0"/>
                      <a:ext cx="6588125" cy="3952240"/>
                    </a:xfrm>
                    <a:prstGeom prst="rect">
                      <a:avLst/>
                    </a:prstGeom>
                  </pic:spPr>
                </pic:pic>
              </a:graphicData>
            </a:graphic>
          </wp:inline>
        </w:drawing>
      </w:r>
    </w:p>
    <w:p>
      <w:pPr>
        <w:rPr>
          <w:rFonts w:hint="default" w:ascii="Times New Roman" w:hAnsi="Times New Roman" w:cs="Times New Roman"/>
          <w:sz w:val="24"/>
          <w:szCs w:val="24"/>
        </w:rPr>
      </w:pPr>
      <w:r>
        <w:rPr>
          <w:rFonts w:hint="default" w:ascii="Times New Roman" w:hAnsi="Times New Roman" w:cs="Times New Roman"/>
          <w:sz w:val="24"/>
          <w:szCs w:val="24"/>
        </w:rPr>
        <w:t>Fig</w:t>
      </w:r>
      <w:r>
        <w:rPr>
          <w:rFonts w:hint="default" w:ascii="Times New Roman" w:hAnsi="Times New Roman" w:cs="Times New Roman"/>
          <w:sz w:val="24"/>
          <w:szCs w:val="24"/>
          <w:lang w:val="en-US" w:eastAsia="zh-CN"/>
        </w:rPr>
        <w:t xml:space="preserve"> S16</w:t>
      </w:r>
      <w:r>
        <w:rPr>
          <w:rFonts w:hint="default" w:ascii="Times New Roman" w:hAnsi="Times New Roman" w:cs="Times New Roman"/>
          <w:sz w:val="24"/>
          <w:szCs w:val="24"/>
        </w:rPr>
        <w:t xml:space="preserve"> </w:t>
      </w:r>
      <w:r>
        <w:rPr>
          <w:rFonts w:hint="default" w:ascii="Times New Roman" w:hAnsi="Times New Roman" w:cs="Times New Roman"/>
          <w:sz w:val="24"/>
          <w:szCs w:val="24"/>
          <w:lang w:val="en-US" w:eastAsia="zh-CN"/>
        </w:rPr>
        <w:t xml:space="preserve">Bivariate exposure-response relationship for each metal </w:t>
      </w:r>
      <w:r>
        <w:rPr>
          <w:rFonts w:hint="default" w:ascii="Times New Roman" w:hAnsi="Times New Roman" w:cs="Times New Roman"/>
          <w:sz w:val="24"/>
          <w:szCs w:val="24"/>
        </w:rPr>
        <w:t xml:space="preserve">on </w:t>
      </w:r>
      <w:r>
        <w:rPr>
          <w:rFonts w:hint="default" w:ascii="Times New Roman" w:hAnsi="Times New Roman" w:cs="Times New Roman"/>
          <w:sz w:val="24"/>
          <w:szCs w:val="24"/>
          <w:lang w:val="en-US" w:eastAsia="zh-CN"/>
        </w:rPr>
        <w:t>AFT</w:t>
      </w:r>
      <w:r>
        <w:rPr>
          <w:rFonts w:hint="default" w:ascii="Times New Roman" w:hAnsi="Times New Roman" w:cs="Times New Roman"/>
          <w:sz w:val="24"/>
          <w:szCs w:val="24"/>
        </w:rPr>
        <w:t xml:space="preserve"> when the </w:t>
      </w:r>
      <w:r>
        <w:rPr>
          <w:rFonts w:hint="default" w:ascii="Times New Roman" w:hAnsi="Times New Roman" w:cs="Times New Roman"/>
          <w:sz w:val="24"/>
          <w:szCs w:val="24"/>
          <w:lang w:val="en-US" w:eastAsia="zh-CN"/>
        </w:rPr>
        <w:t xml:space="preserve">other </w:t>
      </w:r>
      <w:r>
        <w:rPr>
          <w:rFonts w:hint="default" w:ascii="Times New Roman" w:hAnsi="Times New Roman" w:cs="Times New Roman"/>
          <w:sz w:val="24"/>
          <w:szCs w:val="24"/>
        </w:rPr>
        <w:t>metals</w:t>
      </w:r>
      <w:r>
        <w:rPr>
          <w:rFonts w:hint="default" w:ascii="Times New Roman" w:hAnsi="Times New Roman" w:cs="Times New Roman"/>
          <w:sz w:val="24"/>
          <w:szCs w:val="24"/>
          <w:lang w:val="en-US" w:eastAsia="zh-CN"/>
        </w:rPr>
        <w:t xml:space="preserve"> were fixed at 25th,</w:t>
      </w:r>
      <w:r>
        <w:rPr>
          <w:rFonts w:hint="default" w:ascii="Times New Roman" w:hAnsi="Times New Roman" w:cs="Times New Roman"/>
          <w:sz w:val="24"/>
          <w:szCs w:val="24"/>
        </w:rPr>
        <w:t xml:space="preserve"> 50th</w:t>
      </w:r>
      <w:r>
        <w:rPr>
          <w:rFonts w:hint="default" w:ascii="Times New Roman" w:hAnsi="Times New Roman" w:cs="Times New Roman"/>
          <w:sz w:val="24"/>
          <w:szCs w:val="24"/>
          <w:lang w:val="en-US" w:eastAsia="zh-CN"/>
        </w:rPr>
        <w:t xml:space="preserve">, and 75th </w:t>
      </w:r>
      <w:r>
        <w:rPr>
          <w:rFonts w:hint="default" w:ascii="Times New Roman" w:hAnsi="Times New Roman" w:cs="Times New Roman"/>
          <w:sz w:val="24"/>
          <w:szCs w:val="24"/>
        </w:rPr>
        <w:t>in the anti-inflammatory population by the BKMR model. The model was adjusted for adjusted by sex, age, race, education, income, marital status, physical activity, drinking, smoking, BMI, diabetes, hypertension,</w:t>
      </w:r>
      <w:r>
        <w:rPr>
          <w:rFonts w:hint="default" w:ascii="Times New Roman" w:hAnsi="Times New Roman" w:cs="Times New Roman"/>
          <w:sz w:val="24"/>
          <w:szCs w:val="24"/>
          <w:lang w:val="en-US" w:eastAsia="zh-CN"/>
        </w:rPr>
        <w:t xml:space="preserve"> and</w:t>
      </w:r>
      <w:r>
        <w:rPr>
          <w:rFonts w:hint="default" w:ascii="Times New Roman" w:hAnsi="Times New Roman" w:cs="Times New Roman"/>
          <w:sz w:val="24"/>
          <w:szCs w:val="24"/>
        </w:rPr>
        <w:t xml:space="preserve"> hyperlipidemia.</w:t>
      </w:r>
    </w:p>
    <w:p>
      <w:pPr>
        <w:jc w:val="center"/>
        <w:rPr>
          <w:rFonts w:hint="default" w:ascii="Times New Roman" w:hAnsi="Times New Roman" w:cs="Times New Roman"/>
          <w:sz w:val="24"/>
          <w:szCs w:val="24"/>
          <w:lang w:val="en-US" w:eastAsia="zh-CN"/>
        </w:rPr>
      </w:pPr>
    </w:p>
    <w:p>
      <w:pPr>
        <w:jc w:val="center"/>
        <w:rPr>
          <w:rFonts w:hint="default" w:ascii="Times New Roman" w:hAnsi="Times New Roman" w:cs="Times New Roman"/>
          <w:sz w:val="24"/>
          <w:szCs w:val="24"/>
          <w:lang w:val="en-US" w:eastAsia="zh-CN"/>
        </w:rPr>
      </w:pPr>
    </w:p>
    <w:p>
      <w:pPr>
        <w:jc w:val="center"/>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drawing>
          <wp:inline distT="0" distB="0" distL="114300" distR="114300">
            <wp:extent cx="6840220" cy="4103370"/>
            <wp:effectExtent l="0" t="0" r="2540" b="11430"/>
            <wp:docPr id="34" name="图片 34" descr="Figure S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Figure S15"/>
                    <pic:cNvPicPr>
                      <a:picLocks noChangeAspect="1"/>
                    </pic:cNvPicPr>
                  </pic:nvPicPr>
                  <pic:blipFill>
                    <a:blip r:embed="rId20"/>
                    <a:stretch>
                      <a:fillRect/>
                    </a:stretch>
                  </pic:blipFill>
                  <pic:spPr>
                    <a:xfrm>
                      <a:off x="0" y="0"/>
                      <a:ext cx="6840220" cy="4103370"/>
                    </a:xfrm>
                    <a:prstGeom prst="rect">
                      <a:avLst/>
                    </a:prstGeom>
                  </pic:spPr>
                </pic:pic>
              </a:graphicData>
            </a:graphic>
          </wp:inline>
        </w:drawing>
      </w:r>
    </w:p>
    <w:p>
      <w:pPr>
        <w:rPr>
          <w:rFonts w:hint="default" w:ascii="Times New Roman" w:hAnsi="Times New Roman" w:cs="Times New Roman"/>
          <w:sz w:val="24"/>
          <w:szCs w:val="24"/>
        </w:rPr>
      </w:pPr>
      <w:r>
        <w:rPr>
          <w:rFonts w:hint="default" w:ascii="Times New Roman" w:hAnsi="Times New Roman" w:cs="Times New Roman"/>
          <w:sz w:val="24"/>
          <w:szCs w:val="24"/>
        </w:rPr>
        <w:t>Fig</w:t>
      </w:r>
      <w:r>
        <w:rPr>
          <w:rFonts w:hint="default" w:ascii="Times New Roman" w:hAnsi="Times New Roman" w:cs="Times New Roman"/>
          <w:sz w:val="24"/>
          <w:szCs w:val="24"/>
          <w:lang w:val="en-US" w:eastAsia="zh-CN"/>
        </w:rPr>
        <w:t xml:space="preserve"> S17</w:t>
      </w:r>
      <w:r>
        <w:rPr>
          <w:rFonts w:hint="default" w:ascii="Times New Roman" w:hAnsi="Times New Roman" w:cs="Times New Roman"/>
          <w:sz w:val="24"/>
          <w:szCs w:val="24"/>
        </w:rPr>
        <w:t xml:space="preserve"> </w:t>
      </w:r>
      <w:r>
        <w:rPr>
          <w:rFonts w:hint="default" w:ascii="Times New Roman" w:hAnsi="Times New Roman" w:cs="Times New Roman"/>
          <w:sz w:val="24"/>
          <w:szCs w:val="24"/>
          <w:lang w:val="en-US" w:eastAsia="zh-CN"/>
        </w:rPr>
        <w:t xml:space="preserve">Bivariate exposure-response relationship for each metal </w:t>
      </w:r>
      <w:r>
        <w:rPr>
          <w:rFonts w:hint="default" w:ascii="Times New Roman" w:hAnsi="Times New Roman" w:cs="Times New Roman"/>
          <w:sz w:val="24"/>
          <w:szCs w:val="24"/>
        </w:rPr>
        <w:t xml:space="preserve">on </w:t>
      </w:r>
      <w:r>
        <w:rPr>
          <w:rFonts w:hint="default" w:ascii="Times New Roman" w:hAnsi="Times New Roman" w:cs="Times New Roman"/>
          <w:sz w:val="24"/>
          <w:szCs w:val="24"/>
          <w:lang w:val="en-US" w:eastAsia="zh-CN"/>
        </w:rPr>
        <w:t>DSST</w:t>
      </w:r>
      <w:r>
        <w:rPr>
          <w:rFonts w:hint="default" w:ascii="Times New Roman" w:hAnsi="Times New Roman" w:cs="Times New Roman"/>
          <w:sz w:val="24"/>
          <w:szCs w:val="24"/>
        </w:rPr>
        <w:t xml:space="preserve"> when the </w:t>
      </w:r>
      <w:r>
        <w:rPr>
          <w:rFonts w:hint="default" w:ascii="Times New Roman" w:hAnsi="Times New Roman" w:cs="Times New Roman"/>
          <w:sz w:val="24"/>
          <w:szCs w:val="24"/>
          <w:lang w:val="en-US" w:eastAsia="zh-CN"/>
        </w:rPr>
        <w:t xml:space="preserve">other </w:t>
      </w:r>
      <w:r>
        <w:rPr>
          <w:rFonts w:hint="default" w:ascii="Times New Roman" w:hAnsi="Times New Roman" w:cs="Times New Roman"/>
          <w:sz w:val="24"/>
          <w:szCs w:val="24"/>
        </w:rPr>
        <w:t>metals</w:t>
      </w:r>
      <w:r>
        <w:rPr>
          <w:rFonts w:hint="default" w:ascii="Times New Roman" w:hAnsi="Times New Roman" w:cs="Times New Roman"/>
          <w:sz w:val="24"/>
          <w:szCs w:val="24"/>
          <w:lang w:val="en-US" w:eastAsia="zh-CN"/>
        </w:rPr>
        <w:t xml:space="preserve"> were fixed at 25th,</w:t>
      </w:r>
      <w:r>
        <w:rPr>
          <w:rFonts w:hint="default" w:ascii="Times New Roman" w:hAnsi="Times New Roman" w:cs="Times New Roman"/>
          <w:sz w:val="24"/>
          <w:szCs w:val="24"/>
        </w:rPr>
        <w:t xml:space="preserve"> 50th</w:t>
      </w:r>
      <w:r>
        <w:rPr>
          <w:rFonts w:hint="default" w:ascii="Times New Roman" w:hAnsi="Times New Roman" w:cs="Times New Roman"/>
          <w:sz w:val="24"/>
          <w:szCs w:val="24"/>
          <w:lang w:val="en-US" w:eastAsia="zh-CN"/>
        </w:rPr>
        <w:t xml:space="preserve">, and 75th </w:t>
      </w:r>
      <w:r>
        <w:rPr>
          <w:rFonts w:hint="default" w:ascii="Times New Roman" w:hAnsi="Times New Roman" w:cs="Times New Roman"/>
          <w:sz w:val="24"/>
          <w:szCs w:val="24"/>
        </w:rPr>
        <w:t>in the anti-inflammatory population by the BKMR model. The model was adjusted for adjusted by sex, age, race, education, income, marital status, physical activity, drinking, smoking, BMI, diabetes, hypertension,</w:t>
      </w:r>
      <w:r>
        <w:rPr>
          <w:rFonts w:hint="default" w:ascii="Times New Roman" w:hAnsi="Times New Roman" w:cs="Times New Roman"/>
          <w:sz w:val="24"/>
          <w:szCs w:val="24"/>
          <w:lang w:val="en-US" w:eastAsia="zh-CN"/>
        </w:rPr>
        <w:t xml:space="preserve"> and</w:t>
      </w:r>
      <w:r>
        <w:rPr>
          <w:rFonts w:hint="default" w:ascii="Times New Roman" w:hAnsi="Times New Roman" w:cs="Times New Roman"/>
          <w:sz w:val="24"/>
          <w:szCs w:val="24"/>
        </w:rPr>
        <w:t xml:space="preserve"> hyperlipidemia.</w:t>
      </w:r>
    </w:p>
    <w:p>
      <w:pPr>
        <w:jc w:val="center"/>
        <w:rPr>
          <w:rFonts w:hint="default" w:ascii="Times New Roman" w:hAnsi="Times New Roman" w:cs="Times New Roman"/>
          <w:sz w:val="24"/>
          <w:szCs w:val="24"/>
          <w:lang w:val="en-US" w:eastAsia="zh-CN"/>
        </w:rPr>
      </w:pPr>
    </w:p>
    <w:p>
      <w:pPr>
        <w:jc w:val="center"/>
        <w:rPr>
          <w:rFonts w:hint="default" w:ascii="Times New Roman" w:hAnsi="Times New Roman" w:cs="Times New Roman"/>
          <w:sz w:val="24"/>
          <w:szCs w:val="24"/>
          <w:lang w:val="en-US" w:eastAsia="zh-CN"/>
        </w:rPr>
      </w:pPr>
    </w:p>
    <w:p>
      <w:pPr>
        <w:jc w:val="center"/>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drawing>
          <wp:inline distT="0" distB="0" distL="114300" distR="114300">
            <wp:extent cx="6875780" cy="4124960"/>
            <wp:effectExtent l="0" t="0" r="12700" b="5080"/>
            <wp:docPr id="35" name="图片 35" descr="Figure S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Figure S16"/>
                    <pic:cNvPicPr>
                      <a:picLocks noChangeAspect="1"/>
                    </pic:cNvPicPr>
                  </pic:nvPicPr>
                  <pic:blipFill>
                    <a:blip r:embed="rId21"/>
                    <a:stretch>
                      <a:fillRect/>
                    </a:stretch>
                  </pic:blipFill>
                  <pic:spPr>
                    <a:xfrm>
                      <a:off x="0" y="0"/>
                      <a:ext cx="6875780" cy="4124960"/>
                    </a:xfrm>
                    <a:prstGeom prst="rect">
                      <a:avLst/>
                    </a:prstGeom>
                  </pic:spPr>
                </pic:pic>
              </a:graphicData>
            </a:graphic>
          </wp:inline>
        </w:drawing>
      </w:r>
    </w:p>
    <w:p>
      <w:pPr>
        <w:rPr>
          <w:rFonts w:hint="default" w:ascii="Times New Roman" w:hAnsi="Times New Roman" w:cs="Times New Roman"/>
          <w:sz w:val="24"/>
          <w:szCs w:val="24"/>
        </w:rPr>
      </w:pPr>
      <w:r>
        <w:rPr>
          <w:rFonts w:hint="default" w:ascii="Times New Roman" w:hAnsi="Times New Roman" w:cs="Times New Roman"/>
          <w:sz w:val="24"/>
          <w:szCs w:val="24"/>
        </w:rPr>
        <w:t>Fig</w:t>
      </w:r>
      <w:r>
        <w:rPr>
          <w:rFonts w:hint="default" w:ascii="Times New Roman" w:hAnsi="Times New Roman" w:cs="Times New Roman"/>
          <w:sz w:val="24"/>
          <w:szCs w:val="24"/>
          <w:lang w:val="en-US" w:eastAsia="zh-CN"/>
        </w:rPr>
        <w:t xml:space="preserve"> S18</w:t>
      </w:r>
      <w:r>
        <w:rPr>
          <w:rFonts w:hint="default" w:ascii="Times New Roman" w:hAnsi="Times New Roman" w:cs="Times New Roman"/>
          <w:sz w:val="24"/>
          <w:szCs w:val="24"/>
        </w:rPr>
        <w:t xml:space="preserve"> </w:t>
      </w:r>
      <w:r>
        <w:rPr>
          <w:rFonts w:hint="default" w:ascii="Times New Roman" w:hAnsi="Times New Roman" w:cs="Times New Roman"/>
          <w:sz w:val="24"/>
          <w:szCs w:val="24"/>
          <w:lang w:val="en-US" w:eastAsia="zh-CN"/>
        </w:rPr>
        <w:t xml:space="preserve">Bivariate exposure-response relationship for each metal </w:t>
      </w:r>
      <w:r>
        <w:rPr>
          <w:rFonts w:hint="default" w:ascii="Times New Roman" w:hAnsi="Times New Roman" w:cs="Times New Roman"/>
          <w:sz w:val="24"/>
          <w:szCs w:val="24"/>
        </w:rPr>
        <w:t xml:space="preserve">on </w:t>
      </w:r>
      <w:r>
        <w:rPr>
          <w:rFonts w:hint="default" w:ascii="Times New Roman" w:hAnsi="Times New Roman" w:cs="Times New Roman"/>
          <w:sz w:val="24"/>
          <w:szCs w:val="24"/>
          <w:lang w:val="en-US" w:eastAsia="zh-CN"/>
        </w:rPr>
        <w:t>IRT</w:t>
      </w:r>
      <w:r>
        <w:rPr>
          <w:rFonts w:hint="default" w:ascii="Times New Roman" w:hAnsi="Times New Roman" w:cs="Times New Roman"/>
          <w:sz w:val="24"/>
          <w:szCs w:val="24"/>
        </w:rPr>
        <w:t xml:space="preserve"> when the </w:t>
      </w:r>
      <w:r>
        <w:rPr>
          <w:rFonts w:hint="default" w:ascii="Times New Roman" w:hAnsi="Times New Roman" w:cs="Times New Roman"/>
          <w:sz w:val="24"/>
          <w:szCs w:val="24"/>
          <w:lang w:val="en-US" w:eastAsia="zh-CN"/>
        </w:rPr>
        <w:t xml:space="preserve">other </w:t>
      </w:r>
      <w:r>
        <w:rPr>
          <w:rFonts w:hint="default" w:ascii="Times New Roman" w:hAnsi="Times New Roman" w:cs="Times New Roman"/>
          <w:sz w:val="24"/>
          <w:szCs w:val="24"/>
        </w:rPr>
        <w:t>metals</w:t>
      </w:r>
      <w:r>
        <w:rPr>
          <w:rFonts w:hint="default" w:ascii="Times New Roman" w:hAnsi="Times New Roman" w:cs="Times New Roman"/>
          <w:sz w:val="24"/>
          <w:szCs w:val="24"/>
          <w:lang w:val="en-US" w:eastAsia="zh-CN"/>
        </w:rPr>
        <w:t xml:space="preserve"> were fixed at 25th,</w:t>
      </w:r>
      <w:r>
        <w:rPr>
          <w:rFonts w:hint="default" w:ascii="Times New Roman" w:hAnsi="Times New Roman" w:cs="Times New Roman"/>
          <w:sz w:val="24"/>
          <w:szCs w:val="24"/>
        </w:rPr>
        <w:t xml:space="preserve"> 50th</w:t>
      </w:r>
      <w:r>
        <w:rPr>
          <w:rFonts w:hint="default" w:ascii="Times New Roman" w:hAnsi="Times New Roman" w:cs="Times New Roman"/>
          <w:sz w:val="24"/>
          <w:szCs w:val="24"/>
          <w:lang w:val="en-US" w:eastAsia="zh-CN"/>
        </w:rPr>
        <w:t xml:space="preserve">, and 75th </w:t>
      </w:r>
      <w:r>
        <w:rPr>
          <w:rFonts w:hint="default" w:ascii="Times New Roman" w:hAnsi="Times New Roman" w:cs="Times New Roman"/>
          <w:sz w:val="24"/>
          <w:szCs w:val="24"/>
        </w:rPr>
        <w:t xml:space="preserve">in the </w:t>
      </w:r>
      <w:r>
        <w:rPr>
          <w:rFonts w:hint="default" w:ascii="Times New Roman" w:hAnsi="Times New Roman" w:cs="Times New Roman"/>
          <w:sz w:val="24"/>
          <w:szCs w:val="24"/>
          <w:lang w:val="en-US" w:eastAsia="zh-CN"/>
        </w:rPr>
        <w:t>pro</w:t>
      </w:r>
      <w:r>
        <w:rPr>
          <w:rFonts w:hint="default" w:ascii="Times New Roman" w:hAnsi="Times New Roman" w:cs="Times New Roman"/>
          <w:sz w:val="24"/>
          <w:szCs w:val="24"/>
        </w:rPr>
        <w:t>-inflammatory population by the BKMR model. The model was adjusted for adjusted by sex, age, race, education, income, marital status, physical activity, drinking, smoking, BMI, diabetes, hypertension,</w:t>
      </w:r>
      <w:r>
        <w:rPr>
          <w:rFonts w:hint="default" w:ascii="Times New Roman" w:hAnsi="Times New Roman" w:cs="Times New Roman"/>
          <w:sz w:val="24"/>
          <w:szCs w:val="24"/>
          <w:lang w:val="en-US" w:eastAsia="zh-CN"/>
        </w:rPr>
        <w:t xml:space="preserve"> and</w:t>
      </w:r>
      <w:r>
        <w:rPr>
          <w:rFonts w:hint="default" w:ascii="Times New Roman" w:hAnsi="Times New Roman" w:cs="Times New Roman"/>
          <w:sz w:val="24"/>
          <w:szCs w:val="24"/>
        </w:rPr>
        <w:t xml:space="preserve"> hyperlipidemia.</w:t>
      </w:r>
    </w:p>
    <w:p>
      <w:pPr>
        <w:jc w:val="center"/>
        <w:rPr>
          <w:rFonts w:hint="default" w:ascii="Times New Roman" w:hAnsi="Times New Roman" w:cs="Times New Roman"/>
          <w:sz w:val="24"/>
          <w:szCs w:val="24"/>
          <w:lang w:val="en-US" w:eastAsia="zh-CN"/>
        </w:rPr>
      </w:pPr>
    </w:p>
    <w:p>
      <w:pPr>
        <w:jc w:val="center"/>
        <w:rPr>
          <w:rFonts w:hint="default" w:ascii="Times New Roman" w:hAnsi="Times New Roman" w:cs="Times New Roman"/>
          <w:sz w:val="24"/>
          <w:szCs w:val="24"/>
          <w:lang w:val="en-US" w:eastAsia="zh-CN"/>
        </w:rPr>
      </w:pPr>
    </w:p>
    <w:p>
      <w:pPr>
        <w:jc w:val="center"/>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drawing>
          <wp:inline distT="0" distB="0" distL="114300" distR="114300">
            <wp:extent cx="6875780" cy="4124960"/>
            <wp:effectExtent l="0" t="0" r="12700" b="5080"/>
            <wp:docPr id="36" name="图片 36" descr="Figure S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Figure S17"/>
                    <pic:cNvPicPr>
                      <a:picLocks noChangeAspect="1"/>
                    </pic:cNvPicPr>
                  </pic:nvPicPr>
                  <pic:blipFill>
                    <a:blip r:embed="rId22"/>
                    <a:stretch>
                      <a:fillRect/>
                    </a:stretch>
                  </pic:blipFill>
                  <pic:spPr>
                    <a:xfrm>
                      <a:off x="0" y="0"/>
                      <a:ext cx="6875780" cy="4124960"/>
                    </a:xfrm>
                    <a:prstGeom prst="rect">
                      <a:avLst/>
                    </a:prstGeom>
                  </pic:spPr>
                </pic:pic>
              </a:graphicData>
            </a:graphic>
          </wp:inline>
        </w:drawing>
      </w:r>
    </w:p>
    <w:p>
      <w:pPr>
        <w:rPr>
          <w:rFonts w:hint="default" w:ascii="Times New Roman" w:hAnsi="Times New Roman" w:cs="Times New Roman"/>
          <w:sz w:val="24"/>
          <w:szCs w:val="24"/>
        </w:rPr>
      </w:pPr>
      <w:r>
        <w:rPr>
          <w:rFonts w:hint="default" w:ascii="Times New Roman" w:hAnsi="Times New Roman" w:cs="Times New Roman"/>
          <w:sz w:val="24"/>
          <w:szCs w:val="24"/>
        </w:rPr>
        <w:t>Fig</w:t>
      </w:r>
      <w:r>
        <w:rPr>
          <w:rFonts w:hint="default" w:ascii="Times New Roman" w:hAnsi="Times New Roman" w:cs="Times New Roman"/>
          <w:sz w:val="24"/>
          <w:szCs w:val="24"/>
          <w:lang w:val="en-US" w:eastAsia="zh-CN"/>
        </w:rPr>
        <w:t xml:space="preserve"> S19</w:t>
      </w:r>
      <w:r>
        <w:rPr>
          <w:rFonts w:hint="default" w:ascii="Times New Roman" w:hAnsi="Times New Roman" w:cs="Times New Roman"/>
          <w:sz w:val="24"/>
          <w:szCs w:val="24"/>
        </w:rPr>
        <w:t xml:space="preserve"> </w:t>
      </w:r>
      <w:r>
        <w:rPr>
          <w:rFonts w:hint="default" w:ascii="Times New Roman" w:hAnsi="Times New Roman" w:cs="Times New Roman"/>
          <w:sz w:val="24"/>
          <w:szCs w:val="24"/>
          <w:lang w:val="en-US" w:eastAsia="zh-CN"/>
        </w:rPr>
        <w:t xml:space="preserve">Bivariate exposure-response relationship for each metal </w:t>
      </w:r>
      <w:r>
        <w:rPr>
          <w:rFonts w:hint="default" w:ascii="Times New Roman" w:hAnsi="Times New Roman" w:cs="Times New Roman"/>
          <w:sz w:val="24"/>
          <w:szCs w:val="24"/>
        </w:rPr>
        <w:t xml:space="preserve">on </w:t>
      </w:r>
      <w:r>
        <w:rPr>
          <w:rFonts w:hint="default" w:ascii="Times New Roman" w:hAnsi="Times New Roman" w:cs="Times New Roman"/>
          <w:sz w:val="24"/>
          <w:szCs w:val="24"/>
          <w:lang w:val="en-US" w:eastAsia="zh-CN"/>
        </w:rPr>
        <w:t>DRT</w:t>
      </w:r>
      <w:r>
        <w:rPr>
          <w:rFonts w:hint="default" w:ascii="Times New Roman" w:hAnsi="Times New Roman" w:cs="Times New Roman"/>
          <w:sz w:val="24"/>
          <w:szCs w:val="24"/>
        </w:rPr>
        <w:t xml:space="preserve"> when the </w:t>
      </w:r>
      <w:r>
        <w:rPr>
          <w:rFonts w:hint="default" w:ascii="Times New Roman" w:hAnsi="Times New Roman" w:cs="Times New Roman"/>
          <w:sz w:val="24"/>
          <w:szCs w:val="24"/>
          <w:lang w:val="en-US" w:eastAsia="zh-CN"/>
        </w:rPr>
        <w:t xml:space="preserve">other </w:t>
      </w:r>
      <w:r>
        <w:rPr>
          <w:rFonts w:hint="default" w:ascii="Times New Roman" w:hAnsi="Times New Roman" w:cs="Times New Roman"/>
          <w:sz w:val="24"/>
          <w:szCs w:val="24"/>
        </w:rPr>
        <w:t>metals</w:t>
      </w:r>
      <w:r>
        <w:rPr>
          <w:rFonts w:hint="default" w:ascii="Times New Roman" w:hAnsi="Times New Roman" w:cs="Times New Roman"/>
          <w:sz w:val="24"/>
          <w:szCs w:val="24"/>
          <w:lang w:val="en-US" w:eastAsia="zh-CN"/>
        </w:rPr>
        <w:t xml:space="preserve"> were fixed at 25th,</w:t>
      </w:r>
      <w:r>
        <w:rPr>
          <w:rFonts w:hint="default" w:ascii="Times New Roman" w:hAnsi="Times New Roman" w:cs="Times New Roman"/>
          <w:sz w:val="24"/>
          <w:szCs w:val="24"/>
        </w:rPr>
        <w:t xml:space="preserve"> 50th</w:t>
      </w:r>
      <w:r>
        <w:rPr>
          <w:rFonts w:hint="default" w:ascii="Times New Roman" w:hAnsi="Times New Roman" w:cs="Times New Roman"/>
          <w:sz w:val="24"/>
          <w:szCs w:val="24"/>
          <w:lang w:val="en-US" w:eastAsia="zh-CN"/>
        </w:rPr>
        <w:t xml:space="preserve">, and 75th </w:t>
      </w:r>
      <w:r>
        <w:rPr>
          <w:rFonts w:hint="default" w:ascii="Times New Roman" w:hAnsi="Times New Roman" w:cs="Times New Roman"/>
          <w:sz w:val="24"/>
          <w:szCs w:val="24"/>
        </w:rPr>
        <w:t xml:space="preserve">in the </w:t>
      </w:r>
      <w:r>
        <w:rPr>
          <w:rFonts w:hint="default" w:ascii="Times New Roman" w:hAnsi="Times New Roman" w:cs="Times New Roman"/>
          <w:sz w:val="24"/>
          <w:szCs w:val="24"/>
          <w:lang w:val="en-US" w:eastAsia="zh-CN"/>
        </w:rPr>
        <w:t>pro</w:t>
      </w:r>
      <w:r>
        <w:rPr>
          <w:rFonts w:hint="default" w:ascii="Times New Roman" w:hAnsi="Times New Roman" w:cs="Times New Roman"/>
          <w:sz w:val="24"/>
          <w:szCs w:val="24"/>
        </w:rPr>
        <w:t>-inflammatory population by the BKMR model. The model was adjusted for adjusted by sex, age, race, education, income, marital status, physical activity, drinking, smoking, BMI, diabetes, hypertension,</w:t>
      </w:r>
      <w:r>
        <w:rPr>
          <w:rFonts w:hint="default" w:ascii="Times New Roman" w:hAnsi="Times New Roman" w:cs="Times New Roman"/>
          <w:sz w:val="24"/>
          <w:szCs w:val="24"/>
          <w:lang w:val="en-US" w:eastAsia="zh-CN"/>
        </w:rPr>
        <w:t xml:space="preserve"> and</w:t>
      </w:r>
      <w:r>
        <w:rPr>
          <w:rFonts w:hint="default" w:ascii="Times New Roman" w:hAnsi="Times New Roman" w:cs="Times New Roman"/>
          <w:sz w:val="24"/>
          <w:szCs w:val="24"/>
        </w:rPr>
        <w:t xml:space="preserve"> hyperlipidemia.</w:t>
      </w:r>
    </w:p>
    <w:p>
      <w:pPr>
        <w:jc w:val="center"/>
        <w:rPr>
          <w:rFonts w:hint="default" w:ascii="Times New Roman" w:hAnsi="Times New Roman" w:cs="Times New Roman"/>
          <w:sz w:val="24"/>
          <w:szCs w:val="24"/>
          <w:lang w:val="en-US" w:eastAsia="zh-CN"/>
        </w:rPr>
      </w:pPr>
    </w:p>
    <w:p>
      <w:pPr>
        <w:jc w:val="center"/>
        <w:rPr>
          <w:rFonts w:hint="default" w:ascii="Times New Roman" w:hAnsi="Times New Roman" w:cs="Times New Roman"/>
          <w:sz w:val="24"/>
          <w:szCs w:val="24"/>
          <w:lang w:val="en-US" w:eastAsia="zh-CN"/>
        </w:rPr>
      </w:pPr>
    </w:p>
    <w:p>
      <w:pPr>
        <w:jc w:val="center"/>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drawing>
          <wp:inline distT="0" distB="0" distL="114300" distR="114300">
            <wp:extent cx="6875780" cy="4124960"/>
            <wp:effectExtent l="0" t="0" r="12700" b="5080"/>
            <wp:docPr id="37" name="图片 37" descr="Figure S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Figure S18"/>
                    <pic:cNvPicPr>
                      <a:picLocks noChangeAspect="1"/>
                    </pic:cNvPicPr>
                  </pic:nvPicPr>
                  <pic:blipFill>
                    <a:blip r:embed="rId23"/>
                    <a:stretch>
                      <a:fillRect/>
                    </a:stretch>
                  </pic:blipFill>
                  <pic:spPr>
                    <a:xfrm>
                      <a:off x="0" y="0"/>
                      <a:ext cx="6875780" cy="4124960"/>
                    </a:xfrm>
                    <a:prstGeom prst="rect">
                      <a:avLst/>
                    </a:prstGeom>
                  </pic:spPr>
                </pic:pic>
              </a:graphicData>
            </a:graphic>
          </wp:inline>
        </w:drawing>
      </w:r>
    </w:p>
    <w:p>
      <w:pPr>
        <w:rPr>
          <w:rFonts w:hint="default" w:ascii="Times New Roman" w:hAnsi="Times New Roman" w:cs="Times New Roman"/>
          <w:sz w:val="24"/>
          <w:szCs w:val="24"/>
        </w:rPr>
      </w:pPr>
      <w:r>
        <w:rPr>
          <w:rFonts w:hint="default" w:ascii="Times New Roman" w:hAnsi="Times New Roman" w:cs="Times New Roman"/>
          <w:sz w:val="24"/>
          <w:szCs w:val="24"/>
        </w:rPr>
        <w:t>Fig</w:t>
      </w:r>
      <w:r>
        <w:rPr>
          <w:rFonts w:hint="default" w:ascii="Times New Roman" w:hAnsi="Times New Roman" w:cs="Times New Roman"/>
          <w:sz w:val="24"/>
          <w:szCs w:val="24"/>
          <w:lang w:val="en-US" w:eastAsia="zh-CN"/>
        </w:rPr>
        <w:t xml:space="preserve"> S20</w:t>
      </w:r>
      <w:r>
        <w:rPr>
          <w:rFonts w:hint="default" w:ascii="Times New Roman" w:hAnsi="Times New Roman" w:cs="Times New Roman"/>
          <w:sz w:val="24"/>
          <w:szCs w:val="24"/>
        </w:rPr>
        <w:t xml:space="preserve"> </w:t>
      </w:r>
      <w:r>
        <w:rPr>
          <w:rFonts w:hint="default" w:ascii="Times New Roman" w:hAnsi="Times New Roman" w:cs="Times New Roman"/>
          <w:sz w:val="24"/>
          <w:szCs w:val="24"/>
          <w:lang w:val="en-US" w:eastAsia="zh-CN"/>
        </w:rPr>
        <w:t xml:space="preserve">Bivariate exposure-response relationship for each metal </w:t>
      </w:r>
      <w:r>
        <w:rPr>
          <w:rFonts w:hint="default" w:ascii="Times New Roman" w:hAnsi="Times New Roman" w:cs="Times New Roman"/>
          <w:sz w:val="24"/>
          <w:szCs w:val="24"/>
        </w:rPr>
        <w:t xml:space="preserve">on </w:t>
      </w:r>
      <w:r>
        <w:rPr>
          <w:rFonts w:hint="default" w:ascii="Times New Roman" w:hAnsi="Times New Roman" w:cs="Times New Roman"/>
          <w:sz w:val="24"/>
          <w:szCs w:val="24"/>
          <w:lang w:val="en-US" w:eastAsia="zh-CN"/>
        </w:rPr>
        <w:t>AFT</w:t>
      </w:r>
      <w:r>
        <w:rPr>
          <w:rFonts w:hint="default" w:ascii="Times New Roman" w:hAnsi="Times New Roman" w:cs="Times New Roman"/>
          <w:sz w:val="24"/>
          <w:szCs w:val="24"/>
        </w:rPr>
        <w:t xml:space="preserve"> when the </w:t>
      </w:r>
      <w:r>
        <w:rPr>
          <w:rFonts w:hint="default" w:ascii="Times New Roman" w:hAnsi="Times New Roman" w:cs="Times New Roman"/>
          <w:sz w:val="24"/>
          <w:szCs w:val="24"/>
          <w:lang w:val="en-US" w:eastAsia="zh-CN"/>
        </w:rPr>
        <w:t xml:space="preserve">other </w:t>
      </w:r>
      <w:r>
        <w:rPr>
          <w:rFonts w:hint="default" w:ascii="Times New Roman" w:hAnsi="Times New Roman" w:cs="Times New Roman"/>
          <w:sz w:val="24"/>
          <w:szCs w:val="24"/>
        </w:rPr>
        <w:t>metals</w:t>
      </w:r>
      <w:r>
        <w:rPr>
          <w:rFonts w:hint="default" w:ascii="Times New Roman" w:hAnsi="Times New Roman" w:cs="Times New Roman"/>
          <w:sz w:val="24"/>
          <w:szCs w:val="24"/>
          <w:lang w:val="en-US" w:eastAsia="zh-CN"/>
        </w:rPr>
        <w:t xml:space="preserve"> were fixed at 25th,</w:t>
      </w:r>
      <w:r>
        <w:rPr>
          <w:rFonts w:hint="default" w:ascii="Times New Roman" w:hAnsi="Times New Roman" w:cs="Times New Roman"/>
          <w:sz w:val="24"/>
          <w:szCs w:val="24"/>
        </w:rPr>
        <w:t xml:space="preserve"> 50th</w:t>
      </w:r>
      <w:r>
        <w:rPr>
          <w:rFonts w:hint="default" w:ascii="Times New Roman" w:hAnsi="Times New Roman" w:cs="Times New Roman"/>
          <w:sz w:val="24"/>
          <w:szCs w:val="24"/>
          <w:lang w:val="en-US" w:eastAsia="zh-CN"/>
        </w:rPr>
        <w:t xml:space="preserve">, and 75th </w:t>
      </w:r>
      <w:r>
        <w:rPr>
          <w:rFonts w:hint="default" w:ascii="Times New Roman" w:hAnsi="Times New Roman" w:cs="Times New Roman"/>
          <w:sz w:val="24"/>
          <w:szCs w:val="24"/>
        </w:rPr>
        <w:t xml:space="preserve">in the </w:t>
      </w:r>
      <w:r>
        <w:rPr>
          <w:rFonts w:hint="default" w:ascii="Times New Roman" w:hAnsi="Times New Roman" w:cs="Times New Roman"/>
          <w:sz w:val="24"/>
          <w:szCs w:val="24"/>
          <w:lang w:val="en-US" w:eastAsia="zh-CN"/>
        </w:rPr>
        <w:t>pro</w:t>
      </w:r>
      <w:r>
        <w:rPr>
          <w:rFonts w:hint="default" w:ascii="Times New Roman" w:hAnsi="Times New Roman" w:cs="Times New Roman"/>
          <w:sz w:val="24"/>
          <w:szCs w:val="24"/>
        </w:rPr>
        <w:t>-inflammatory population by the BKMR model. The model was adjusted for adjusted by sex, age, race, education, income, marital status, physical activity, drinking, smoking, BMI, diabetes, hypertension,</w:t>
      </w:r>
      <w:r>
        <w:rPr>
          <w:rFonts w:hint="default" w:ascii="Times New Roman" w:hAnsi="Times New Roman" w:cs="Times New Roman"/>
          <w:sz w:val="24"/>
          <w:szCs w:val="24"/>
          <w:lang w:val="en-US" w:eastAsia="zh-CN"/>
        </w:rPr>
        <w:t xml:space="preserve"> and</w:t>
      </w:r>
      <w:r>
        <w:rPr>
          <w:rFonts w:hint="default" w:ascii="Times New Roman" w:hAnsi="Times New Roman" w:cs="Times New Roman"/>
          <w:sz w:val="24"/>
          <w:szCs w:val="24"/>
        </w:rPr>
        <w:t xml:space="preserve"> hyperlipidemia.</w:t>
      </w:r>
    </w:p>
    <w:p>
      <w:pPr>
        <w:jc w:val="center"/>
        <w:rPr>
          <w:rFonts w:hint="default" w:ascii="Times New Roman" w:hAnsi="Times New Roman" w:cs="Times New Roman"/>
          <w:sz w:val="24"/>
          <w:szCs w:val="24"/>
          <w:lang w:val="en-US" w:eastAsia="zh-CN"/>
        </w:rPr>
      </w:pPr>
    </w:p>
    <w:p>
      <w:pPr>
        <w:jc w:val="center"/>
        <w:rPr>
          <w:rFonts w:hint="default" w:ascii="Times New Roman" w:hAnsi="Times New Roman" w:cs="Times New Roman"/>
          <w:sz w:val="24"/>
          <w:szCs w:val="24"/>
          <w:lang w:val="en-US" w:eastAsia="zh-CN"/>
        </w:rPr>
      </w:pPr>
    </w:p>
    <w:p>
      <w:pPr>
        <w:jc w:val="center"/>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drawing>
          <wp:inline distT="0" distB="0" distL="114300" distR="114300">
            <wp:extent cx="6840220" cy="4103370"/>
            <wp:effectExtent l="0" t="0" r="2540" b="11430"/>
            <wp:docPr id="38" name="图片 38" descr="Figure S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38" descr="Figure S19"/>
                    <pic:cNvPicPr>
                      <a:picLocks noChangeAspect="1"/>
                    </pic:cNvPicPr>
                  </pic:nvPicPr>
                  <pic:blipFill>
                    <a:blip r:embed="rId24"/>
                    <a:stretch>
                      <a:fillRect/>
                    </a:stretch>
                  </pic:blipFill>
                  <pic:spPr>
                    <a:xfrm>
                      <a:off x="0" y="0"/>
                      <a:ext cx="6840220" cy="4103370"/>
                    </a:xfrm>
                    <a:prstGeom prst="rect">
                      <a:avLst/>
                    </a:prstGeom>
                  </pic:spPr>
                </pic:pic>
              </a:graphicData>
            </a:graphic>
          </wp:inline>
        </w:drawing>
      </w:r>
    </w:p>
    <w:p>
      <w:pPr>
        <w:rPr>
          <w:rFonts w:hint="default" w:ascii="Times New Roman" w:hAnsi="Times New Roman" w:cs="Times New Roman"/>
          <w:sz w:val="24"/>
          <w:szCs w:val="24"/>
          <w:lang w:val="en-US" w:eastAsia="zh-CN"/>
        </w:rPr>
      </w:pPr>
      <w:r>
        <w:rPr>
          <w:rFonts w:hint="default" w:ascii="Times New Roman" w:hAnsi="Times New Roman" w:cs="Times New Roman"/>
          <w:sz w:val="24"/>
          <w:szCs w:val="24"/>
        </w:rPr>
        <w:t>Fig</w:t>
      </w:r>
      <w:r>
        <w:rPr>
          <w:rFonts w:hint="default" w:ascii="Times New Roman" w:hAnsi="Times New Roman" w:cs="Times New Roman"/>
          <w:sz w:val="24"/>
          <w:szCs w:val="24"/>
          <w:lang w:val="en-US" w:eastAsia="zh-CN"/>
        </w:rPr>
        <w:t xml:space="preserve"> S21</w:t>
      </w:r>
      <w:r>
        <w:rPr>
          <w:rFonts w:hint="default" w:ascii="Times New Roman" w:hAnsi="Times New Roman" w:cs="Times New Roman"/>
          <w:sz w:val="24"/>
          <w:szCs w:val="24"/>
        </w:rPr>
        <w:t xml:space="preserve"> </w:t>
      </w:r>
      <w:r>
        <w:rPr>
          <w:rFonts w:hint="default" w:ascii="Times New Roman" w:hAnsi="Times New Roman" w:cs="Times New Roman"/>
          <w:sz w:val="24"/>
          <w:szCs w:val="24"/>
          <w:lang w:val="en-US" w:eastAsia="zh-CN"/>
        </w:rPr>
        <w:t xml:space="preserve">Bivariate exposure-response relationship for each metal </w:t>
      </w:r>
      <w:r>
        <w:rPr>
          <w:rFonts w:hint="default" w:ascii="Times New Roman" w:hAnsi="Times New Roman" w:cs="Times New Roman"/>
          <w:sz w:val="24"/>
          <w:szCs w:val="24"/>
        </w:rPr>
        <w:t xml:space="preserve">on </w:t>
      </w:r>
      <w:r>
        <w:rPr>
          <w:rFonts w:hint="default" w:ascii="Times New Roman" w:hAnsi="Times New Roman" w:cs="Times New Roman"/>
          <w:sz w:val="24"/>
          <w:szCs w:val="24"/>
          <w:lang w:val="en-US" w:eastAsia="zh-CN"/>
        </w:rPr>
        <w:t>DSST</w:t>
      </w:r>
      <w:r>
        <w:rPr>
          <w:rFonts w:hint="default" w:ascii="Times New Roman" w:hAnsi="Times New Roman" w:cs="Times New Roman"/>
          <w:sz w:val="24"/>
          <w:szCs w:val="24"/>
        </w:rPr>
        <w:t xml:space="preserve"> when the </w:t>
      </w:r>
      <w:r>
        <w:rPr>
          <w:rFonts w:hint="default" w:ascii="Times New Roman" w:hAnsi="Times New Roman" w:cs="Times New Roman"/>
          <w:sz w:val="24"/>
          <w:szCs w:val="24"/>
          <w:lang w:val="en-US" w:eastAsia="zh-CN"/>
        </w:rPr>
        <w:t xml:space="preserve">other </w:t>
      </w:r>
      <w:r>
        <w:rPr>
          <w:rFonts w:hint="default" w:ascii="Times New Roman" w:hAnsi="Times New Roman" w:cs="Times New Roman"/>
          <w:sz w:val="24"/>
          <w:szCs w:val="24"/>
        </w:rPr>
        <w:t>metals</w:t>
      </w:r>
      <w:r>
        <w:rPr>
          <w:rFonts w:hint="default" w:ascii="Times New Roman" w:hAnsi="Times New Roman" w:cs="Times New Roman"/>
          <w:sz w:val="24"/>
          <w:szCs w:val="24"/>
          <w:lang w:val="en-US" w:eastAsia="zh-CN"/>
        </w:rPr>
        <w:t xml:space="preserve"> were fixed at 25th,</w:t>
      </w:r>
      <w:r>
        <w:rPr>
          <w:rFonts w:hint="default" w:ascii="Times New Roman" w:hAnsi="Times New Roman" w:cs="Times New Roman"/>
          <w:sz w:val="24"/>
          <w:szCs w:val="24"/>
        </w:rPr>
        <w:t xml:space="preserve"> 50th</w:t>
      </w:r>
      <w:r>
        <w:rPr>
          <w:rFonts w:hint="default" w:ascii="Times New Roman" w:hAnsi="Times New Roman" w:cs="Times New Roman"/>
          <w:sz w:val="24"/>
          <w:szCs w:val="24"/>
          <w:lang w:val="en-US" w:eastAsia="zh-CN"/>
        </w:rPr>
        <w:t xml:space="preserve">, and 75th </w:t>
      </w:r>
      <w:r>
        <w:rPr>
          <w:rFonts w:hint="default" w:ascii="Times New Roman" w:hAnsi="Times New Roman" w:cs="Times New Roman"/>
          <w:sz w:val="24"/>
          <w:szCs w:val="24"/>
        </w:rPr>
        <w:t xml:space="preserve">in the </w:t>
      </w:r>
      <w:r>
        <w:rPr>
          <w:rFonts w:hint="default" w:ascii="Times New Roman" w:hAnsi="Times New Roman" w:cs="Times New Roman"/>
          <w:sz w:val="24"/>
          <w:szCs w:val="24"/>
          <w:lang w:val="en-US" w:eastAsia="zh-CN"/>
        </w:rPr>
        <w:t>pro</w:t>
      </w:r>
      <w:r>
        <w:rPr>
          <w:rFonts w:hint="default" w:ascii="Times New Roman" w:hAnsi="Times New Roman" w:cs="Times New Roman"/>
          <w:sz w:val="24"/>
          <w:szCs w:val="24"/>
        </w:rPr>
        <w:t>-inflammatory population by the BKMR model. The model was adjusted for adjusted by sex, age, race, education, income, marital status, physical activity, drinking, smoking, BMI, diabetes, hypertension,</w:t>
      </w:r>
      <w:r>
        <w:rPr>
          <w:rFonts w:hint="default" w:ascii="Times New Roman" w:hAnsi="Times New Roman" w:cs="Times New Roman"/>
          <w:sz w:val="24"/>
          <w:szCs w:val="24"/>
          <w:lang w:val="en-US" w:eastAsia="zh-CN"/>
        </w:rPr>
        <w:t xml:space="preserve"> and</w:t>
      </w:r>
      <w:r>
        <w:rPr>
          <w:rFonts w:hint="default" w:ascii="Times New Roman" w:hAnsi="Times New Roman" w:cs="Times New Roman"/>
          <w:sz w:val="24"/>
          <w:szCs w:val="24"/>
        </w:rPr>
        <w:t xml:space="preserve"> hyperlipidemia.</w:t>
      </w:r>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documentProtection w:enforcement="0"/>
  <w:defaultTabStop w:val="420"/>
  <w:drawingGridVerticalSpacing w:val="159"/>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RjMDYwMGUyYTk0NjljYzM2OTc2ZmRkN2MxOGZiODYifQ=="/>
  </w:docVars>
  <w:rsids>
    <w:rsidRoot w:val="00000000"/>
    <w:rsid w:val="0BAF665A"/>
    <w:rsid w:val="0BD60DC9"/>
    <w:rsid w:val="1F10053D"/>
    <w:rsid w:val="26E46CC2"/>
    <w:rsid w:val="301F16CA"/>
    <w:rsid w:val="39735EAB"/>
    <w:rsid w:val="44964CD0"/>
    <w:rsid w:val="48E768E5"/>
    <w:rsid w:val="4A9F59C5"/>
    <w:rsid w:val="4C27122E"/>
    <w:rsid w:val="55FD4A43"/>
    <w:rsid w:val="57474446"/>
    <w:rsid w:val="5A93027F"/>
    <w:rsid w:val="5F89155C"/>
    <w:rsid w:val="656C7BA7"/>
    <w:rsid w:val="65B5753E"/>
    <w:rsid w:val="6B165EB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autoRedefine/>
    <w:semiHidden/>
    <w:qFormat/>
    <w:uiPriority w:val="0"/>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2">
    <w:name w:val="Body Text"/>
    <w:basedOn w:val="1"/>
    <w:link w:val="6"/>
    <w:autoRedefine/>
    <w:qFormat/>
    <w:uiPriority w:val="1"/>
    <w:pPr>
      <w:autoSpaceDE w:val="0"/>
      <w:autoSpaceDN w:val="0"/>
    </w:pPr>
    <w:rPr>
      <w:rFonts w:eastAsia="Times New Roman"/>
      <w:sz w:val="22"/>
    </w:rPr>
  </w:style>
  <w:style w:type="paragraph" w:styleId="3">
    <w:name w:val="Normal (Web)"/>
    <w:basedOn w:val="1"/>
    <w:autoRedefine/>
    <w:qFormat/>
    <w:uiPriority w:val="0"/>
    <w:rPr>
      <w:sz w:val="24"/>
    </w:rPr>
  </w:style>
  <w:style w:type="character" w:customStyle="1" w:styleId="6">
    <w:name w:val="正文文本 字符"/>
    <w:basedOn w:val="5"/>
    <w:link w:val="2"/>
    <w:qFormat/>
    <w:uiPriority w:val="0"/>
    <w:rPr>
      <w:rFonts w:hint="default" w:ascii="Calibri" w:hAnsi="Calibri" w:eastAsia="Times New Roman" w:cs="Times New Roman"/>
      <w:kern w:val="2"/>
      <w:sz w:val="22"/>
      <w:szCs w:val="24"/>
    </w:rPr>
  </w:style>
</w:styles>
</file>

<file path=word/_rels/document.xml.rels><?xml version="1.0" encoding="UTF-8" standalone="yes"?>
<Relationships xmlns="http://schemas.openxmlformats.org/package/2006/relationships"><Relationship Id="rId9" Type="http://schemas.openxmlformats.org/officeDocument/2006/relationships/image" Target="media/image6.jpe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5" Type="http://schemas.openxmlformats.org/officeDocument/2006/relationships/fontTable" Target="fontTable.xml"/><Relationship Id="rId24" Type="http://schemas.openxmlformats.org/officeDocument/2006/relationships/image" Target="media/image21.jpeg"/><Relationship Id="rId23" Type="http://schemas.openxmlformats.org/officeDocument/2006/relationships/image" Target="media/image20.jpeg"/><Relationship Id="rId22" Type="http://schemas.openxmlformats.org/officeDocument/2006/relationships/image" Target="media/image19.jpeg"/><Relationship Id="rId21" Type="http://schemas.openxmlformats.org/officeDocument/2006/relationships/image" Target="media/image18.jpeg"/><Relationship Id="rId20" Type="http://schemas.openxmlformats.org/officeDocument/2006/relationships/image" Target="media/image17.jpeg"/><Relationship Id="rId2" Type="http://schemas.openxmlformats.org/officeDocument/2006/relationships/settings" Target="settings.xml"/><Relationship Id="rId19" Type="http://schemas.openxmlformats.org/officeDocument/2006/relationships/image" Target="media/image16.jpeg"/><Relationship Id="rId18" Type="http://schemas.openxmlformats.org/officeDocument/2006/relationships/image" Target="media/image15.jpeg"/><Relationship Id="rId17" Type="http://schemas.openxmlformats.org/officeDocument/2006/relationships/image" Target="media/image14.jpeg"/><Relationship Id="rId16" Type="http://schemas.openxmlformats.org/officeDocument/2006/relationships/image" Target="media/image13.png"/><Relationship Id="rId15" Type="http://schemas.openxmlformats.org/officeDocument/2006/relationships/image" Target="media/image12.png"/><Relationship Id="rId14" Type="http://schemas.openxmlformats.org/officeDocument/2006/relationships/image" Target="media/image11.tiff"/><Relationship Id="rId13" Type="http://schemas.openxmlformats.org/officeDocument/2006/relationships/image" Target="media/image10.png"/><Relationship Id="rId12" Type="http://schemas.openxmlformats.org/officeDocument/2006/relationships/image" Target="media/image9.jpeg"/><Relationship Id="rId11" Type="http://schemas.openxmlformats.org/officeDocument/2006/relationships/image" Target="media/image8.jpeg"/><Relationship Id="rId10" Type="http://schemas.openxmlformats.org/officeDocument/2006/relationships/image" Target="media/image7.jpeg"/><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2023-11-26T06:03:00Z</dcterms:created>
  <dc:creator>Chunlan Tang</dc:creator>
  <cp:lastModifiedBy>洪航</cp:lastModifiedBy>
  <dcterms:modified xsi:type="dcterms:W3CDTF">2023-12-26T06:20:45Z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A81DEE7E6DD840F6A1B37B8C0CE1A1FC_12</vt:lpwstr>
  </property>
</Properties>
</file>