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499FE3" w14:textId="77777777" w:rsidR="00024595" w:rsidRPr="0051339A" w:rsidRDefault="00024595" w:rsidP="0051339A">
      <w:pPr>
        <w:spacing w:line="360" w:lineRule="auto"/>
        <w:rPr>
          <w:rFonts w:ascii="Arial" w:hAnsi="Arial" w:cs="Arial"/>
          <w:highlight w:val="yellow"/>
        </w:rPr>
      </w:pPr>
      <w:r w:rsidRPr="0051339A">
        <w:rPr>
          <w:rFonts w:ascii="Arial" w:hAnsi="Arial" w:cs="Arial"/>
          <w:b/>
          <w:bCs/>
        </w:rPr>
        <w:t>Supplementary Material</w:t>
      </w:r>
      <w:r w:rsidRPr="0051339A">
        <w:rPr>
          <w:rFonts w:ascii="Arial" w:hAnsi="Arial" w:cs="Arial"/>
          <w:i/>
          <w:iCs/>
        </w:rPr>
        <w:t xml:space="preserve"> </w:t>
      </w:r>
    </w:p>
    <w:p w14:paraId="1B87B397" w14:textId="77777777" w:rsidR="00024595" w:rsidRPr="0051339A" w:rsidRDefault="00024595" w:rsidP="0051339A">
      <w:pPr>
        <w:spacing w:line="360" w:lineRule="auto"/>
        <w:rPr>
          <w:rFonts w:ascii="Arial" w:hAnsi="Arial" w:cs="Arial"/>
        </w:rPr>
      </w:pPr>
    </w:p>
    <w:p w14:paraId="40015F74" w14:textId="77777777" w:rsidR="00024595" w:rsidRPr="0051339A" w:rsidRDefault="00024595" w:rsidP="0051339A">
      <w:pPr>
        <w:spacing w:line="360" w:lineRule="auto"/>
        <w:rPr>
          <w:rFonts w:ascii="Arial" w:hAnsi="Arial" w:cs="Arial"/>
          <w:b/>
          <w:bCs/>
        </w:rPr>
      </w:pPr>
      <w:r w:rsidRPr="0051339A">
        <w:rPr>
          <w:rFonts w:ascii="Arial" w:hAnsi="Arial" w:cs="Arial"/>
          <w:b/>
          <w:bCs/>
        </w:rPr>
        <w:t>Supplementary Methods</w:t>
      </w:r>
    </w:p>
    <w:p w14:paraId="0FB7B671" w14:textId="14152959" w:rsidR="00024595" w:rsidRPr="0051339A" w:rsidRDefault="00024595" w:rsidP="0051339A">
      <w:pPr>
        <w:spacing w:line="360" w:lineRule="auto"/>
        <w:rPr>
          <w:rFonts w:ascii="Arial" w:hAnsi="Arial" w:cs="Arial"/>
          <w:b/>
          <w:i/>
          <w:iCs/>
        </w:rPr>
      </w:pPr>
      <w:r w:rsidRPr="0051339A">
        <w:rPr>
          <w:rFonts w:ascii="Arial" w:hAnsi="Arial" w:cs="Arial"/>
          <w:b/>
          <w:i/>
          <w:iCs/>
        </w:rPr>
        <w:t xml:space="preserve">Patient </w:t>
      </w:r>
      <w:r w:rsidR="00DB0F39" w:rsidRPr="0051339A">
        <w:rPr>
          <w:rFonts w:ascii="Arial" w:hAnsi="Arial" w:cs="Arial"/>
          <w:b/>
          <w:i/>
          <w:iCs/>
        </w:rPr>
        <w:t>I</w:t>
      </w:r>
      <w:r w:rsidRPr="0051339A">
        <w:rPr>
          <w:rFonts w:ascii="Arial" w:hAnsi="Arial" w:cs="Arial"/>
          <w:b/>
          <w:i/>
          <w:iCs/>
        </w:rPr>
        <w:t xml:space="preserve">nclusion and </w:t>
      </w:r>
      <w:r w:rsidR="00DB0F39" w:rsidRPr="0051339A">
        <w:rPr>
          <w:rFonts w:ascii="Arial" w:hAnsi="Arial" w:cs="Arial"/>
          <w:b/>
          <w:i/>
          <w:iCs/>
        </w:rPr>
        <w:t>Exclusion C</w:t>
      </w:r>
      <w:r w:rsidRPr="0051339A">
        <w:rPr>
          <w:rFonts w:ascii="Arial" w:hAnsi="Arial" w:cs="Arial"/>
          <w:b/>
          <w:i/>
          <w:iCs/>
        </w:rPr>
        <w:t>riteria</w:t>
      </w:r>
    </w:p>
    <w:p w14:paraId="15DEC39A" w14:textId="12F763D1" w:rsidR="00024595" w:rsidRPr="0051339A" w:rsidRDefault="00024595" w:rsidP="0051339A">
      <w:pPr>
        <w:pStyle w:val="ListParagraph"/>
        <w:numPr>
          <w:ilvl w:val="0"/>
          <w:numId w:val="1"/>
        </w:numPr>
        <w:spacing w:after="0" w:line="360" w:lineRule="auto"/>
        <w:ind w:hanging="357"/>
        <w:rPr>
          <w:rFonts w:ascii="Arial" w:hAnsi="Arial" w:cs="Arial"/>
        </w:rPr>
      </w:pPr>
      <w:r w:rsidRPr="0051339A">
        <w:rPr>
          <w:rFonts w:ascii="Arial" w:hAnsi="Arial" w:cs="Arial"/>
        </w:rPr>
        <w:t xml:space="preserve">Patient </w:t>
      </w:r>
      <w:r w:rsidR="00DB0F39" w:rsidRPr="0051339A">
        <w:rPr>
          <w:rFonts w:ascii="Arial" w:hAnsi="Arial" w:cs="Arial"/>
        </w:rPr>
        <w:t>Inclusion Criteria</w:t>
      </w:r>
      <w:r w:rsidRPr="0051339A">
        <w:rPr>
          <w:rFonts w:ascii="Arial" w:hAnsi="Arial" w:cs="Arial"/>
        </w:rPr>
        <w:t>:</w:t>
      </w:r>
    </w:p>
    <w:p w14:paraId="1E02A76A" w14:textId="77777777" w:rsidR="00024595" w:rsidRPr="00825351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hanging="357"/>
        <w:rPr>
          <w:rFonts w:ascii="Arial" w:hAnsi="Arial" w:cs="Arial"/>
        </w:rPr>
      </w:pPr>
      <w:r w:rsidRPr="0051339A">
        <w:rPr>
          <w:rFonts w:ascii="Arial" w:hAnsi="Arial" w:cs="Arial"/>
        </w:rPr>
        <w:t>Histologically or cytological confirmed stage III/IV non-small cell lung cancer</w:t>
      </w:r>
      <w:r w:rsidRPr="0051339A">
        <w:rPr>
          <w:rFonts w:ascii="Arial" w:hAnsi="Arial" w:cs="Arial"/>
          <w:lang w:eastAsia="ja-JP"/>
        </w:rPr>
        <w:t xml:space="preserve"> (</w:t>
      </w:r>
      <w:r w:rsidRPr="0051339A">
        <w:rPr>
          <w:rFonts w:ascii="Arial" w:hAnsi="Arial" w:cs="Arial"/>
        </w:rPr>
        <w:t>NSCLC</w:t>
      </w:r>
      <w:r w:rsidRPr="0051339A">
        <w:rPr>
          <w:rFonts w:ascii="Arial" w:hAnsi="Arial" w:cs="Arial"/>
          <w:lang w:eastAsia="ja-JP"/>
        </w:rPr>
        <w:t>) (defined according to the 7</w:t>
      </w:r>
      <w:r w:rsidRPr="0051339A">
        <w:rPr>
          <w:rFonts w:ascii="Arial" w:hAnsi="Arial" w:cs="Arial"/>
          <w:vertAlign w:val="superscript"/>
          <w:lang w:eastAsia="ja-JP"/>
        </w:rPr>
        <w:t>th</w:t>
      </w:r>
      <w:r w:rsidRPr="0051339A">
        <w:rPr>
          <w:rFonts w:ascii="Arial" w:hAnsi="Arial" w:cs="Arial"/>
          <w:lang w:eastAsia="ja-JP"/>
        </w:rPr>
        <w:t xml:space="preserve"> edition of the General Rule for Clinical </w:t>
      </w:r>
      <w:r w:rsidRPr="00825351">
        <w:rPr>
          <w:rFonts w:ascii="Arial" w:hAnsi="Arial" w:cs="Arial"/>
          <w:lang w:eastAsia="ja-JP"/>
        </w:rPr>
        <w:t>and Pathological Record of Lung Cancer</w:t>
      </w:r>
      <w:proofErr w:type="gramStart"/>
      <w:r w:rsidRPr="00825351">
        <w:rPr>
          <w:rFonts w:ascii="Arial" w:hAnsi="Arial" w:cs="Arial"/>
          <w:lang w:eastAsia="ja-JP"/>
        </w:rPr>
        <w:t>)</w:t>
      </w:r>
      <w:r w:rsidRPr="00825351">
        <w:rPr>
          <w:rFonts w:ascii="Arial" w:hAnsi="Arial" w:cs="Arial"/>
          <w:vertAlign w:val="superscript"/>
          <w:lang w:eastAsia="ja-JP"/>
        </w:rPr>
        <w:t>1</w:t>
      </w:r>
      <w:proofErr w:type="gramEnd"/>
      <w:r w:rsidRPr="00825351">
        <w:rPr>
          <w:rFonts w:ascii="Arial" w:hAnsi="Arial" w:cs="Arial"/>
          <w:lang w:eastAsia="ja-JP"/>
        </w:rPr>
        <w:t xml:space="preserve"> or recurrent disease.</w:t>
      </w:r>
      <w:r w:rsidRPr="00825351">
        <w:rPr>
          <w:rFonts w:ascii="Arial" w:hAnsi="Arial" w:cs="Arial"/>
          <w:b/>
          <w:bCs/>
          <w:lang w:eastAsia="ja-JP"/>
        </w:rPr>
        <w:t xml:space="preserve"> </w:t>
      </w:r>
    </w:p>
    <w:p w14:paraId="66DD5763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hanging="357"/>
        <w:rPr>
          <w:rFonts w:ascii="Arial" w:hAnsi="Arial" w:cs="Arial"/>
          <w:lang w:eastAsia="ja-JP"/>
        </w:rPr>
      </w:pPr>
      <w:r w:rsidRPr="00825351">
        <w:rPr>
          <w:rFonts w:ascii="Arial" w:hAnsi="Arial" w:cs="Arial"/>
        </w:rPr>
        <w:t>Patients with tumours harbouring an epidermal growth factor receptor (</w:t>
      </w:r>
      <w:r w:rsidRPr="00825351">
        <w:rPr>
          <w:rFonts w:ascii="Arial" w:hAnsi="Arial" w:cs="Arial"/>
          <w:i/>
          <w:iCs/>
        </w:rPr>
        <w:t>EGFR</w:t>
      </w:r>
      <w:r w:rsidRPr="00825351">
        <w:rPr>
          <w:rFonts w:ascii="Arial" w:hAnsi="Arial" w:cs="Arial"/>
        </w:rPr>
        <w:t>)</w:t>
      </w:r>
      <w:r w:rsidRPr="00825351">
        <w:rPr>
          <w:rFonts w:ascii="Arial" w:hAnsi="Arial" w:cs="Arial"/>
          <w:i/>
          <w:iCs/>
        </w:rPr>
        <w:t xml:space="preserve"> </w:t>
      </w:r>
      <w:r w:rsidRPr="00825351">
        <w:rPr>
          <w:rFonts w:ascii="Arial" w:hAnsi="Arial" w:cs="Arial"/>
        </w:rPr>
        <w:t>Del19 or L858R</w:t>
      </w:r>
      <w:r w:rsidRPr="0051339A">
        <w:rPr>
          <w:rFonts w:ascii="Arial" w:hAnsi="Arial" w:cs="Arial"/>
        </w:rPr>
        <w:t xml:space="preserve"> mutation </w:t>
      </w:r>
      <w:r w:rsidRPr="0051339A">
        <w:rPr>
          <w:rFonts w:ascii="Arial" w:hAnsi="Arial" w:cs="Arial"/>
          <w:lang w:eastAsia="ja-JP"/>
        </w:rPr>
        <w:t xml:space="preserve">(excluding patients whose tumours harboured uncommon mutations such as T790M, in combination with </w:t>
      </w:r>
      <w:r w:rsidRPr="0051339A">
        <w:rPr>
          <w:rFonts w:ascii="Arial" w:hAnsi="Arial" w:cs="Arial"/>
          <w:i/>
          <w:iCs/>
        </w:rPr>
        <w:t xml:space="preserve">EGFR </w:t>
      </w:r>
      <w:r w:rsidRPr="0051339A">
        <w:rPr>
          <w:rFonts w:ascii="Arial" w:hAnsi="Arial" w:cs="Arial"/>
        </w:rPr>
        <w:t>Del19 or</w:t>
      </w:r>
      <w:r w:rsidRPr="0051339A">
        <w:rPr>
          <w:rFonts w:ascii="Arial" w:hAnsi="Arial" w:cs="Arial"/>
          <w:i/>
          <w:iCs/>
        </w:rPr>
        <w:t xml:space="preserve"> </w:t>
      </w:r>
      <w:r w:rsidRPr="0051339A">
        <w:rPr>
          <w:rFonts w:ascii="Arial" w:hAnsi="Arial" w:cs="Arial"/>
        </w:rPr>
        <w:t>L858R</w:t>
      </w:r>
      <w:r w:rsidRPr="0051339A">
        <w:rPr>
          <w:rFonts w:ascii="Arial" w:hAnsi="Arial" w:cs="Arial"/>
          <w:lang w:eastAsia="ja-JP"/>
        </w:rPr>
        <w:t xml:space="preserve"> mutations).</w:t>
      </w:r>
    </w:p>
    <w:p w14:paraId="546E4E8D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hanging="357"/>
        <w:rPr>
          <w:rFonts w:ascii="Arial" w:hAnsi="Arial" w:cs="Arial"/>
        </w:rPr>
      </w:pPr>
      <w:r w:rsidRPr="0051339A">
        <w:rPr>
          <w:rFonts w:ascii="Arial" w:hAnsi="Arial" w:cs="Arial"/>
        </w:rPr>
        <w:t>No prior chemotherapy and no prior treatment with EGFR-targeting small molecules or antibodies.</w:t>
      </w:r>
    </w:p>
    <w:p w14:paraId="26C84C0B" w14:textId="6E6FCD44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hanging="357"/>
        <w:rPr>
          <w:rFonts w:ascii="Arial" w:hAnsi="Arial" w:cs="Arial"/>
          <w:lang w:eastAsia="ja-JP"/>
        </w:rPr>
      </w:pPr>
      <w:r w:rsidRPr="0051339A">
        <w:rPr>
          <w:rFonts w:ascii="Arial" w:hAnsi="Arial" w:cs="Arial"/>
        </w:rPr>
        <w:t>Criteria regarding pretreatments and washout periods before entry included: ≥</w:t>
      </w:r>
      <w:r w:rsidR="00DB0F39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  <w:lang w:eastAsia="ja-JP"/>
        </w:rPr>
        <w:t>12</w:t>
      </w:r>
      <w:r w:rsidRPr="0051339A">
        <w:rPr>
          <w:rFonts w:ascii="Arial" w:hAnsi="Arial" w:cs="Arial"/>
        </w:rPr>
        <w:t xml:space="preserve"> months since the day of final administration of preoperative or postoperative adjuvant chemotherapy; ≥</w:t>
      </w:r>
      <w:r w:rsidR="00DB0F39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>2 weeks since the last pleurodesis that did not use anticancer drugs; ≥</w:t>
      </w:r>
      <w:r w:rsidR="00DB0F39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 xml:space="preserve">2 weeks must have elapsed since the systemic administration of steroids for any period of time exceeding 4 weeks; and ≥4 weeks since the administration of other investigational drugs. </w:t>
      </w:r>
    </w:p>
    <w:p w14:paraId="6D1A0D26" w14:textId="2CF53608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hanging="357"/>
        <w:rPr>
          <w:rFonts w:ascii="Arial" w:hAnsi="Arial" w:cs="Arial"/>
        </w:rPr>
      </w:pPr>
      <w:r w:rsidRPr="0051339A">
        <w:rPr>
          <w:rFonts w:ascii="Arial" w:hAnsi="Arial" w:cs="Arial"/>
        </w:rPr>
        <w:t>≥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 xml:space="preserve">1 </w:t>
      </w:r>
      <w:r w:rsidRPr="0051339A">
        <w:rPr>
          <w:rFonts w:ascii="Arial" w:hAnsi="Arial" w:cs="Arial"/>
          <w:lang w:eastAsia="ja-JP"/>
        </w:rPr>
        <w:t>m</w:t>
      </w:r>
      <w:r w:rsidRPr="0051339A">
        <w:rPr>
          <w:rFonts w:ascii="Arial" w:hAnsi="Arial" w:cs="Arial"/>
        </w:rPr>
        <w:t xml:space="preserve">easurable lesion per Response Evaluation Criteria </w:t>
      </w:r>
      <w:proofErr w:type="gramStart"/>
      <w:r w:rsidRPr="0051339A">
        <w:rPr>
          <w:rFonts w:ascii="Arial" w:hAnsi="Arial" w:cs="Arial"/>
        </w:rPr>
        <w:t>In</w:t>
      </w:r>
      <w:proofErr w:type="gramEnd"/>
      <w:r w:rsidRPr="0051339A">
        <w:rPr>
          <w:rFonts w:ascii="Arial" w:hAnsi="Arial" w:cs="Arial"/>
        </w:rPr>
        <w:t xml:space="preserve"> Solid Tumours (RECIST), version 1.1.</w:t>
      </w:r>
    </w:p>
    <w:p w14:paraId="1B774BC4" w14:textId="0CD82372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hanging="357"/>
        <w:rPr>
          <w:rFonts w:ascii="Arial" w:hAnsi="Arial" w:cs="Arial"/>
        </w:rPr>
      </w:pPr>
      <w:r w:rsidRPr="0051339A">
        <w:rPr>
          <w:rFonts w:ascii="Arial" w:hAnsi="Arial" w:cs="Arial"/>
        </w:rPr>
        <w:t>Aged ≥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>75 years.</w:t>
      </w:r>
    </w:p>
    <w:p w14:paraId="4AA2537A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hanging="357"/>
        <w:rPr>
          <w:rFonts w:ascii="Arial" w:hAnsi="Arial" w:cs="Arial"/>
        </w:rPr>
      </w:pPr>
      <w:r w:rsidRPr="0051339A">
        <w:rPr>
          <w:rFonts w:ascii="Arial" w:hAnsi="Arial" w:cs="Arial"/>
        </w:rPr>
        <w:t>Eastern Cooperative Oncology Group performance status (ECOG PS) 0 or 1</w:t>
      </w:r>
    </w:p>
    <w:p w14:paraId="50694EC7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hanging="357"/>
        <w:rPr>
          <w:rFonts w:ascii="Arial" w:hAnsi="Arial" w:cs="Arial"/>
        </w:rPr>
      </w:pPr>
      <w:r w:rsidRPr="0051339A">
        <w:rPr>
          <w:rFonts w:ascii="Arial" w:hAnsi="Arial" w:cs="Arial"/>
        </w:rPr>
        <w:t>Adequate organ function, including:</w:t>
      </w:r>
    </w:p>
    <w:p w14:paraId="730011DD" w14:textId="0EFACA15" w:rsidR="00024595" w:rsidRPr="0051339A" w:rsidRDefault="00024595" w:rsidP="0051339A">
      <w:pPr>
        <w:pStyle w:val="ListParagraph"/>
        <w:numPr>
          <w:ilvl w:val="2"/>
          <w:numId w:val="1"/>
        </w:numPr>
        <w:spacing w:after="0" w:line="360" w:lineRule="auto"/>
        <w:rPr>
          <w:rFonts w:ascii="Arial" w:hAnsi="Arial" w:cs="Arial"/>
          <w:lang w:eastAsia="ja-JP"/>
        </w:rPr>
      </w:pPr>
      <w:r w:rsidRPr="0051339A">
        <w:rPr>
          <w:rFonts w:ascii="Arial" w:hAnsi="Arial" w:cs="Arial"/>
        </w:rPr>
        <w:t>Neutrophil count ≥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>1,500/mm</w:t>
      </w:r>
      <w:r w:rsidRPr="0051339A">
        <w:rPr>
          <w:rFonts w:ascii="Arial" w:hAnsi="Arial" w:cs="Arial"/>
          <w:vertAlign w:val="superscript"/>
        </w:rPr>
        <w:t>3</w:t>
      </w:r>
      <w:r w:rsidRPr="0051339A">
        <w:rPr>
          <w:rFonts w:ascii="Arial" w:hAnsi="Arial" w:cs="Arial"/>
        </w:rPr>
        <w:t xml:space="preserve">. </w:t>
      </w:r>
    </w:p>
    <w:p w14:paraId="64BA48DD" w14:textId="24048F8B" w:rsidR="00024595" w:rsidRPr="0051339A" w:rsidRDefault="00024595" w:rsidP="0051339A">
      <w:pPr>
        <w:pStyle w:val="ListParagraph"/>
        <w:numPr>
          <w:ilvl w:val="2"/>
          <w:numId w:val="1"/>
        </w:numPr>
        <w:spacing w:after="0" w:line="360" w:lineRule="auto"/>
        <w:rPr>
          <w:rFonts w:ascii="Arial" w:hAnsi="Arial" w:cs="Arial"/>
          <w:lang w:eastAsia="ja-JP"/>
        </w:rPr>
      </w:pPr>
      <w:r w:rsidRPr="0051339A">
        <w:rPr>
          <w:rFonts w:ascii="Arial" w:hAnsi="Arial" w:cs="Arial"/>
        </w:rPr>
        <w:t>Haemoglobin ≥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>9.0 g/</w:t>
      </w:r>
      <w:proofErr w:type="spellStart"/>
      <w:r w:rsidRPr="0051339A">
        <w:rPr>
          <w:rFonts w:ascii="Arial" w:hAnsi="Arial" w:cs="Arial"/>
        </w:rPr>
        <w:t>dL</w:t>
      </w:r>
      <w:proofErr w:type="spellEnd"/>
      <w:r w:rsidRPr="0051339A">
        <w:rPr>
          <w:rFonts w:ascii="Arial" w:hAnsi="Arial" w:cs="Arial"/>
        </w:rPr>
        <w:t xml:space="preserve">. </w:t>
      </w:r>
    </w:p>
    <w:p w14:paraId="598A309B" w14:textId="7C7A5453" w:rsidR="00024595" w:rsidRPr="0051339A" w:rsidRDefault="00024595" w:rsidP="0051339A">
      <w:pPr>
        <w:pStyle w:val="ListParagraph"/>
        <w:numPr>
          <w:ilvl w:val="2"/>
          <w:numId w:val="1"/>
        </w:numPr>
        <w:spacing w:after="0" w:line="360" w:lineRule="auto"/>
        <w:rPr>
          <w:rFonts w:ascii="Arial" w:hAnsi="Arial" w:cs="Arial"/>
          <w:lang w:eastAsia="ja-JP"/>
        </w:rPr>
      </w:pPr>
      <w:r w:rsidRPr="0051339A">
        <w:rPr>
          <w:rFonts w:ascii="Arial" w:hAnsi="Arial" w:cs="Arial"/>
        </w:rPr>
        <w:t>Platelet count ≥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  <w:lang w:eastAsia="ja-JP"/>
        </w:rPr>
        <w:t>7.5</w:t>
      </w:r>
      <w:r w:rsidRPr="0051339A">
        <w:rPr>
          <w:rFonts w:ascii="Arial" w:hAnsi="Arial" w:cs="Arial"/>
        </w:rPr>
        <w:t xml:space="preserve"> x 10</w:t>
      </w:r>
      <w:r w:rsidRPr="0051339A">
        <w:rPr>
          <w:rFonts w:ascii="Arial" w:hAnsi="Arial" w:cs="Arial"/>
          <w:vertAlign w:val="superscript"/>
        </w:rPr>
        <w:t>4</w:t>
      </w:r>
      <w:r w:rsidRPr="0051339A">
        <w:rPr>
          <w:rFonts w:ascii="Arial" w:hAnsi="Arial" w:cs="Arial"/>
        </w:rPr>
        <w:t>/mm</w:t>
      </w:r>
      <w:r w:rsidRPr="0051339A">
        <w:rPr>
          <w:rFonts w:ascii="Arial" w:hAnsi="Arial" w:cs="Arial"/>
          <w:vertAlign w:val="superscript"/>
        </w:rPr>
        <w:t>3</w:t>
      </w:r>
      <w:r w:rsidRPr="0051339A">
        <w:rPr>
          <w:rFonts w:ascii="Arial" w:hAnsi="Arial" w:cs="Arial"/>
        </w:rPr>
        <w:t xml:space="preserve">. </w:t>
      </w:r>
    </w:p>
    <w:p w14:paraId="2577A0D9" w14:textId="10D381F9" w:rsidR="00024595" w:rsidRPr="0051339A" w:rsidRDefault="00024595" w:rsidP="0051339A">
      <w:pPr>
        <w:pStyle w:val="ListParagraph"/>
        <w:numPr>
          <w:ilvl w:val="2"/>
          <w:numId w:val="1"/>
        </w:numPr>
        <w:spacing w:after="0" w:line="360" w:lineRule="auto"/>
        <w:rPr>
          <w:rFonts w:ascii="Arial" w:hAnsi="Arial" w:cs="Arial"/>
          <w:lang w:eastAsia="ja-JP"/>
        </w:rPr>
      </w:pPr>
      <w:r w:rsidRPr="0051339A">
        <w:rPr>
          <w:rFonts w:ascii="Arial" w:hAnsi="Arial" w:cs="Arial"/>
        </w:rPr>
        <w:t>Total bilirubin ≤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 xml:space="preserve">1.5 </w:t>
      </w:r>
      <w:r w:rsidRPr="0051339A">
        <w:rPr>
          <w:rFonts w:ascii="Arial" w:hAnsi="Arial" w:cs="Arial"/>
          <w:lang w:eastAsia="ja-JP"/>
        </w:rPr>
        <w:t xml:space="preserve">times </w:t>
      </w:r>
      <w:r w:rsidRPr="0051339A">
        <w:rPr>
          <w:rFonts w:ascii="Arial" w:hAnsi="Arial" w:cs="Arial"/>
        </w:rPr>
        <w:t xml:space="preserve">the upper limit of the site’s standard values. </w:t>
      </w:r>
    </w:p>
    <w:p w14:paraId="796265F1" w14:textId="4EF4757E" w:rsidR="00024595" w:rsidRPr="0051339A" w:rsidRDefault="00024595" w:rsidP="0051339A">
      <w:pPr>
        <w:pStyle w:val="ListParagraph"/>
        <w:numPr>
          <w:ilvl w:val="2"/>
          <w:numId w:val="1"/>
        </w:numPr>
        <w:spacing w:after="0" w:line="360" w:lineRule="auto"/>
        <w:rPr>
          <w:rFonts w:ascii="Arial" w:hAnsi="Arial" w:cs="Arial"/>
          <w:lang w:eastAsia="ja-JP"/>
        </w:rPr>
      </w:pPr>
      <w:r w:rsidRPr="0051339A">
        <w:rPr>
          <w:rFonts w:ascii="Arial" w:hAnsi="Arial" w:cs="Arial"/>
          <w:color w:val="000000"/>
          <w:shd w:val="clear" w:color="auto" w:fill="FFFFFF"/>
        </w:rPr>
        <w:t>Aspartate transaminase (</w:t>
      </w:r>
      <w:r w:rsidRPr="0051339A">
        <w:rPr>
          <w:rFonts w:ascii="Arial" w:hAnsi="Arial" w:cs="Arial"/>
        </w:rPr>
        <w:t>AST)/alanine transaminase (ALT)</w:t>
      </w:r>
      <w:r w:rsidRPr="0051339A">
        <w:rPr>
          <w:rFonts w:ascii="Arial" w:hAnsi="Arial" w:cs="Arial"/>
          <w:lang w:eastAsia="ja-JP"/>
        </w:rPr>
        <w:t xml:space="preserve"> </w:t>
      </w:r>
      <w:r w:rsidRPr="0051339A">
        <w:rPr>
          <w:rFonts w:ascii="Arial" w:hAnsi="Arial" w:cs="Arial"/>
        </w:rPr>
        <w:t>≤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  <w:lang w:eastAsia="ja-JP"/>
        </w:rPr>
        <w:t>3.0</w:t>
      </w:r>
      <w:r w:rsidRPr="0051339A">
        <w:rPr>
          <w:rFonts w:ascii="Arial" w:hAnsi="Arial" w:cs="Arial"/>
        </w:rPr>
        <w:t xml:space="preserve"> times the upper limit of the site’s standard values.</w:t>
      </w:r>
    </w:p>
    <w:p w14:paraId="4EEDC8D5" w14:textId="2D0CC805" w:rsidR="00024595" w:rsidRPr="0051339A" w:rsidRDefault="00024595" w:rsidP="0051339A">
      <w:pPr>
        <w:pStyle w:val="ListParagraph"/>
        <w:numPr>
          <w:ilvl w:val="2"/>
          <w:numId w:val="1"/>
        </w:numPr>
        <w:spacing w:after="0" w:line="360" w:lineRule="auto"/>
        <w:rPr>
          <w:rFonts w:ascii="Arial" w:hAnsi="Arial" w:cs="Arial"/>
          <w:lang w:eastAsia="ja-JP"/>
        </w:rPr>
      </w:pPr>
      <w:r w:rsidRPr="0051339A">
        <w:rPr>
          <w:rFonts w:ascii="Arial" w:hAnsi="Arial" w:cs="Arial"/>
        </w:rPr>
        <w:t>Serum creatinine ≤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 xml:space="preserve">1.5 </w:t>
      </w:r>
      <w:r w:rsidRPr="0051339A">
        <w:rPr>
          <w:rFonts w:ascii="Arial" w:hAnsi="Arial" w:cs="Arial"/>
          <w:lang w:eastAsia="ja-JP"/>
        </w:rPr>
        <w:t xml:space="preserve">times </w:t>
      </w:r>
      <w:r w:rsidRPr="0051339A">
        <w:rPr>
          <w:rFonts w:ascii="Arial" w:hAnsi="Arial" w:cs="Arial"/>
        </w:rPr>
        <w:t xml:space="preserve">the upper limit of the site’s standard values. </w:t>
      </w:r>
    </w:p>
    <w:p w14:paraId="133E7E01" w14:textId="4DA8966E" w:rsidR="00024595" w:rsidRPr="0051339A" w:rsidRDefault="00024595" w:rsidP="0051339A">
      <w:pPr>
        <w:pStyle w:val="ListParagraph"/>
        <w:numPr>
          <w:ilvl w:val="2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PaO</w:t>
      </w:r>
      <w:r w:rsidRPr="0051339A">
        <w:rPr>
          <w:rFonts w:ascii="Arial" w:hAnsi="Arial" w:cs="Arial"/>
          <w:vertAlign w:val="subscript"/>
        </w:rPr>
        <w:t>2</w:t>
      </w:r>
      <w:r w:rsidRPr="0051339A">
        <w:rPr>
          <w:rFonts w:ascii="Arial" w:hAnsi="Arial" w:cs="Arial"/>
        </w:rPr>
        <w:t xml:space="preserve"> (room air) ≥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  <w:lang w:eastAsia="ja-JP"/>
        </w:rPr>
        <w:t>6</w:t>
      </w:r>
      <w:r w:rsidRPr="0051339A">
        <w:rPr>
          <w:rFonts w:ascii="Arial" w:hAnsi="Arial" w:cs="Arial"/>
        </w:rPr>
        <w:t xml:space="preserve">0 </w:t>
      </w:r>
      <w:proofErr w:type="spellStart"/>
      <w:r w:rsidRPr="0051339A">
        <w:rPr>
          <w:rFonts w:ascii="Arial" w:hAnsi="Arial" w:cs="Arial"/>
        </w:rPr>
        <w:t>Torr</w:t>
      </w:r>
      <w:proofErr w:type="spellEnd"/>
      <w:r w:rsidRPr="0051339A">
        <w:rPr>
          <w:rFonts w:ascii="Arial" w:hAnsi="Arial" w:cs="Arial"/>
        </w:rPr>
        <w:t>, or SpO</w:t>
      </w:r>
      <w:r w:rsidRPr="0051339A">
        <w:rPr>
          <w:rFonts w:ascii="Arial" w:hAnsi="Arial" w:cs="Arial"/>
          <w:vertAlign w:val="subscript"/>
        </w:rPr>
        <w:t>2</w:t>
      </w:r>
      <w:r w:rsidRPr="0051339A">
        <w:rPr>
          <w:rFonts w:ascii="Arial" w:hAnsi="Arial" w:cs="Arial"/>
        </w:rPr>
        <w:t xml:space="preserve"> ≥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>9</w:t>
      </w:r>
      <w:r w:rsidRPr="0051339A">
        <w:rPr>
          <w:rFonts w:ascii="Arial" w:hAnsi="Arial" w:cs="Arial"/>
          <w:lang w:eastAsia="ja-JP"/>
        </w:rPr>
        <w:t>3</w:t>
      </w:r>
      <w:r w:rsidRPr="0051339A">
        <w:rPr>
          <w:rFonts w:ascii="Arial" w:hAnsi="Arial" w:cs="Arial"/>
        </w:rPr>
        <w:t>%.</w:t>
      </w:r>
    </w:p>
    <w:p w14:paraId="5F74B20C" w14:textId="22F17C03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left="1134" w:hanging="141"/>
        <w:rPr>
          <w:rFonts w:ascii="Arial" w:hAnsi="Arial" w:cs="Arial"/>
        </w:rPr>
      </w:pPr>
      <w:r w:rsidRPr="0051339A">
        <w:rPr>
          <w:rFonts w:ascii="Arial" w:hAnsi="Arial" w:cs="Arial"/>
        </w:rPr>
        <w:t xml:space="preserve">   Life expectancy &gt;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>3 months.</w:t>
      </w:r>
    </w:p>
    <w:p w14:paraId="1ADF4D5B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ind w:left="1134" w:hanging="141"/>
        <w:rPr>
          <w:rFonts w:ascii="Arial" w:hAnsi="Arial" w:cs="Arial"/>
        </w:rPr>
      </w:pPr>
      <w:r w:rsidRPr="0051339A">
        <w:rPr>
          <w:rFonts w:ascii="Arial" w:hAnsi="Arial" w:cs="Arial"/>
        </w:rPr>
        <w:lastRenderedPageBreak/>
        <w:t xml:space="preserve">   Written informed consent.</w:t>
      </w:r>
    </w:p>
    <w:p w14:paraId="03A74B1E" w14:textId="161F8D5E" w:rsidR="00024595" w:rsidRPr="0051339A" w:rsidRDefault="00024595" w:rsidP="0051339A">
      <w:pPr>
        <w:pStyle w:val="ListParagraph"/>
        <w:numPr>
          <w:ilvl w:val="0"/>
          <w:numId w:val="1"/>
        </w:numPr>
        <w:spacing w:after="0" w:line="360" w:lineRule="auto"/>
        <w:ind w:hanging="357"/>
        <w:rPr>
          <w:rFonts w:ascii="Arial" w:hAnsi="Arial" w:cs="Arial"/>
        </w:rPr>
      </w:pPr>
      <w:r w:rsidRPr="0051339A">
        <w:rPr>
          <w:rFonts w:ascii="Arial" w:hAnsi="Arial" w:cs="Arial"/>
        </w:rPr>
        <w:t xml:space="preserve">Patient </w:t>
      </w:r>
      <w:r w:rsidR="0051339A" w:rsidRPr="0051339A">
        <w:rPr>
          <w:rFonts w:ascii="Arial" w:hAnsi="Arial" w:cs="Arial"/>
        </w:rPr>
        <w:t>Exclusion Criteria</w:t>
      </w:r>
      <w:r w:rsidRPr="0051339A">
        <w:rPr>
          <w:rFonts w:ascii="Arial" w:hAnsi="Arial" w:cs="Arial"/>
        </w:rPr>
        <w:t>:</w:t>
      </w:r>
    </w:p>
    <w:p w14:paraId="43F97412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Chemotherapy, biological therapy, or investigational agents for other carcinomas within 4 weeks prior to the start of study treatment.</w:t>
      </w:r>
    </w:p>
    <w:p w14:paraId="53E6BCE4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Hormonal treatment within 2 weeks prior to start of study treatment.</w:t>
      </w:r>
    </w:p>
    <w:p w14:paraId="55E95550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Previous radiotherapy to the primary tumour or measurable lesion.</w:t>
      </w:r>
    </w:p>
    <w:p w14:paraId="737AB9C6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Major surgery within 4 weeks before starting study treatment, or scheduled for surgery during the projected course of the study.</w:t>
      </w:r>
    </w:p>
    <w:p w14:paraId="4635C75B" w14:textId="268A80CB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Complications with concurrent cancers that have a disease-free period of &lt;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 xml:space="preserve">5 years. </w:t>
      </w:r>
    </w:p>
    <w:p w14:paraId="182DD397" w14:textId="35120F84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Active lung disease such as interstitial pneumonia, active radiation pneumonitis</w:t>
      </w:r>
      <w:r w:rsidR="00F0251E" w:rsidRPr="0051339A">
        <w:rPr>
          <w:rFonts w:ascii="Arial" w:hAnsi="Arial" w:cs="Arial"/>
        </w:rPr>
        <w:t>,</w:t>
      </w:r>
      <w:r w:rsidRPr="0051339A">
        <w:rPr>
          <w:rFonts w:ascii="Arial" w:hAnsi="Arial" w:cs="Arial"/>
        </w:rPr>
        <w:t xml:space="preserve"> or drug-induced pneumonitis.</w:t>
      </w:r>
    </w:p>
    <w:p w14:paraId="311B000E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Symptomatic brain metastases</w:t>
      </w:r>
      <w:r w:rsidRPr="0051339A">
        <w:rPr>
          <w:rFonts w:ascii="Arial" w:hAnsi="Arial" w:cs="Arial"/>
          <w:lang w:eastAsia="ja-JP"/>
        </w:rPr>
        <w:t xml:space="preserve"> (</w:t>
      </w:r>
      <w:r w:rsidRPr="0051339A">
        <w:rPr>
          <w:rFonts w:ascii="Arial" w:hAnsi="Arial" w:cs="Arial"/>
        </w:rPr>
        <w:t>patients with asymptomatic brain metastasis were eligible to enrol in the study</w:t>
      </w:r>
      <w:r w:rsidRPr="0051339A">
        <w:rPr>
          <w:rFonts w:ascii="Arial" w:hAnsi="Arial" w:cs="Arial"/>
          <w:lang w:eastAsia="ja-JP"/>
        </w:rPr>
        <w:t>).</w:t>
      </w:r>
    </w:p>
    <w:p w14:paraId="73DDD566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Any other concurrent illnesses or conditions and/or infections that could interfere with the conduct of the trial.</w:t>
      </w:r>
    </w:p>
    <w:p w14:paraId="2050B2BA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Women who are currently pregnant or breastfeeding.</w:t>
      </w:r>
    </w:p>
    <w:p w14:paraId="52E54909" w14:textId="77777777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Known hypersensitivity to afatinib or the excipients of any of the trial drugs.</w:t>
      </w:r>
    </w:p>
    <w:p w14:paraId="412FB257" w14:textId="5B7C1DAC" w:rsidR="00024595" w:rsidRPr="0051339A" w:rsidRDefault="00024595" w:rsidP="0051339A">
      <w:pPr>
        <w:pStyle w:val="ListParagraph"/>
        <w:numPr>
          <w:ilvl w:val="1"/>
          <w:numId w:val="1"/>
        </w:num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Individuals who are deemed to be unsuitable for participation in this study by the principal investigator or sub-investigators</w:t>
      </w:r>
      <w:r w:rsidRPr="0051339A">
        <w:rPr>
          <w:rFonts w:ascii="Arial" w:hAnsi="Arial" w:cs="Arial"/>
          <w:lang w:eastAsia="ja-JP"/>
        </w:rPr>
        <w:t>, due to comorbidity of mental disorders such as dementia, or</w:t>
      </w:r>
      <w:r w:rsidRPr="0051339A">
        <w:rPr>
          <w:rFonts w:ascii="Arial" w:hAnsi="Arial" w:cs="Arial"/>
        </w:rPr>
        <w:t xml:space="preserve"> for any other reason (cognitive decline is a particularly important exclusion criterion).</w:t>
      </w:r>
    </w:p>
    <w:p w14:paraId="5DD985CD" w14:textId="77777777" w:rsidR="00024595" w:rsidRPr="0051339A" w:rsidRDefault="00024595" w:rsidP="0051339A">
      <w:pPr>
        <w:spacing w:after="0" w:line="360" w:lineRule="auto"/>
        <w:rPr>
          <w:rFonts w:ascii="Arial" w:hAnsi="Arial" w:cs="Arial"/>
        </w:rPr>
      </w:pPr>
    </w:p>
    <w:p w14:paraId="7CEEED46" w14:textId="77777777" w:rsidR="00024595" w:rsidRPr="0051339A" w:rsidRDefault="00024595" w:rsidP="0051339A">
      <w:pPr>
        <w:spacing w:after="0" w:line="360" w:lineRule="auto"/>
        <w:rPr>
          <w:rFonts w:ascii="Arial" w:hAnsi="Arial" w:cs="Arial"/>
          <w:b/>
          <w:i/>
          <w:iCs/>
          <w:lang w:eastAsia="ja-JP"/>
        </w:rPr>
      </w:pPr>
      <w:r w:rsidRPr="0051339A">
        <w:rPr>
          <w:rFonts w:ascii="Arial" w:hAnsi="Arial" w:cs="Arial"/>
          <w:b/>
          <w:i/>
          <w:iCs/>
          <w:lang w:eastAsia="ja-JP"/>
        </w:rPr>
        <w:t>Assessments</w:t>
      </w:r>
    </w:p>
    <w:p w14:paraId="75119488" w14:textId="77777777" w:rsidR="00024595" w:rsidRPr="0051339A" w:rsidRDefault="00024595" w:rsidP="0051339A">
      <w:pPr>
        <w:spacing w:after="0" w:line="360" w:lineRule="auto"/>
        <w:rPr>
          <w:rFonts w:ascii="Arial" w:hAnsi="Arial" w:cs="Arial"/>
          <w:lang w:eastAsia="ja-JP"/>
        </w:rPr>
      </w:pPr>
      <w:r w:rsidRPr="0051339A">
        <w:rPr>
          <w:rFonts w:ascii="Arial" w:hAnsi="Arial" w:cs="Arial"/>
          <w:lang w:eastAsia="ja-JP"/>
        </w:rPr>
        <w:t xml:space="preserve">Progression-free survival (PFS) was </w:t>
      </w:r>
      <w:r w:rsidRPr="0051339A">
        <w:rPr>
          <w:rFonts w:ascii="Arial" w:hAnsi="Arial" w:cs="Arial"/>
        </w:rPr>
        <w:t xml:space="preserve">defined as the time from </w:t>
      </w:r>
      <w:r w:rsidRPr="0051339A">
        <w:rPr>
          <w:rFonts w:ascii="Arial" w:hAnsi="Arial" w:cs="Arial"/>
          <w:lang w:eastAsia="ja-JP"/>
        </w:rPr>
        <w:t>registration</w:t>
      </w:r>
      <w:r w:rsidRPr="0051339A">
        <w:rPr>
          <w:rFonts w:ascii="Arial" w:hAnsi="Arial" w:cs="Arial"/>
        </w:rPr>
        <w:t xml:space="preserve"> until disease progression with first-line treatment, or death. Overall survival (</w:t>
      </w:r>
      <w:r w:rsidRPr="0051339A">
        <w:rPr>
          <w:rFonts w:ascii="Arial" w:hAnsi="Arial" w:cs="Arial"/>
          <w:lang w:eastAsia="ja-JP"/>
        </w:rPr>
        <w:t>O</w:t>
      </w:r>
      <w:r w:rsidRPr="0051339A">
        <w:rPr>
          <w:rFonts w:ascii="Arial" w:hAnsi="Arial" w:cs="Arial"/>
        </w:rPr>
        <w:t>S)</w:t>
      </w:r>
      <w:r w:rsidRPr="0051339A">
        <w:rPr>
          <w:rFonts w:ascii="Arial" w:hAnsi="Arial" w:cs="Arial"/>
          <w:lang w:eastAsia="ja-JP"/>
        </w:rPr>
        <w:t xml:space="preserve"> was </w:t>
      </w:r>
      <w:r w:rsidRPr="0051339A">
        <w:rPr>
          <w:rFonts w:ascii="Arial" w:hAnsi="Arial" w:cs="Arial"/>
        </w:rPr>
        <w:t xml:space="preserve">defined as time from </w:t>
      </w:r>
      <w:r w:rsidRPr="0051339A">
        <w:rPr>
          <w:rFonts w:ascii="Arial" w:hAnsi="Arial" w:cs="Arial"/>
          <w:lang w:eastAsia="ja-JP"/>
        </w:rPr>
        <w:t>registration</w:t>
      </w:r>
      <w:r w:rsidRPr="0051339A">
        <w:rPr>
          <w:rFonts w:ascii="Arial" w:hAnsi="Arial" w:cs="Arial"/>
        </w:rPr>
        <w:t xml:space="preserve"> until death. Best tumour response was defined without confirmation. Objective response was defined as complete response (CR) or partial response (PR). </w:t>
      </w:r>
      <w:r w:rsidRPr="0051339A">
        <w:rPr>
          <w:rFonts w:ascii="Arial" w:hAnsi="Arial" w:cs="Arial"/>
          <w:lang w:eastAsia="ja-JP"/>
        </w:rPr>
        <w:t>D</w:t>
      </w:r>
      <w:r w:rsidRPr="0051339A">
        <w:rPr>
          <w:rFonts w:ascii="Arial" w:hAnsi="Arial" w:cs="Arial"/>
        </w:rPr>
        <w:t>isease control</w:t>
      </w:r>
      <w:r w:rsidRPr="0051339A">
        <w:rPr>
          <w:rFonts w:ascii="Arial" w:hAnsi="Arial" w:cs="Arial"/>
          <w:lang w:eastAsia="ja-JP"/>
        </w:rPr>
        <w:t xml:space="preserve"> was </w:t>
      </w:r>
      <w:r w:rsidRPr="0051339A">
        <w:rPr>
          <w:rFonts w:ascii="Arial" w:hAnsi="Arial" w:cs="Arial"/>
        </w:rPr>
        <w:t xml:space="preserve">defined as CR, PR, or stable disease. </w:t>
      </w:r>
      <w:r w:rsidRPr="0051339A">
        <w:rPr>
          <w:rFonts w:ascii="Arial" w:hAnsi="Arial" w:cs="Arial"/>
          <w:lang w:eastAsia="ja-JP"/>
        </w:rPr>
        <w:t xml:space="preserve">Time to treatment failure (TTF) was </w:t>
      </w:r>
      <w:r w:rsidRPr="0051339A">
        <w:rPr>
          <w:rFonts w:ascii="Arial" w:hAnsi="Arial" w:cs="Arial"/>
        </w:rPr>
        <w:t xml:space="preserve">defined as the time from </w:t>
      </w:r>
      <w:r w:rsidRPr="0051339A">
        <w:rPr>
          <w:rFonts w:ascii="Arial" w:hAnsi="Arial" w:cs="Arial"/>
          <w:lang w:eastAsia="ja-JP"/>
        </w:rPr>
        <w:t>registration</w:t>
      </w:r>
      <w:r w:rsidRPr="0051339A">
        <w:rPr>
          <w:rFonts w:ascii="Arial" w:hAnsi="Arial" w:cs="Arial"/>
        </w:rPr>
        <w:t xml:space="preserve"> until</w:t>
      </w:r>
      <w:r w:rsidRPr="0051339A">
        <w:rPr>
          <w:rFonts w:ascii="Arial" w:hAnsi="Arial" w:cs="Arial"/>
          <w:lang w:eastAsia="ja-JP"/>
        </w:rPr>
        <w:t xml:space="preserve"> discontinuation of afatinib treatment, regardless of reasons such as disease progression, adverse event (AE), and death.</w:t>
      </w:r>
    </w:p>
    <w:p w14:paraId="3E7C1A38" w14:textId="77777777" w:rsidR="00024595" w:rsidRPr="0051339A" w:rsidRDefault="00024595" w:rsidP="0051339A">
      <w:pPr>
        <w:spacing w:after="0" w:line="360" w:lineRule="auto"/>
        <w:rPr>
          <w:rFonts w:ascii="Arial" w:hAnsi="Arial" w:cs="Arial"/>
        </w:rPr>
      </w:pPr>
    </w:p>
    <w:p w14:paraId="3A06B714" w14:textId="77777777" w:rsidR="00024595" w:rsidRPr="0051339A" w:rsidRDefault="00024595" w:rsidP="0051339A">
      <w:pPr>
        <w:spacing w:after="0" w:line="360" w:lineRule="auto"/>
        <w:rPr>
          <w:rFonts w:ascii="Arial" w:hAnsi="Arial" w:cs="Arial"/>
          <w:b/>
          <w:i/>
          <w:iCs/>
        </w:rPr>
      </w:pPr>
      <w:r w:rsidRPr="0051339A">
        <w:rPr>
          <w:rFonts w:ascii="Arial" w:hAnsi="Arial" w:cs="Arial"/>
          <w:b/>
          <w:i/>
          <w:iCs/>
        </w:rPr>
        <w:t>EGFR mutation detection</w:t>
      </w:r>
    </w:p>
    <w:p w14:paraId="2EAA40D9" w14:textId="728A9169" w:rsidR="00024595" w:rsidRPr="0051339A" w:rsidRDefault="00024595" w:rsidP="0051339A">
      <w:pPr>
        <w:spacing w:after="0" w:line="360" w:lineRule="auto"/>
        <w:rPr>
          <w:rFonts w:ascii="Arial" w:hAnsi="Arial" w:cs="Arial"/>
          <w:lang w:eastAsia="ja-JP"/>
        </w:rPr>
      </w:pPr>
      <w:r w:rsidRPr="0051339A">
        <w:rPr>
          <w:rFonts w:ascii="Arial" w:hAnsi="Arial" w:cs="Arial"/>
          <w:i/>
          <w:iCs/>
        </w:rPr>
        <w:t>EGFR</w:t>
      </w:r>
      <w:r w:rsidRPr="0051339A">
        <w:rPr>
          <w:rFonts w:ascii="Arial" w:hAnsi="Arial" w:cs="Arial"/>
        </w:rPr>
        <w:t xml:space="preserve"> mutation analysis was performed</w:t>
      </w:r>
      <w:r w:rsidRPr="0051339A">
        <w:rPr>
          <w:rFonts w:ascii="Arial" w:hAnsi="Arial" w:cs="Arial"/>
          <w:b/>
          <w:iCs/>
        </w:rPr>
        <w:t xml:space="preserve"> </w:t>
      </w:r>
      <w:r w:rsidRPr="0051339A">
        <w:rPr>
          <w:rFonts w:ascii="Arial" w:hAnsi="Arial" w:cs="Arial"/>
          <w:bCs/>
          <w:iCs/>
        </w:rPr>
        <w:t xml:space="preserve">on </w:t>
      </w:r>
      <w:r w:rsidRPr="0051339A">
        <w:rPr>
          <w:rFonts w:ascii="Arial" w:hAnsi="Arial" w:cs="Arial"/>
        </w:rPr>
        <w:t xml:space="preserve">DNA extracted from paraffin embedded tissue sections or cytological specimens. A definitive diagnosis of the presence or absence of activating </w:t>
      </w:r>
      <w:r w:rsidRPr="0051339A">
        <w:rPr>
          <w:rFonts w:ascii="Arial" w:hAnsi="Arial" w:cs="Arial"/>
          <w:i/>
          <w:iCs/>
        </w:rPr>
        <w:t xml:space="preserve">EGFR </w:t>
      </w:r>
      <w:r w:rsidRPr="0051339A">
        <w:rPr>
          <w:rFonts w:ascii="Arial" w:hAnsi="Arial" w:cs="Arial"/>
        </w:rPr>
        <w:t xml:space="preserve">mutations was made during the course of routine medical care using a test </w:t>
      </w:r>
      <w:r w:rsidRPr="0051339A">
        <w:rPr>
          <w:rFonts w:ascii="Arial" w:hAnsi="Arial" w:cs="Arial"/>
        </w:rPr>
        <w:lastRenderedPageBreak/>
        <w:t xml:space="preserve">covered by the patient’s health insurance, including </w:t>
      </w:r>
      <w:r w:rsidRPr="0051339A">
        <w:rPr>
          <w:rFonts w:ascii="Arial" w:hAnsi="Arial" w:cs="Arial"/>
          <w:lang w:eastAsia="ja-JP"/>
        </w:rPr>
        <w:t>high sensitivity detection methods such as the peptide nucleic acid-locked nucleic acid polymerase chain reaction clamp method.</w:t>
      </w:r>
    </w:p>
    <w:p w14:paraId="5486A2B7" w14:textId="77777777" w:rsidR="00024595" w:rsidRPr="0051339A" w:rsidRDefault="00024595" w:rsidP="0051339A">
      <w:pPr>
        <w:spacing w:after="0" w:line="360" w:lineRule="auto"/>
        <w:rPr>
          <w:rFonts w:ascii="Arial" w:hAnsi="Arial" w:cs="Arial"/>
          <w:lang w:eastAsia="ja-JP"/>
        </w:rPr>
      </w:pPr>
    </w:p>
    <w:p w14:paraId="4C1D372C" w14:textId="77777777" w:rsidR="00024595" w:rsidRPr="0051339A" w:rsidRDefault="00024595" w:rsidP="0051339A">
      <w:pPr>
        <w:spacing w:after="0" w:line="360" w:lineRule="auto"/>
        <w:rPr>
          <w:rFonts w:ascii="Arial" w:hAnsi="Arial" w:cs="Arial"/>
          <w:b/>
          <w:i/>
          <w:iCs/>
          <w:lang w:eastAsia="ja-JP"/>
        </w:rPr>
      </w:pPr>
      <w:r w:rsidRPr="0051339A">
        <w:rPr>
          <w:rFonts w:ascii="Arial" w:hAnsi="Arial" w:cs="Arial"/>
          <w:b/>
          <w:i/>
          <w:iCs/>
          <w:lang w:eastAsia="ja-JP"/>
        </w:rPr>
        <w:t>Statistical considerations</w:t>
      </w:r>
    </w:p>
    <w:p w14:paraId="17DA7405" w14:textId="3110BCC5" w:rsidR="00024595" w:rsidRDefault="00024595" w:rsidP="0051339A">
      <w:pPr>
        <w:spacing w:after="0" w:line="360" w:lineRule="auto"/>
        <w:rPr>
          <w:rFonts w:ascii="Arial" w:hAnsi="Arial" w:cs="Arial"/>
        </w:rPr>
      </w:pPr>
      <w:r w:rsidRPr="0051339A">
        <w:rPr>
          <w:rFonts w:ascii="Arial" w:hAnsi="Arial" w:cs="Arial"/>
        </w:rPr>
        <w:t>A sample size of 35 patients was required based on the assumption that an expected objective response rate (ORR) of &gt;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>70% would be clinically acceptable efficacy, and &lt;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 xml:space="preserve">45% would be unacceptable. For </w:t>
      </w:r>
      <w:proofErr w:type="gramStart"/>
      <w:r w:rsidRPr="0051339A">
        <w:rPr>
          <w:rFonts w:ascii="Arial" w:hAnsi="Arial" w:cs="Arial"/>
        </w:rPr>
        <w:t>an α</w:t>
      </w:r>
      <w:proofErr w:type="gramEnd"/>
      <w:r w:rsidRPr="0051339A">
        <w:rPr>
          <w:rFonts w:ascii="Arial" w:hAnsi="Arial" w:cs="Arial"/>
        </w:rPr>
        <w:t xml:space="preserve"> error = 0.05, β error = 0.1 and one-sided tests, 33 patients were required. Allowing approximately 10% loss of patients in follow-up, a total of 35 patients were planned to be enrolled. Afatinib administered at &lt;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>20 mg was considered to be a deviation from the protocol. PFS was censored in patients treated with &lt;</w:t>
      </w:r>
      <w:r w:rsidR="00F0251E" w:rsidRPr="0051339A">
        <w:rPr>
          <w:rFonts w:ascii="Arial" w:hAnsi="Arial" w:cs="Arial"/>
        </w:rPr>
        <w:t xml:space="preserve"> </w:t>
      </w:r>
      <w:r w:rsidRPr="0051339A">
        <w:rPr>
          <w:rFonts w:ascii="Arial" w:hAnsi="Arial" w:cs="Arial"/>
        </w:rPr>
        <w:t xml:space="preserve">20 mg afatinib. </w:t>
      </w:r>
    </w:p>
    <w:p w14:paraId="6A26A0B0" w14:textId="50B801D8" w:rsidR="0051339A" w:rsidRDefault="0051339A" w:rsidP="0051339A">
      <w:pPr>
        <w:spacing w:after="0" w:line="360" w:lineRule="auto"/>
        <w:rPr>
          <w:rFonts w:ascii="Arial" w:hAnsi="Arial" w:cs="Arial"/>
        </w:rPr>
      </w:pPr>
    </w:p>
    <w:p w14:paraId="1CDB7C15" w14:textId="24EB42E3" w:rsidR="0051339A" w:rsidRPr="0051339A" w:rsidRDefault="0051339A" w:rsidP="0051339A">
      <w:pPr>
        <w:spacing w:after="0" w:line="360" w:lineRule="auto"/>
        <w:rPr>
          <w:rFonts w:ascii="Arial" w:hAnsi="Arial" w:cs="Arial"/>
          <w:b/>
        </w:rPr>
      </w:pPr>
      <w:r w:rsidRPr="0051339A">
        <w:rPr>
          <w:rFonts w:ascii="Arial" w:hAnsi="Arial" w:cs="Arial"/>
          <w:b/>
        </w:rPr>
        <w:t>Reference</w:t>
      </w:r>
    </w:p>
    <w:p w14:paraId="2B33F8F6" w14:textId="58E9081B" w:rsidR="0051339A" w:rsidRPr="0051339A" w:rsidRDefault="0051339A" w:rsidP="0051339A">
      <w:pPr>
        <w:spacing w:line="360" w:lineRule="auto"/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</w:r>
      <w:r w:rsidRPr="0051339A">
        <w:rPr>
          <w:rFonts w:ascii="Arial" w:hAnsi="Arial" w:cs="Arial"/>
        </w:rPr>
        <w:t>The Japan Lung Cancer Society. General rule for clinical and pathological record of lung cancer, 7th edition. Kanehara &amp; Co, Tokyo, Japan; 2010.</w:t>
      </w:r>
    </w:p>
    <w:p w14:paraId="3E2BA87D" w14:textId="77777777" w:rsidR="0051339A" w:rsidRPr="0051339A" w:rsidRDefault="0051339A" w:rsidP="0051339A">
      <w:pPr>
        <w:spacing w:after="0" w:line="360" w:lineRule="auto"/>
        <w:rPr>
          <w:rFonts w:ascii="Arial" w:hAnsi="Arial" w:cs="Arial"/>
        </w:rPr>
      </w:pPr>
    </w:p>
    <w:p w14:paraId="32A19FE9" w14:textId="77777777" w:rsidR="00024595" w:rsidRPr="0051339A" w:rsidRDefault="00024595" w:rsidP="0051339A">
      <w:pPr>
        <w:spacing w:line="360" w:lineRule="auto"/>
        <w:rPr>
          <w:rFonts w:ascii="Arial" w:hAnsi="Arial" w:cs="Arial"/>
        </w:rPr>
      </w:pPr>
    </w:p>
    <w:p w14:paraId="7D807B0B" w14:textId="77777777" w:rsidR="00024595" w:rsidRPr="0051339A" w:rsidRDefault="00024595" w:rsidP="0051339A">
      <w:pPr>
        <w:spacing w:line="360" w:lineRule="auto"/>
        <w:rPr>
          <w:rFonts w:ascii="Arial" w:hAnsi="Arial" w:cs="Arial"/>
        </w:rPr>
      </w:pPr>
    </w:p>
    <w:p w14:paraId="44FD4730" w14:textId="77777777" w:rsidR="00024595" w:rsidRPr="0051339A" w:rsidRDefault="00024595" w:rsidP="0051339A">
      <w:pPr>
        <w:spacing w:after="0" w:line="360" w:lineRule="auto"/>
        <w:rPr>
          <w:rFonts w:ascii="Arial" w:hAnsi="Arial" w:cs="Arial"/>
          <w:b/>
          <w:bCs/>
        </w:rPr>
      </w:pPr>
    </w:p>
    <w:p w14:paraId="43A0CF62" w14:textId="77777777" w:rsidR="00024595" w:rsidRPr="0051339A" w:rsidRDefault="00024595" w:rsidP="0051339A">
      <w:pPr>
        <w:spacing w:line="360" w:lineRule="auto"/>
        <w:rPr>
          <w:rFonts w:ascii="Arial" w:hAnsi="Arial" w:cs="Arial"/>
          <w:b/>
          <w:bCs/>
        </w:rPr>
      </w:pPr>
      <w:r w:rsidRPr="0051339A">
        <w:rPr>
          <w:rFonts w:ascii="Arial" w:hAnsi="Arial" w:cs="Arial"/>
          <w:b/>
          <w:bCs/>
        </w:rPr>
        <w:br w:type="page"/>
      </w:r>
    </w:p>
    <w:p w14:paraId="6B352D6D" w14:textId="47C8AA71" w:rsidR="00F0251E" w:rsidRDefault="00024595" w:rsidP="0051339A">
      <w:pPr>
        <w:spacing w:line="360" w:lineRule="auto"/>
        <w:rPr>
          <w:rFonts w:ascii="Arial" w:hAnsi="Arial" w:cs="Arial"/>
          <w:b/>
          <w:bCs/>
        </w:rPr>
      </w:pPr>
      <w:r w:rsidRPr="0051339A">
        <w:rPr>
          <w:rFonts w:ascii="Arial" w:hAnsi="Arial" w:cs="Arial"/>
          <w:b/>
          <w:bCs/>
        </w:rPr>
        <w:lastRenderedPageBreak/>
        <w:t>Supplementary Fig</w:t>
      </w:r>
      <w:r w:rsidR="00F0251E" w:rsidRPr="0051339A">
        <w:rPr>
          <w:rFonts w:ascii="Arial" w:hAnsi="Arial" w:cs="Arial"/>
          <w:b/>
          <w:bCs/>
        </w:rPr>
        <w:t>ure</w:t>
      </w:r>
      <w:r w:rsidRPr="0051339A">
        <w:rPr>
          <w:rFonts w:ascii="Arial" w:hAnsi="Arial" w:cs="Arial"/>
          <w:b/>
          <w:bCs/>
        </w:rPr>
        <w:t xml:space="preserve"> 1. Patient </w:t>
      </w:r>
      <w:r w:rsidR="00F0251E" w:rsidRPr="0051339A">
        <w:rPr>
          <w:rFonts w:ascii="Arial" w:hAnsi="Arial" w:cs="Arial"/>
          <w:b/>
          <w:bCs/>
        </w:rPr>
        <w:t>Disposition.</w:t>
      </w:r>
    </w:p>
    <w:p w14:paraId="783F7E13" w14:textId="2B05236E" w:rsidR="00B61407" w:rsidRDefault="00B61407" w:rsidP="0051339A">
      <w:p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en-GB"/>
        </w:rPr>
        <w:drawing>
          <wp:inline distT="0" distB="0" distL="0" distR="0" wp14:anchorId="31D57E66" wp14:editId="400F6E3E">
            <wp:extent cx="5730875" cy="7061835"/>
            <wp:effectExtent l="0" t="0" r="317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706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7D6DA" w14:textId="77777777" w:rsidR="00422B98" w:rsidRPr="0051339A" w:rsidRDefault="00422B98" w:rsidP="00422B98">
      <w:pPr>
        <w:spacing w:line="360" w:lineRule="auto"/>
        <w:rPr>
          <w:rFonts w:ascii="Arial" w:eastAsia="MS PGothic" w:hAnsi="Arial" w:cs="Arial"/>
          <w:lang w:eastAsia="ja-JP"/>
        </w:rPr>
      </w:pPr>
      <w:r>
        <w:rPr>
          <w:rFonts w:ascii="Arial" w:hAnsi="Arial" w:cs="Arial"/>
          <w:bCs/>
        </w:rPr>
        <w:t xml:space="preserve">Abbreviations: </w:t>
      </w:r>
      <w:r w:rsidRPr="0051339A">
        <w:rPr>
          <w:rFonts w:ascii="Arial" w:hAnsi="Arial" w:cs="Arial"/>
        </w:rPr>
        <w:t xml:space="preserve">AE = adverse event; FAS = full analysis set; PD = progressive disease; SAS = safety analysis set. </w:t>
      </w:r>
    </w:p>
    <w:p w14:paraId="0B40BF5E" w14:textId="5E24770B" w:rsidR="00024595" w:rsidRPr="0051339A" w:rsidRDefault="00182770" w:rsidP="0051339A">
      <w:pPr>
        <w:spacing w:line="360" w:lineRule="auto"/>
        <w:rPr>
          <w:rFonts w:ascii="Arial" w:eastAsia="MS PGothic" w:hAnsi="Arial" w:cs="Arial"/>
          <w:lang w:eastAsia="ja-JP"/>
        </w:rPr>
      </w:pPr>
      <w:proofErr w:type="spellStart"/>
      <w:proofErr w:type="gramStart"/>
      <w:r w:rsidRPr="0051339A">
        <w:rPr>
          <w:rFonts w:ascii="Arial" w:hAnsi="Arial" w:cs="Arial"/>
          <w:vertAlign w:val="superscript"/>
        </w:rPr>
        <w:t>a</w:t>
      </w:r>
      <w:r w:rsidRPr="0051339A">
        <w:rPr>
          <w:rFonts w:ascii="Arial" w:hAnsi="Arial" w:cs="Arial"/>
        </w:rPr>
        <w:t>Currently</w:t>
      </w:r>
      <w:proofErr w:type="spellEnd"/>
      <w:proofErr w:type="gramEnd"/>
      <w:r w:rsidRPr="0051339A">
        <w:rPr>
          <w:rFonts w:ascii="Arial" w:hAnsi="Arial" w:cs="Arial"/>
        </w:rPr>
        <w:t xml:space="preserve"> on PD (Fig</w:t>
      </w:r>
      <w:r w:rsidR="00F0251E" w:rsidRPr="0051339A">
        <w:rPr>
          <w:rFonts w:ascii="Arial" w:hAnsi="Arial" w:cs="Arial"/>
        </w:rPr>
        <w:t>ure</w:t>
      </w:r>
      <w:r w:rsidRPr="0051339A">
        <w:rPr>
          <w:rFonts w:ascii="Arial" w:hAnsi="Arial" w:cs="Arial"/>
        </w:rPr>
        <w:t xml:space="preserve"> 2, Patient 23); </w:t>
      </w:r>
      <w:proofErr w:type="spellStart"/>
      <w:r w:rsidRPr="0051339A">
        <w:rPr>
          <w:rFonts w:ascii="Arial" w:eastAsia="MS PGothic" w:hAnsi="Arial" w:cs="Arial"/>
          <w:vertAlign w:val="superscript"/>
          <w:lang w:eastAsia="ja-JP"/>
        </w:rPr>
        <w:t>b</w:t>
      </w:r>
      <w:r w:rsidR="00F0251E" w:rsidRPr="0051339A">
        <w:rPr>
          <w:rFonts w:ascii="Arial" w:eastAsia="MS PGothic" w:hAnsi="Arial" w:cs="Arial"/>
          <w:lang w:eastAsia="ja-JP"/>
        </w:rPr>
        <w:t>P</w:t>
      </w:r>
      <w:r w:rsidRPr="0051339A">
        <w:rPr>
          <w:rFonts w:ascii="Arial" w:eastAsia="MS PGothic" w:hAnsi="Arial" w:cs="Arial"/>
          <w:lang w:eastAsia="ja-JP"/>
        </w:rPr>
        <w:t>rotocol</w:t>
      </w:r>
      <w:proofErr w:type="spellEnd"/>
      <w:r w:rsidRPr="0051339A">
        <w:rPr>
          <w:rFonts w:ascii="Arial" w:eastAsia="MS PGothic" w:hAnsi="Arial" w:cs="Arial"/>
          <w:lang w:eastAsia="ja-JP"/>
        </w:rPr>
        <w:t xml:space="preserve"> violation. </w:t>
      </w:r>
    </w:p>
    <w:p w14:paraId="10D11056" w14:textId="77777777" w:rsidR="00024595" w:rsidRPr="0051339A" w:rsidRDefault="00024595" w:rsidP="0051339A">
      <w:pPr>
        <w:spacing w:line="360" w:lineRule="auto"/>
        <w:rPr>
          <w:rFonts w:ascii="Arial" w:hAnsi="Arial" w:cs="Arial"/>
          <w:highlight w:val="yellow"/>
        </w:rPr>
      </w:pPr>
      <w:r w:rsidRPr="0051339A">
        <w:rPr>
          <w:rFonts w:ascii="Arial" w:hAnsi="Arial" w:cs="Arial"/>
          <w:highlight w:val="yellow"/>
        </w:rPr>
        <w:br w:type="page"/>
      </w:r>
    </w:p>
    <w:p w14:paraId="64C2F917" w14:textId="544F9271" w:rsidR="0051339A" w:rsidRDefault="00024595" w:rsidP="0051339A">
      <w:pPr>
        <w:spacing w:after="0" w:line="360" w:lineRule="auto"/>
        <w:rPr>
          <w:rFonts w:ascii="Arial" w:hAnsi="Arial" w:cs="Arial"/>
          <w:b/>
        </w:rPr>
      </w:pPr>
      <w:r w:rsidRPr="0051339A">
        <w:rPr>
          <w:rFonts w:ascii="Arial" w:hAnsi="Arial" w:cs="Arial"/>
          <w:b/>
          <w:bCs/>
        </w:rPr>
        <w:lastRenderedPageBreak/>
        <w:t>Supplementary Fig</w:t>
      </w:r>
      <w:r w:rsidR="00F0251E" w:rsidRPr="0051339A">
        <w:rPr>
          <w:rFonts w:ascii="Arial" w:hAnsi="Arial" w:cs="Arial"/>
          <w:b/>
          <w:bCs/>
        </w:rPr>
        <w:t>ure</w:t>
      </w:r>
      <w:r w:rsidRPr="0051339A">
        <w:rPr>
          <w:rFonts w:ascii="Arial" w:hAnsi="Arial" w:cs="Arial"/>
          <w:b/>
          <w:bCs/>
        </w:rPr>
        <w:t xml:space="preserve"> 2. Individual </w:t>
      </w:r>
      <w:r w:rsidR="00F0251E" w:rsidRPr="0051339A">
        <w:rPr>
          <w:rFonts w:ascii="Arial" w:hAnsi="Arial" w:cs="Arial"/>
          <w:b/>
          <w:bCs/>
        </w:rPr>
        <w:t xml:space="preserve">Patient Best Overall Response </w:t>
      </w:r>
      <w:r w:rsidRPr="0051339A">
        <w:rPr>
          <w:rFonts w:ascii="Arial" w:hAnsi="Arial" w:cs="Arial"/>
          <w:b/>
          <w:bCs/>
        </w:rPr>
        <w:t xml:space="preserve">in the </w:t>
      </w:r>
      <w:r w:rsidR="00F0251E" w:rsidRPr="0051339A">
        <w:rPr>
          <w:rFonts w:ascii="Arial" w:hAnsi="Arial" w:cs="Arial"/>
          <w:b/>
          <w:bCs/>
        </w:rPr>
        <w:t xml:space="preserve">Safety Analysis Set </w:t>
      </w:r>
      <w:r w:rsidRPr="0051339A">
        <w:rPr>
          <w:rFonts w:ascii="Arial" w:hAnsi="Arial" w:cs="Arial"/>
          <w:b/>
          <w:bCs/>
        </w:rPr>
        <w:t>(n = 38).</w:t>
      </w:r>
      <w:r w:rsidRPr="0051339A">
        <w:rPr>
          <w:rFonts w:ascii="Arial" w:hAnsi="Arial" w:cs="Arial"/>
          <w:b/>
        </w:rPr>
        <w:t xml:space="preserve"> Shown is a </w:t>
      </w:r>
      <w:r w:rsidR="00F0251E" w:rsidRPr="0051339A">
        <w:rPr>
          <w:rFonts w:ascii="Arial" w:hAnsi="Arial" w:cs="Arial"/>
          <w:b/>
        </w:rPr>
        <w:t xml:space="preserve">Waterfall Plot </w:t>
      </w:r>
      <w:r w:rsidRPr="0051339A">
        <w:rPr>
          <w:rFonts w:ascii="Arial" w:hAnsi="Arial" w:cs="Arial"/>
          <w:b/>
        </w:rPr>
        <w:t xml:space="preserve">of </w:t>
      </w:r>
      <w:r w:rsidR="00F0251E" w:rsidRPr="0051339A">
        <w:rPr>
          <w:rFonts w:ascii="Arial" w:hAnsi="Arial" w:cs="Arial"/>
          <w:b/>
        </w:rPr>
        <w:t xml:space="preserve">Maximum Tumour Reduction </w:t>
      </w:r>
      <w:proofErr w:type="gramStart"/>
      <w:r w:rsidR="00F0251E" w:rsidRPr="0051339A">
        <w:rPr>
          <w:rFonts w:ascii="Arial" w:hAnsi="Arial" w:cs="Arial"/>
          <w:b/>
        </w:rPr>
        <w:t>From</w:t>
      </w:r>
      <w:proofErr w:type="gramEnd"/>
      <w:r w:rsidR="00F0251E" w:rsidRPr="0051339A">
        <w:rPr>
          <w:rFonts w:ascii="Arial" w:hAnsi="Arial" w:cs="Arial"/>
          <w:b/>
        </w:rPr>
        <w:t xml:space="preserve"> Baseline Assessed According</w:t>
      </w:r>
      <w:r w:rsidRPr="0051339A">
        <w:rPr>
          <w:rFonts w:ascii="Arial" w:hAnsi="Arial" w:cs="Arial"/>
          <w:b/>
        </w:rPr>
        <w:t xml:space="preserve"> RECIST v1.1 </w:t>
      </w:r>
      <w:r w:rsidR="00F0251E" w:rsidRPr="0051339A">
        <w:rPr>
          <w:rFonts w:ascii="Arial" w:hAnsi="Arial" w:cs="Arial"/>
          <w:b/>
        </w:rPr>
        <w:t>C</w:t>
      </w:r>
      <w:r w:rsidRPr="0051339A">
        <w:rPr>
          <w:rFonts w:ascii="Arial" w:hAnsi="Arial" w:cs="Arial"/>
          <w:b/>
        </w:rPr>
        <w:t xml:space="preserve">riteria in 36 </w:t>
      </w:r>
      <w:r w:rsidR="00F0251E" w:rsidRPr="0051339A">
        <w:rPr>
          <w:rFonts w:ascii="Arial" w:hAnsi="Arial" w:cs="Arial"/>
          <w:b/>
        </w:rPr>
        <w:t>P</w:t>
      </w:r>
      <w:r w:rsidRPr="0051339A">
        <w:rPr>
          <w:rFonts w:ascii="Arial" w:hAnsi="Arial" w:cs="Arial"/>
          <w:b/>
        </w:rPr>
        <w:t xml:space="preserve">atients. Confirmation of </w:t>
      </w:r>
      <w:r w:rsidR="00F0251E" w:rsidRPr="0051339A">
        <w:rPr>
          <w:rFonts w:ascii="Arial" w:hAnsi="Arial" w:cs="Arial"/>
          <w:b/>
        </w:rPr>
        <w:t xml:space="preserve">Response Could </w:t>
      </w:r>
      <w:r w:rsidRPr="0051339A">
        <w:rPr>
          <w:rFonts w:ascii="Arial" w:hAnsi="Arial" w:cs="Arial"/>
          <w:b/>
        </w:rPr>
        <w:t xml:space="preserve">not be </w:t>
      </w:r>
      <w:proofErr w:type="gramStart"/>
      <w:r w:rsidR="00F0251E" w:rsidRPr="0051339A">
        <w:rPr>
          <w:rFonts w:ascii="Arial" w:hAnsi="Arial" w:cs="Arial"/>
          <w:b/>
        </w:rPr>
        <w:t>O</w:t>
      </w:r>
      <w:r w:rsidRPr="0051339A">
        <w:rPr>
          <w:rFonts w:ascii="Arial" w:hAnsi="Arial" w:cs="Arial"/>
          <w:b/>
        </w:rPr>
        <w:t>btained</w:t>
      </w:r>
      <w:proofErr w:type="gramEnd"/>
      <w:r w:rsidRPr="0051339A">
        <w:rPr>
          <w:rFonts w:ascii="Arial" w:hAnsi="Arial" w:cs="Arial"/>
          <w:b/>
        </w:rPr>
        <w:t xml:space="preserve"> for </w:t>
      </w:r>
      <w:r w:rsidR="00F0251E" w:rsidRPr="0051339A">
        <w:rPr>
          <w:rFonts w:ascii="Arial" w:hAnsi="Arial" w:cs="Arial"/>
          <w:b/>
        </w:rPr>
        <w:t>2</w:t>
      </w:r>
      <w:r w:rsidRPr="0051339A">
        <w:rPr>
          <w:rFonts w:ascii="Arial" w:hAnsi="Arial" w:cs="Arial"/>
          <w:b/>
        </w:rPr>
        <w:t xml:space="preserve"> </w:t>
      </w:r>
      <w:r w:rsidR="00F0251E" w:rsidRPr="0051339A">
        <w:rPr>
          <w:rFonts w:ascii="Arial" w:hAnsi="Arial" w:cs="Arial"/>
          <w:b/>
        </w:rPr>
        <w:t>N</w:t>
      </w:r>
      <w:r w:rsidRPr="0051339A">
        <w:rPr>
          <w:rFonts w:ascii="Arial" w:hAnsi="Arial" w:cs="Arial"/>
          <w:b/>
        </w:rPr>
        <w:t xml:space="preserve">on-evaluable </w:t>
      </w:r>
      <w:r w:rsidR="00F0251E" w:rsidRPr="0051339A">
        <w:rPr>
          <w:rFonts w:ascii="Arial" w:hAnsi="Arial" w:cs="Arial"/>
          <w:b/>
        </w:rPr>
        <w:t>P</w:t>
      </w:r>
      <w:r w:rsidRPr="0051339A">
        <w:rPr>
          <w:rFonts w:ascii="Arial" w:hAnsi="Arial" w:cs="Arial"/>
          <w:b/>
        </w:rPr>
        <w:t xml:space="preserve">atients. </w:t>
      </w:r>
    </w:p>
    <w:p w14:paraId="0BB1D79D" w14:textId="51ACE2F3" w:rsidR="00B61407" w:rsidRPr="0051339A" w:rsidRDefault="00B61407" w:rsidP="0051339A">
      <w:pPr>
        <w:spacing w:after="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n-GB"/>
        </w:rPr>
        <w:drawing>
          <wp:inline distT="0" distB="0" distL="0" distR="0" wp14:anchorId="02B64F5C" wp14:editId="41E72F28">
            <wp:extent cx="5572093" cy="3539905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801" cy="3553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C69B7" w14:textId="65C9BFF2" w:rsidR="00024595" w:rsidRPr="0051339A" w:rsidRDefault="00422B98" w:rsidP="0051339A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Abbreviation: </w:t>
      </w:r>
      <w:r w:rsidR="00024595" w:rsidRPr="0051339A">
        <w:rPr>
          <w:rFonts w:ascii="Arial" w:hAnsi="Arial" w:cs="Arial"/>
        </w:rPr>
        <w:t>RECIST</w:t>
      </w:r>
      <w:r w:rsidR="00F0251E" w:rsidRPr="0051339A">
        <w:rPr>
          <w:rFonts w:ascii="Arial" w:hAnsi="Arial" w:cs="Arial"/>
        </w:rPr>
        <w:t xml:space="preserve"> = </w:t>
      </w:r>
      <w:r w:rsidR="00024595" w:rsidRPr="0051339A">
        <w:rPr>
          <w:rFonts w:ascii="Arial" w:hAnsi="Arial" w:cs="Arial"/>
        </w:rPr>
        <w:t>Response Evaluation Criteria in Solid Tumours.</w:t>
      </w:r>
    </w:p>
    <w:p w14:paraId="200F96F9" w14:textId="29009296" w:rsidR="00024595" w:rsidRPr="0051339A" w:rsidRDefault="00024595" w:rsidP="0051339A">
      <w:pPr>
        <w:spacing w:line="360" w:lineRule="auto"/>
        <w:rPr>
          <w:rFonts w:ascii="Arial" w:hAnsi="Arial" w:cs="Arial"/>
          <w:highlight w:val="yellow"/>
        </w:rPr>
      </w:pPr>
      <w:r w:rsidRPr="0051339A">
        <w:rPr>
          <w:rFonts w:ascii="Arial" w:hAnsi="Arial" w:cs="Arial"/>
          <w:highlight w:val="yellow"/>
        </w:rPr>
        <w:t xml:space="preserve"> </w:t>
      </w:r>
      <w:r w:rsidRPr="0051339A">
        <w:rPr>
          <w:rFonts w:ascii="Arial" w:hAnsi="Arial" w:cs="Arial"/>
          <w:highlight w:val="yellow"/>
        </w:rPr>
        <w:br w:type="page"/>
      </w:r>
    </w:p>
    <w:p w14:paraId="63F64FCD" w14:textId="5220DFC8" w:rsidR="0051339A" w:rsidRDefault="00024595" w:rsidP="0051339A">
      <w:pPr>
        <w:spacing w:after="0" w:line="360" w:lineRule="auto"/>
        <w:rPr>
          <w:rFonts w:ascii="Arial" w:hAnsi="Arial" w:cs="Arial"/>
          <w:b/>
        </w:rPr>
      </w:pPr>
      <w:r w:rsidRPr="0051339A">
        <w:rPr>
          <w:rFonts w:ascii="Arial" w:hAnsi="Arial" w:cs="Arial"/>
          <w:b/>
          <w:bCs/>
        </w:rPr>
        <w:lastRenderedPageBreak/>
        <w:t>Supplementary Fig</w:t>
      </w:r>
      <w:r w:rsidR="00F0251E" w:rsidRPr="0051339A">
        <w:rPr>
          <w:rFonts w:ascii="Arial" w:hAnsi="Arial" w:cs="Arial"/>
          <w:b/>
          <w:bCs/>
        </w:rPr>
        <w:t>ure</w:t>
      </w:r>
      <w:r w:rsidRPr="0051339A">
        <w:rPr>
          <w:rFonts w:ascii="Arial" w:hAnsi="Arial" w:cs="Arial"/>
          <w:b/>
          <w:bCs/>
        </w:rPr>
        <w:t xml:space="preserve"> 3. Kaplan–Meier </w:t>
      </w:r>
      <w:r w:rsidR="00F0251E" w:rsidRPr="0051339A">
        <w:rPr>
          <w:rFonts w:ascii="Arial" w:hAnsi="Arial" w:cs="Arial"/>
          <w:b/>
          <w:bCs/>
        </w:rPr>
        <w:t xml:space="preserve">Survival Analysis </w:t>
      </w:r>
      <w:r w:rsidRPr="0051339A">
        <w:rPr>
          <w:rFonts w:ascii="Arial" w:hAnsi="Arial" w:cs="Arial"/>
          <w:b/>
          <w:bCs/>
        </w:rPr>
        <w:t xml:space="preserve">by </w:t>
      </w:r>
      <w:r w:rsidRPr="0051339A">
        <w:rPr>
          <w:rFonts w:ascii="Arial" w:hAnsi="Arial" w:cs="Arial"/>
          <w:b/>
          <w:bCs/>
          <w:i/>
          <w:iCs/>
        </w:rPr>
        <w:t>EGFR</w:t>
      </w:r>
      <w:r w:rsidRPr="0051339A">
        <w:rPr>
          <w:rFonts w:ascii="Arial" w:hAnsi="Arial" w:cs="Arial"/>
          <w:b/>
          <w:bCs/>
        </w:rPr>
        <w:t xml:space="preserve"> </w:t>
      </w:r>
      <w:r w:rsidR="00F0251E" w:rsidRPr="0051339A">
        <w:rPr>
          <w:rFonts w:ascii="Arial" w:hAnsi="Arial" w:cs="Arial"/>
          <w:b/>
          <w:bCs/>
        </w:rPr>
        <w:t>M</w:t>
      </w:r>
      <w:r w:rsidRPr="0051339A">
        <w:rPr>
          <w:rFonts w:ascii="Arial" w:hAnsi="Arial" w:cs="Arial"/>
          <w:b/>
          <w:bCs/>
        </w:rPr>
        <w:t xml:space="preserve">utation </w:t>
      </w:r>
      <w:r w:rsidR="00F0251E" w:rsidRPr="0051339A">
        <w:rPr>
          <w:rFonts w:ascii="Arial" w:hAnsi="Arial" w:cs="Arial"/>
          <w:b/>
          <w:bCs/>
        </w:rPr>
        <w:t>T</w:t>
      </w:r>
      <w:r w:rsidRPr="0051339A">
        <w:rPr>
          <w:rFonts w:ascii="Arial" w:hAnsi="Arial" w:cs="Arial"/>
          <w:b/>
          <w:bCs/>
        </w:rPr>
        <w:t xml:space="preserve">ype in the </w:t>
      </w:r>
      <w:r w:rsidR="00F0251E" w:rsidRPr="0051339A">
        <w:rPr>
          <w:rFonts w:ascii="Arial" w:hAnsi="Arial" w:cs="Arial"/>
          <w:b/>
          <w:bCs/>
        </w:rPr>
        <w:t xml:space="preserve">Full Analysis Set </w:t>
      </w:r>
      <w:r w:rsidRPr="0051339A">
        <w:rPr>
          <w:rFonts w:ascii="Arial" w:hAnsi="Arial" w:cs="Arial"/>
          <w:b/>
          <w:bCs/>
        </w:rPr>
        <w:t>(n = 37).</w:t>
      </w:r>
      <w:r w:rsidRPr="0051339A">
        <w:rPr>
          <w:rFonts w:ascii="Arial" w:hAnsi="Arial" w:cs="Arial"/>
          <w:b/>
        </w:rPr>
        <w:t xml:space="preserve"> (A) Progression-free </w:t>
      </w:r>
      <w:r w:rsidR="00F0251E" w:rsidRPr="0051339A">
        <w:rPr>
          <w:rFonts w:ascii="Arial" w:hAnsi="Arial" w:cs="Arial"/>
          <w:b/>
        </w:rPr>
        <w:t>S</w:t>
      </w:r>
      <w:r w:rsidRPr="0051339A">
        <w:rPr>
          <w:rFonts w:ascii="Arial" w:hAnsi="Arial" w:cs="Arial"/>
          <w:b/>
        </w:rPr>
        <w:t xml:space="preserve">urvival (PFS). (B) Overall </w:t>
      </w:r>
      <w:r w:rsidR="00F0251E" w:rsidRPr="0051339A">
        <w:rPr>
          <w:rFonts w:ascii="Arial" w:hAnsi="Arial" w:cs="Arial"/>
          <w:b/>
        </w:rPr>
        <w:t>S</w:t>
      </w:r>
      <w:r w:rsidRPr="0051339A">
        <w:rPr>
          <w:rFonts w:ascii="Arial" w:hAnsi="Arial" w:cs="Arial"/>
          <w:b/>
        </w:rPr>
        <w:t xml:space="preserve">urvival (OS). (C) Time to </w:t>
      </w:r>
      <w:r w:rsidR="00F0251E" w:rsidRPr="0051339A">
        <w:rPr>
          <w:rFonts w:ascii="Arial" w:hAnsi="Arial" w:cs="Arial"/>
          <w:b/>
        </w:rPr>
        <w:t xml:space="preserve">Treatment Failure </w:t>
      </w:r>
      <w:r w:rsidRPr="0051339A">
        <w:rPr>
          <w:rFonts w:ascii="Arial" w:hAnsi="Arial" w:cs="Arial"/>
          <w:b/>
        </w:rPr>
        <w:t xml:space="preserve">(TTF). </w:t>
      </w:r>
    </w:p>
    <w:p w14:paraId="5235D7AB" w14:textId="3CBD2578" w:rsidR="00B61407" w:rsidRPr="0051339A" w:rsidRDefault="00DA6D7A" w:rsidP="0051339A">
      <w:pPr>
        <w:spacing w:after="0" w:line="360" w:lineRule="auto"/>
        <w:rPr>
          <w:rFonts w:ascii="Arial" w:hAnsi="Arial" w:cs="Arial"/>
          <w:b/>
        </w:rPr>
      </w:pPr>
      <w:bookmarkStart w:id="0" w:name="_GoBack"/>
      <w:r>
        <w:rPr>
          <w:rFonts w:ascii="Arial" w:hAnsi="Arial" w:cs="Arial"/>
          <w:b/>
          <w:noProof/>
          <w:lang w:eastAsia="en-GB"/>
        </w:rPr>
        <w:drawing>
          <wp:inline distT="0" distB="0" distL="0" distR="0" wp14:anchorId="0D01AD7A" wp14:editId="2410643C">
            <wp:extent cx="4522855" cy="7713553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5097" cy="7734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76BD3D7" w14:textId="485E122C" w:rsidR="00024595" w:rsidRPr="0051339A" w:rsidRDefault="00422B98" w:rsidP="00422B98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Abbreviations: </w:t>
      </w:r>
      <w:r w:rsidR="00024595" w:rsidRPr="0051339A">
        <w:rPr>
          <w:rFonts w:ascii="Arial" w:hAnsi="Arial" w:cs="Arial"/>
        </w:rPr>
        <w:fldChar w:fldCharType="begin"/>
      </w:r>
      <w:r w:rsidR="00024595" w:rsidRPr="0051339A">
        <w:rPr>
          <w:rFonts w:ascii="Arial" w:hAnsi="Arial" w:cs="Arial"/>
        </w:rPr>
        <w:instrText xml:space="preserve"> ADDIN </w:instrText>
      </w:r>
      <w:r w:rsidR="00024595" w:rsidRPr="0051339A">
        <w:rPr>
          <w:rFonts w:ascii="Arial" w:hAnsi="Arial" w:cs="Arial"/>
        </w:rPr>
        <w:fldChar w:fldCharType="end"/>
      </w:r>
      <w:r w:rsidR="00024595" w:rsidRPr="0051339A">
        <w:rPr>
          <w:rFonts w:ascii="Arial" w:hAnsi="Arial" w:cs="Arial"/>
        </w:rPr>
        <w:t>CI</w:t>
      </w:r>
      <w:r w:rsidR="00F0251E" w:rsidRPr="0051339A">
        <w:rPr>
          <w:rFonts w:ascii="Arial" w:hAnsi="Arial" w:cs="Arial"/>
        </w:rPr>
        <w:t xml:space="preserve"> =</w:t>
      </w:r>
      <w:r w:rsidR="00024595" w:rsidRPr="0051339A">
        <w:rPr>
          <w:rFonts w:ascii="Arial" w:hAnsi="Arial" w:cs="Arial"/>
        </w:rPr>
        <w:t xml:space="preserve"> confidence interval; EGFR</w:t>
      </w:r>
      <w:r w:rsidR="00F0251E" w:rsidRPr="0051339A">
        <w:rPr>
          <w:rFonts w:ascii="Arial" w:hAnsi="Arial" w:cs="Arial"/>
        </w:rPr>
        <w:t xml:space="preserve"> =</w:t>
      </w:r>
      <w:r w:rsidR="00024595" w:rsidRPr="0051339A">
        <w:rPr>
          <w:rFonts w:ascii="Arial" w:hAnsi="Arial" w:cs="Arial"/>
        </w:rPr>
        <w:t xml:space="preserve"> epidermal growth factor; NR</w:t>
      </w:r>
      <w:r w:rsidR="00F0251E" w:rsidRPr="0051339A">
        <w:rPr>
          <w:rFonts w:ascii="Arial" w:hAnsi="Arial" w:cs="Arial"/>
        </w:rPr>
        <w:t xml:space="preserve"> =</w:t>
      </w:r>
      <w:r w:rsidR="00024595" w:rsidRPr="0051339A">
        <w:rPr>
          <w:rFonts w:ascii="Arial" w:hAnsi="Arial" w:cs="Arial"/>
        </w:rPr>
        <w:t xml:space="preserve"> not reached.</w:t>
      </w:r>
    </w:p>
    <w:sectPr w:rsidR="00024595" w:rsidRPr="0051339A" w:rsidSect="00683D1D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CBA3CF" w14:textId="77777777" w:rsidR="00D043F7" w:rsidRDefault="00D043F7" w:rsidP="00024595">
      <w:pPr>
        <w:spacing w:after="0" w:line="240" w:lineRule="auto"/>
      </w:pPr>
      <w:r>
        <w:separator/>
      </w:r>
    </w:p>
  </w:endnote>
  <w:endnote w:type="continuationSeparator" w:id="0">
    <w:p w14:paraId="616F6508" w14:textId="77777777" w:rsidR="00D043F7" w:rsidRDefault="00D043F7" w:rsidP="00024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023064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D710B6" w14:textId="1D73AAEF" w:rsidR="00C71FF6" w:rsidRDefault="00506B3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6D7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2A9070A" w14:textId="77777777" w:rsidR="00C71FF6" w:rsidRDefault="00D043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3E3518" w14:textId="77777777" w:rsidR="00D043F7" w:rsidRDefault="00D043F7" w:rsidP="00024595">
      <w:pPr>
        <w:spacing w:after="0" w:line="240" w:lineRule="auto"/>
      </w:pPr>
      <w:r>
        <w:separator/>
      </w:r>
    </w:p>
  </w:footnote>
  <w:footnote w:type="continuationSeparator" w:id="0">
    <w:p w14:paraId="2A25FBF6" w14:textId="77777777" w:rsidR="00D043F7" w:rsidRDefault="00D043F7" w:rsidP="000245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287B86"/>
    <w:multiLevelType w:val="hybridMultilevel"/>
    <w:tmpl w:val="1124DB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595"/>
    <w:rsid w:val="00024595"/>
    <w:rsid w:val="00182770"/>
    <w:rsid w:val="001A638A"/>
    <w:rsid w:val="00422B98"/>
    <w:rsid w:val="004B51E7"/>
    <w:rsid w:val="00506B34"/>
    <w:rsid w:val="0051339A"/>
    <w:rsid w:val="007B5ADC"/>
    <w:rsid w:val="00825351"/>
    <w:rsid w:val="00974DB3"/>
    <w:rsid w:val="009D4493"/>
    <w:rsid w:val="00B61407"/>
    <w:rsid w:val="00D043F7"/>
    <w:rsid w:val="00DA6D7A"/>
    <w:rsid w:val="00DB0F39"/>
    <w:rsid w:val="00F0251E"/>
    <w:rsid w:val="00FF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2A7441"/>
  <w15:chartTrackingRefBased/>
  <w15:docId w15:val="{9B1C612C-AE7C-4A18-9117-12AADC544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59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4595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024595"/>
    <w:rPr>
      <w:rFonts w:eastAsiaTheme="minorEastAsia"/>
    </w:rPr>
  </w:style>
  <w:style w:type="paragraph" w:styleId="Header">
    <w:name w:val="header"/>
    <w:basedOn w:val="Normal"/>
    <w:link w:val="HeaderChar"/>
    <w:uiPriority w:val="99"/>
    <w:unhideWhenUsed/>
    <w:rsid w:val="000245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4595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245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4595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51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1E7"/>
    <w:rPr>
      <w:rFonts w:ascii="Segoe UI" w:eastAsiaTheme="minorEastAsia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B51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B51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B51E7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51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51E7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862</Words>
  <Characters>4920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</dc:creator>
  <cp:keywords/>
  <dc:description/>
  <cp:lastModifiedBy>Lucia Zoppi</cp:lastModifiedBy>
  <cp:revision>7</cp:revision>
  <cp:lastPrinted>2020-02-12T09:37:00Z</cp:lastPrinted>
  <dcterms:created xsi:type="dcterms:W3CDTF">2020-04-08T09:59:00Z</dcterms:created>
  <dcterms:modified xsi:type="dcterms:W3CDTF">2020-05-21T10:44:00Z</dcterms:modified>
</cp:coreProperties>
</file>