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Supplementary Figure S</w:t>
      </w:r>
      <w:r>
        <w:rPr>
          <w:rFonts w:hint="eastAsia"/>
          <w:b/>
          <w:bCs/>
          <w:sz w:val="24"/>
          <w:szCs w:val="24"/>
          <w:lang w:val="en-US" w:eastAsia="zh-CN"/>
        </w:rPr>
        <w:t>1</w:t>
      </w:r>
      <w:r>
        <w:rPr>
          <w:rFonts w:hint="eastAsia" w:eastAsiaTheme="minorEastAsia"/>
          <w:b/>
          <w:bCs/>
          <w:sz w:val="24"/>
          <w:szCs w:val="24"/>
          <w:lang w:eastAsia="zh-CN"/>
        </w:rPr>
        <w:t xml:space="preserve">. Diagram of protein-protein interaction network of 100 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LOXL1</w:t>
      </w:r>
      <w:r>
        <w:rPr>
          <w:rFonts w:hint="eastAsia" w:eastAsiaTheme="minorEastAsia"/>
          <w:b/>
          <w:bCs/>
          <w:sz w:val="24"/>
          <w:szCs w:val="24"/>
          <w:lang w:eastAsia="zh-CN"/>
        </w:rPr>
        <w:t>-related genes.</w:t>
      </w:r>
      <w:r>
        <w:rPr>
          <w:rFonts w:hint="eastAsia" w:eastAsiaTheme="minorEastAsia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950595</wp:posOffset>
            </wp:positionV>
            <wp:extent cx="4988560" cy="5748020"/>
            <wp:effectExtent l="0" t="0" r="2540" b="0"/>
            <wp:wrapTopAndBottom/>
            <wp:docPr id="1" name="图片 1" descr="LOXL1-TOP100-string_vector_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XL1-TOP100-string_vector_graphic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574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YTZjYWQ2ZjQ1NjRjNDRkODk1OTVhOWM0MThmMjcifQ=="/>
  </w:docVars>
  <w:rsids>
    <w:rsidRoot w:val="19AC1D27"/>
    <w:rsid w:val="19A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2023-12-25T07:31:00Z</dcterms:created>
  <dc:creator>卡布奇诺式微笑</dc:creator>
  <cp:lastModifiedBy>卡布奇诺式微笑</cp:lastModifiedBy>
  <dcterms:modified xsi:type="dcterms:W3CDTF">2023-12-25T07:37:32Z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30B08A0FD5CB42149AC8C15C66D4C10B_11</vt:lpwstr>
  </property>
</Properties>
</file>