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9C82CB" w14:textId="77777777" w:rsidR="00586F80" w:rsidRDefault="00586F80" w:rsidP="00586F80">
      <w:pPr>
        <w:spacing w:line="360" w:lineRule="auto"/>
        <w:rPr>
          <w:b/>
          <w:bCs/>
          <w:sz w:val="28"/>
          <w:szCs w:val="28"/>
          <w:lang w:val="en-CA"/>
        </w:rPr>
      </w:pPr>
      <w:r>
        <w:rPr>
          <w:b/>
          <w:bCs/>
          <w:sz w:val="28"/>
          <w:szCs w:val="28"/>
          <w:lang w:val="en-CA"/>
        </w:rPr>
        <w:t>Extended Data</w:t>
      </w:r>
    </w:p>
    <w:p w14:paraId="645278EA" w14:textId="181CE98D" w:rsidR="00586F80" w:rsidRDefault="00586F80" w:rsidP="00586F80">
      <w:pPr>
        <w:spacing w:line="360" w:lineRule="auto"/>
        <w:rPr>
          <w:rFonts w:eastAsia="Times New Roman"/>
          <w:b/>
          <w:sz w:val="24"/>
          <w:szCs w:val="24"/>
          <w:lang w:val="en-CA"/>
        </w:rPr>
      </w:pPr>
      <w:r>
        <w:rPr>
          <w:rFonts w:eastAsia="Times New Roman"/>
          <w:b/>
          <w:noProof/>
          <w:sz w:val="24"/>
          <w:szCs w:val="24"/>
          <w:lang w:val="en-CA"/>
        </w:rPr>
        <w:drawing>
          <wp:inline distT="0" distB="0" distL="0" distR="0" wp14:anchorId="0510F403" wp14:editId="4F87643A">
            <wp:extent cx="5934075" cy="6162675"/>
            <wp:effectExtent l="0" t="0" r="9525"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34075" cy="6162675"/>
                    </a:xfrm>
                    <a:prstGeom prst="rect">
                      <a:avLst/>
                    </a:prstGeom>
                    <a:noFill/>
                    <a:ln>
                      <a:noFill/>
                    </a:ln>
                  </pic:spPr>
                </pic:pic>
              </a:graphicData>
            </a:graphic>
          </wp:inline>
        </w:drawing>
      </w:r>
    </w:p>
    <w:p w14:paraId="4AF59AAC" w14:textId="77777777" w:rsidR="00586F80" w:rsidRDefault="00586F80" w:rsidP="00586F80">
      <w:pPr>
        <w:spacing w:line="360" w:lineRule="auto"/>
        <w:rPr>
          <w:sz w:val="24"/>
          <w:szCs w:val="24"/>
          <w:lang w:val="en-CA"/>
        </w:rPr>
      </w:pPr>
      <w:r>
        <w:rPr>
          <w:rFonts w:eastAsia="Times New Roman"/>
          <w:b/>
          <w:sz w:val="24"/>
          <w:szCs w:val="24"/>
          <w:lang w:val="en-CA"/>
        </w:rPr>
        <w:t>Extended Data</w:t>
      </w:r>
      <w:r>
        <w:rPr>
          <w:b/>
          <w:bCs/>
          <w:sz w:val="24"/>
          <w:szCs w:val="24"/>
          <w:lang w:val="en-CA"/>
        </w:rPr>
        <w:t xml:space="preserve"> Fig. 1. Dataset assembly and statistics. a. </w:t>
      </w:r>
      <w:r>
        <w:rPr>
          <w:sz w:val="24"/>
          <w:szCs w:val="24"/>
          <w:lang w:val="en-CA"/>
        </w:rPr>
        <w:t xml:space="preserve">A schematic representation of the dataset assembly pipeline. </w:t>
      </w:r>
      <w:r>
        <w:rPr>
          <w:b/>
          <w:bCs/>
          <w:sz w:val="24"/>
          <w:szCs w:val="24"/>
          <w:lang w:val="en-CA"/>
        </w:rPr>
        <w:t xml:space="preserve">b. </w:t>
      </w:r>
      <w:r>
        <w:rPr>
          <w:sz w:val="24"/>
          <w:szCs w:val="24"/>
          <w:lang w:val="en-CA"/>
        </w:rPr>
        <w:t xml:space="preserve">The numbers of eukaryotic, viral, and prokaryotic genomes and proteins examined and included in the final dataset. </w:t>
      </w:r>
      <w:r>
        <w:rPr>
          <w:b/>
          <w:bCs/>
          <w:sz w:val="24"/>
          <w:szCs w:val="24"/>
          <w:lang w:val="en-CA"/>
        </w:rPr>
        <w:t xml:space="preserve">c. </w:t>
      </w:r>
      <w:r>
        <w:rPr>
          <w:sz w:val="24"/>
          <w:szCs w:val="24"/>
          <w:lang w:val="en-CA"/>
        </w:rPr>
        <w:t xml:space="preserve">The representation of viral phyla and other groups (i.e., those lacking phyla classifications) in the initial and final datasets. </w:t>
      </w:r>
      <w:r>
        <w:rPr>
          <w:b/>
          <w:bCs/>
          <w:sz w:val="24"/>
          <w:szCs w:val="24"/>
          <w:lang w:val="en-CA"/>
        </w:rPr>
        <w:t xml:space="preserve">d, e. </w:t>
      </w:r>
      <w:r>
        <w:rPr>
          <w:sz w:val="24"/>
          <w:szCs w:val="24"/>
          <w:lang w:val="en-CA"/>
        </w:rPr>
        <w:t>Summary statistics for the final clustered protein families including the number of sequences present (</w:t>
      </w:r>
      <w:r>
        <w:rPr>
          <w:b/>
          <w:bCs/>
          <w:sz w:val="24"/>
          <w:szCs w:val="24"/>
          <w:lang w:val="en-CA"/>
        </w:rPr>
        <w:t>d</w:t>
      </w:r>
      <w:r>
        <w:rPr>
          <w:sz w:val="24"/>
          <w:szCs w:val="24"/>
          <w:lang w:val="en-CA"/>
        </w:rPr>
        <w:t>) and the trimmed alignment length (</w:t>
      </w:r>
      <w:r>
        <w:rPr>
          <w:b/>
          <w:bCs/>
          <w:sz w:val="24"/>
          <w:szCs w:val="24"/>
          <w:lang w:val="en-CA"/>
        </w:rPr>
        <w:t>e</w:t>
      </w:r>
      <w:r>
        <w:rPr>
          <w:sz w:val="24"/>
          <w:szCs w:val="24"/>
          <w:lang w:val="en-CA"/>
        </w:rPr>
        <w:t>). See Materials and Methods for additional information.</w:t>
      </w:r>
    </w:p>
    <w:p w14:paraId="4B3BA761" w14:textId="12517432" w:rsidR="00586F80" w:rsidRDefault="00586F80" w:rsidP="00586F80">
      <w:pPr>
        <w:spacing w:line="360" w:lineRule="auto"/>
        <w:rPr>
          <w:rFonts w:eastAsia="Times New Roman"/>
          <w:b/>
          <w:sz w:val="24"/>
          <w:szCs w:val="24"/>
          <w:lang w:val="en-CA"/>
        </w:rPr>
      </w:pPr>
      <w:r>
        <w:rPr>
          <w:rFonts w:eastAsia="Times New Roman"/>
          <w:b/>
          <w:noProof/>
          <w:sz w:val="24"/>
          <w:szCs w:val="24"/>
          <w:lang w:val="en-CA"/>
        </w:rPr>
        <w:lastRenderedPageBreak/>
        <w:drawing>
          <wp:inline distT="0" distB="0" distL="0" distR="0" wp14:anchorId="766DCE75" wp14:editId="1CAF7613">
            <wp:extent cx="5934075" cy="5800725"/>
            <wp:effectExtent l="0" t="0" r="952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34075" cy="5800725"/>
                    </a:xfrm>
                    <a:prstGeom prst="rect">
                      <a:avLst/>
                    </a:prstGeom>
                    <a:noFill/>
                    <a:ln>
                      <a:noFill/>
                    </a:ln>
                  </pic:spPr>
                </pic:pic>
              </a:graphicData>
            </a:graphic>
          </wp:inline>
        </w:drawing>
      </w:r>
    </w:p>
    <w:p w14:paraId="4A91077C" w14:textId="77777777" w:rsidR="00586F80" w:rsidRDefault="00586F80" w:rsidP="00586F80">
      <w:pPr>
        <w:spacing w:line="360" w:lineRule="auto"/>
        <w:rPr>
          <w:sz w:val="24"/>
          <w:szCs w:val="24"/>
          <w:lang w:val="en-CA"/>
        </w:rPr>
      </w:pPr>
      <w:r>
        <w:rPr>
          <w:rFonts w:eastAsia="Times New Roman"/>
          <w:b/>
          <w:sz w:val="24"/>
          <w:szCs w:val="24"/>
          <w:lang w:val="en-CA"/>
        </w:rPr>
        <w:t>Extended Data</w:t>
      </w:r>
      <w:r>
        <w:rPr>
          <w:b/>
          <w:bCs/>
          <w:sz w:val="24"/>
          <w:szCs w:val="24"/>
          <w:lang w:val="en-CA"/>
        </w:rPr>
        <w:t xml:space="preserve"> Fig. 2. Phylogenetic pipeline and contamination analysis overview. </w:t>
      </w:r>
      <w:proofErr w:type="gramStart"/>
      <w:r>
        <w:rPr>
          <w:b/>
          <w:bCs/>
          <w:sz w:val="24"/>
          <w:szCs w:val="24"/>
          <w:lang w:val="en-CA"/>
        </w:rPr>
        <w:t>a,</w:t>
      </w:r>
      <w:proofErr w:type="gramEnd"/>
      <w:r>
        <w:rPr>
          <w:b/>
          <w:bCs/>
          <w:sz w:val="24"/>
          <w:szCs w:val="24"/>
          <w:lang w:val="en-CA"/>
        </w:rPr>
        <w:t xml:space="preserve"> b.</w:t>
      </w:r>
      <w:r>
        <w:rPr>
          <w:sz w:val="24"/>
          <w:szCs w:val="24"/>
          <w:lang w:val="en-CA"/>
        </w:rPr>
        <w:t xml:space="preserve"> Schematic representation of the HGT identification and phylogenetic analysis pipeline (</w:t>
      </w:r>
      <w:r>
        <w:rPr>
          <w:b/>
          <w:bCs/>
          <w:sz w:val="24"/>
          <w:szCs w:val="24"/>
          <w:lang w:val="en-CA"/>
        </w:rPr>
        <w:t>d</w:t>
      </w:r>
      <w:r>
        <w:rPr>
          <w:sz w:val="24"/>
          <w:szCs w:val="24"/>
          <w:lang w:val="en-CA"/>
        </w:rPr>
        <w:t>) and the contamination scoring protocol (</w:t>
      </w:r>
      <w:r>
        <w:rPr>
          <w:b/>
          <w:bCs/>
          <w:sz w:val="24"/>
          <w:szCs w:val="24"/>
          <w:lang w:val="en-CA"/>
        </w:rPr>
        <w:t>b</w:t>
      </w:r>
      <w:r>
        <w:rPr>
          <w:sz w:val="24"/>
          <w:szCs w:val="24"/>
          <w:lang w:val="en-CA"/>
        </w:rPr>
        <w:t xml:space="preserve">). </w:t>
      </w:r>
      <w:r>
        <w:rPr>
          <w:b/>
          <w:bCs/>
          <w:sz w:val="24"/>
          <w:szCs w:val="24"/>
          <w:lang w:val="en-CA"/>
        </w:rPr>
        <w:t xml:space="preserve">c. </w:t>
      </w:r>
      <w:r>
        <w:rPr>
          <w:sz w:val="24"/>
          <w:szCs w:val="24"/>
          <w:lang w:val="en-CA"/>
        </w:rPr>
        <w:t xml:space="preserve">The distribution of contamination scores across eukaryotic recipient sequences. </w:t>
      </w:r>
      <w:r>
        <w:rPr>
          <w:b/>
          <w:bCs/>
          <w:sz w:val="24"/>
          <w:szCs w:val="24"/>
          <w:lang w:val="en-CA"/>
        </w:rPr>
        <w:t xml:space="preserve">d. </w:t>
      </w:r>
      <w:r>
        <w:rPr>
          <w:sz w:val="24"/>
          <w:szCs w:val="24"/>
          <w:lang w:val="en-CA"/>
        </w:rPr>
        <w:t xml:space="preserve">The number of well-supported HGTs that are identified using different contamination score thresholds. Dashed lines denote the defined scoring threshold (≥ 2). </w:t>
      </w:r>
      <w:r>
        <w:rPr>
          <w:b/>
          <w:bCs/>
          <w:sz w:val="24"/>
          <w:szCs w:val="24"/>
          <w:lang w:val="en-CA"/>
        </w:rPr>
        <w:t xml:space="preserve">e. </w:t>
      </w:r>
      <w:r>
        <w:rPr>
          <w:sz w:val="24"/>
          <w:szCs w:val="24"/>
          <w:lang w:val="en-CA"/>
        </w:rPr>
        <w:t>The distribution of eukaryotic contig lengths that contain viral HGTs. See Materials and Methods for additional information.</w:t>
      </w:r>
    </w:p>
    <w:p w14:paraId="38D8F252" w14:textId="77777777" w:rsidR="00586F80" w:rsidRDefault="00586F80" w:rsidP="00586F80">
      <w:pPr>
        <w:spacing w:line="360" w:lineRule="auto"/>
        <w:rPr>
          <w:sz w:val="24"/>
          <w:szCs w:val="24"/>
          <w:lang w:val="en-CA"/>
        </w:rPr>
      </w:pPr>
    </w:p>
    <w:p w14:paraId="75D4F832" w14:textId="77777777" w:rsidR="00586F80" w:rsidRDefault="00586F80" w:rsidP="00586F80">
      <w:pPr>
        <w:spacing w:line="360" w:lineRule="auto"/>
        <w:rPr>
          <w:rFonts w:eastAsia="Times New Roman"/>
          <w:b/>
          <w:sz w:val="24"/>
          <w:szCs w:val="24"/>
          <w:lang w:val="en-CA"/>
        </w:rPr>
      </w:pPr>
    </w:p>
    <w:p w14:paraId="06429027" w14:textId="68A4A44A" w:rsidR="00586F80" w:rsidRDefault="00586F80" w:rsidP="00586F80">
      <w:pPr>
        <w:spacing w:line="360" w:lineRule="auto"/>
        <w:jc w:val="center"/>
        <w:rPr>
          <w:rFonts w:eastAsia="Times New Roman"/>
          <w:b/>
          <w:sz w:val="24"/>
          <w:szCs w:val="24"/>
          <w:lang w:val="en-CA"/>
        </w:rPr>
      </w:pPr>
      <w:r>
        <w:rPr>
          <w:rFonts w:eastAsia="Times New Roman"/>
          <w:b/>
          <w:noProof/>
          <w:sz w:val="24"/>
          <w:szCs w:val="24"/>
          <w:lang w:val="en-CA"/>
        </w:rPr>
        <w:lastRenderedPageBreak/>
        <w:drawing>
          <wp:inline distT="0" distB="0" distL="0" distR="0" wp14:anchorId="6D96679F" wp14:editId="604F98C5">
            <wp:extent cx="5114925" cy="510540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114925" cy="5105400"/>
                    </a:xfrm>
                    <a:prstGeom prst="rect">
                      <a:avLst/>
                    </a:prstGeom>
                    <a:noFill/>
                    <a:ln>
                      <a:noFill/>
                    </a:ln>
                  </pic:spPr>
                </pic:pic>
              </a:graphicData>
            </a:graphic>
          </wp:inline>
        </w:drawing>
      </w:r>
    </w:p>
    <w:p w14:paraId="42A0D08E" w14:textId="77777777" w:rsidR="00586F80" w:rsidRDefault="00586F80" w:rsidP="00586F80">
      <w:pPr>
        <w:spacing w:line="360" w:lineRule="auto"/>
        <w:rPr>
          <w:sz w:val="24"/>
          <w:szCs w:val="24"/>
          <w:lang w:val="en-CA"/>
        </w:rPr>
      </w:pPr>
      <w:r>
        <w:rPr>
          <w:rFonts w:eastAsia="Times New Roman"/>
          <w:b/>
          <w:sz w:val="24"/>
          <w:szCs w:val="24"/>
          <w:lang w:val="en-CA"/>
        </w:rPr>
        <w:t>Extended Data</w:t>
      </w:r>
      <w:r>
        <w:rPr>
          <w:b/>
          <w:bCs/>
          <w:sz w:val="24"/>
          <w:szCs w:val="24"/>
          <w:lang w:val="en-CA"/>
        </w:rPr>
        <w:t xml:space="preserve"> Fig. 3. Gene origin identification and transduction examples. a. </w:t>
      </w:r>
      <w:r>
        <w:rPr>
          <w:sz w:val="24"/>
          <w:szCs w:val="24"/>
          <w:lang w:val="en-CA"/>
        </w:rPr>
        <w:t xml:space="preserve">A schematic illustrating how viral gene origins were approximated by moving up through the phylogeny from the donor towards the root until a cellular lineage was encountered. The pie chart reflects the proportion of well supported virus-to-eukaryotic HGTs that were assigned a given origin. </w:t>
      </w:r>
      <w:r>
        <w:rPr>
          <w:b/>
          <w:bCs/>
          <w:sz w:val="24"/>
          <w:szCs w:val="24"/>
          <w:lang w:val="en-CA"/>
        </w:rPr>
        <w:t xml:space="preserve">b, c. </w:t>
      </w:r>
      <w:r>
        <w:rPr>
          <w:sz w:val="24"/>
          <w:szCs w:val="24"/>
          <w:lang w:val="en-CA"/>
        </w:rPr>
        <w:t>Example phylogenies illustrating cases of eukaryote-to-eukaryote and prokaryote-to-eukaryote transduction. Phylogenies were generated in IQ-Tree using the LG+R7 (</w:t>
      </w:r>
      <w:r>
        <w:rPr>
          <w:b/>
          <w:bCs/>
          <w:sz w:val="24"/>
          <w:szCs w:val="24"/>
          <w:lang w:val="en-CA"/>
        </w:rPr>
        <w:t>b</w:t>
      </w:r>
      <w:r>
        <w:rPr>
          <w:sz w:val="24"/>
          <w:szCs w:val="24"/>
          <w:lang w:val="en-CA"/>
        </w:rPr>
        <w:t>) or LG+R9 (</w:t>
      </w:r>
      <w:r>
        <w:rPr>
          <w:b/>
          <w:bCs/>
          <w:sz w:val="24"/>
          <w:szCs w:val="24"/>
          <w:lang w:val="en-CA"/>
        </w:rPr>
        <w:t>c</w:t>
      </w:r>
      <w:r>
        <w:rPr>
          <w:sz w:val="24"/>
          <w:szCs w:val="24"/>
          <w:lang w:val="en-CA"/>
        </w:rPr>
        <w:t xml:space="preserve">) substitution models as selected using </w:t>
      </w:r>
      <w:proofErr w:type="spellStart"/>
      <w:r>
        <w:rPr>
          <w:sz w:val="24"/>
          <w:szCs w:val="24"/>
          <w:lang w:val="en-CA"/>
        </w:rPr>
        <w:t>ModelFinder</w:t>
      </w:r>
      <w:proofErr w:type="spellEnd"/>
      <w:r>
        <w:rPr>
          <w:sz w:val="24"/>
          <w:szCs w:val="24"/>
          <w:lang w:val="en-CA"/>
        </w:rPr>
        <w:t xml:space="preserve"> and statistical support was assessed using SH-</w:t>
      </w:r>
      <w:proofErr w:type="spellStart"/>
      <w:r>
        <w:rPr>
          <w:sz w:val="24"/>
          <w:szCs w:val="24"/>
          <w:lang w:val="en-CA"/>
        </w:rPr>
        <w:t>aLRT</w:t>
      </w:r>
      <w:proofErr w:type="spellEnd"/>
      <w:r>
        <w:rPr>
          <w:sz w:val="24"/>
          <w:szCs w:val="24"/>
          <w:lang w:val="en-CA"/>
        </w:rPr>
        <w:t xml:space="preserve"> (</w:t>
      </w:r>
      <w:r>
        <w:rPr>
          <w:i/>
          <w:iCs/>
          <w:sz w:val="24"/>
          <w:szCs w:val="24"/>
          <w:lang w:val="en-CA"/>
        </w:rPr>
        <w:t>n</w:t>
      </w:r>
      <w:r>
        <w:rPr>
          <w:sz w:val="24"/>
          <w:szCs w:val="24"/>
          <w:lang w:val="en-CA"/>
        </w:rPr>
        <w:t xml:space="preserve"> = 1,000) </w:t>
      </w:r>
      <w:r>
        <w:rPr>
          <w:sz w:val="24"/>
          <w:szCs w:val="24"/>
          <w:lang w:val="en-CA"/>
        </w:rPr>
        <w:fldChar w:fldCharType="begin" w:fldLock="1"/>
      </w:r>
      <w:r>
        <w:rPr>
          <w:sz w:val="24"/>
          <w:szCs w:val="24"/>
          <w:lang w:val="en-CA"/>
        </w:rPr>
        <w:instrText>ADDIN CSL_CITATION {"citationItems":[{"id":"ITEM-1","itemData":{"DOI":"10.1093/molbev/msu300","ISBN":"0737-4038","ISSN":"15371719","PMID":"25371430","abstract":"Large phylogenomics data sets require fast tree inference methods, especially for maximum-likelihood (ML) phylogenies. Fast programs exist, but due to inherent heuristics to find optimal trees, it is not clear whether the best tree is found. Thus, there is need for additional approaches that employ different search strategies to find ML trees and that are at the same time as fast as currently available ML programs. We show that a combination of hill-climbing approaches and a stochastic perturbation method can be time-efficiently implemented. If we allow the same CPU time as RAxML and PhyML, then our software IQ-TREE found higher likelihoods between 62.2% and 87.1% of the studied alignments, thus efficiently exploring the tree-space. If we use the IQ-TREE stopping rule, RAxML and PhyML are faster in 75.7% and 47.1% of the DNA alignments and 42.2% and 100% of the protein alignments, respectively. However, the range of obtaining higher likelihoods with IQ-TREE improves to 73.3-97.1%. IQ-TREE is freely available at http://www.cibiv.at/software/iqtree.","author":[{"dropping-particle":"","family":"Nguyen","given":"Lam Tung","non-dropping-particle":"","parse-names":false,"suffix":""},{"dropping-particle":"","family":"Schmidt","given":"Heiko A.","non-dropping-particle":"","parse-names":false,"suffix":""},{"dropping-particle":"","family":"Haeseler","given":"Arndt","non-dropping-particle":"Von","parse-names":false,"suffix":""},{"dropping-particle":"","family":"Minh","given":"Bui Quang","non-dropping-particle":"","parse-names":false,"suffix":""}],"container-title":"Molecular Biology and Evolution","id":"ITEM-1","issue":"1","issued":{"date-parts":[["2015"]]},"page":"268-274","title":"IQ-TREE: A fast and effective stochastic algorithm for estimating maximum-likelihood phylogenies","type":"article-journal","volume":"32"},"uris":["http://www.mendeley.com/documents/?uuid=fa4d035d-5cdd-4c40-9ed1-11c9f0bed98d"]},{"id":"ITEM-2","itemData":{"DOI":"10.1038/nmeth.4285","ISBN":"1548-7091","ISSN":"15487105","PMID":"28481363","abstract":"ModelFinder is a fast model-selection method that greatly improves the accuracy of phylogenetic estimates.","author":[{"dropping-particle":"","family":"Kalyaanamoorthy","given":"Subha","non-dropping-particle":"","parse-names":false,"suffix":""},{"dropping-particle":"","family":"Minh","given":"Bui Quang","non-dropping-particle":"","parse-names":false,"suffix":""},{"dropping-particle":"","family":"Wong","given":"Thomas K.F.","non-dropping-particle":"","parse-names":false,"suffix":""},{"dropping-particle":"","family":"Haeseler","given":"Arndt","non-dropping-particle":"Von","parse-names":false,"suffix":""},{"dropping-particle":"","family":"Jermiin","given":"Lars S.","non-dropping-particle":"","parse-names":false,"suffix":""}],"container-title":"Nature Methods","id":"ITEM-2","issue":"6","issued":{"date-parts":[["2017"]]},"page":"587-589","publisher":"Nature Publishing Group","title":"ModelFinder: Fast model selection for accurate phylogenetic estimates","type":"article-journal","volume":"14"},"uris":["http://www.mendeley.com/documents/?uuid=7e6cc8fd-6949-4c59-9524-ef8cee1cc473"]}],"mendeley":{"formattedCitation":"&lt;sup&gt;48,49&lt;/sup&gt;","plainTextFormattedCitation":"48,49","previouslyFormattedCitation":"&lt;sup&gt;48,49&lt;/sup&gt;"},"properties":{"noteIndex":0},"schema":"https://github.com/citation-style-language/schema/raw/master/csl-citation.json"}</w:instrText>
      </w:r>
      <w:r>
        <w:rPr>
          <w:sz w:val="24"/>
          <w:szCs w:val="24"/>
          <w:lang w:val="en-CA"/>
        </w:rPr>
        <w:fldChar w:fldCharType="separate"/>
      </w:r>
      <w:r>
        <w:rPr>
          <w:noProof/>
          <w:sz w:val="24"/>
          <w:szCs w:val="24"/>
          <w:vertAlign w:val="superscript"/>
          <w:lang w:val="en-CA"/>
        </w:rPr>
        <w:t>48,49</w:t>
      </w:r>
      <w:r>
        <w:rPr>
          <w:sz w:val="24"/>
          <w:szCs w:val="24"/>
          <w:lang w:val="en-CA"/>
        </w:rPr>
        <w:fldChar w:fldCharType="end"/>
      </w:r>
      <w:r>
        <w:rPr>
          <w:sz w:val="24"/>
          <w:szCs w:val="24"/>
          <w:lang w:val="en-CA"/>
        </w:rPr>
        <w:t>.</w:t>
      </w:r>
    </w:p>
    <w:p w14:paraId="2E6DADC1" w14:textId="77777777" w:rsidR="00586F80" w:rsidRDefault="00586F80" w:rsidP="00586F80">
      <w:pPr>
        <w:spacing w:line="360" w:lineRule="auto"/>
        <w:rPr>
          <w:sz w:val="24"/>
          <w:szCs w:val="24"/>
          <w:lang w:val="en-CA"/>
        </w:rPr>
      </w:pPr>
    </w:p>
    <w:p w14:paraId="40AF9A9B" w14:textId="77777777" w:rsidR="00586F80" w:rsidRDefault="00586F80" w:rsidP="00586F80">
      <w:pPr>
        <w:spacing w:line="360" w:lineRule="auto"/>
        <w:rPr>
          <w:rFonts w:eastAsia="Times New Roman"/>
          <w:b/>
          <w:sz w:val="24"/>
          <w:szCs w:val="24"/>
          <w:lang w:val="en-CA"/>
        </w:rPr>
      </w:pPr>
    </w:p>
    <w:p w14:paraId="2BCB0FD1" w14:textId="77777777" w:rsidR="00586F80" w:rsidRDefault="00586F80" w:rsidP="00586F80">
      <w:pPr>
        <w:spacing w:line="360" w:lineRule="auto"/>
        <w:rPr>
          <w:rFonts w:eastAsia="Times New Roman"/>
          <w:b/>
          <w:sz w:val="24"/>
          <w:szCs w:val="24"/>
          <w:lang w:val="en-CA"/>
        </w:rPr>
      </w:pPr>
    </w:p>
    <w:p w14:paraId="282A80CC" w14:textId="68902218" w:rsidR="00586F80" w:rsidRDefault="00586F80" w:rsidP="00586F80">
      <w:pPr>
        <w:spacing w:line="360" w:lineRule="auto"/>
        <w:rPr>
          <w:b/>
          <w:bCs/>
          <w:sz w:val="24"/>
          <w:szCs w:val="24"/>
          <w:lang w:val="en-CA"/>
        </w:rPr>
      </w:pPr>
      <w:r>
        <w:rPr>
          <w:rFonts w:eastAsia="Times New Roman"/>
          <w:b/>
          <w:noProof/>
          <w:sz w:val="24"/>
          <w:szCs w:val="24"/>
          <w:lang w:val="en-CA"/>
        </w:rPr>
        <w:lastRenderedPageBreak/>
        <w:drawing>
          <wp:inline distT="0" distB="0" distL="0" distR="0" wp14:anchorId="3E122830" wp14:editId="50305094">
            <wp:extent cx="5934075" cy="782002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34075" cy="7820025"/>
                    </a:xfrm>
                    <a:prstGeom prst="rect">
                      <a:avLst/>
                    </a:prstGeom>
                    <a:noFill/>
                    <a:ln>
                      <a:noFill/>
                    </a:ln>
                  </pic:spPr>
                </pic:pic>
              </a:graphicData>
            </a:graphic>
          </wp:inline>
        </w:drawing>
      </w:r>
      <w:r>
        <w:rPr>
          <w:rFonts w:eastAsia="Times New Roman"/>
          <w:b/>
          <w:sz w:val="24"/>
          <w:szCs w:val="24"/>
          <w:lang w:val="en-CA"/>
        </w:rPr>
        <w:t>Extended Data</w:t>
      </w:r>
      <w:r>
        <w:rPr>
          <w:b/>
          <w:sz w:val="24"/>
          <w:szCs w:val="24"/>
          <w:lang w:val="en-CA"/>
        </w:rPr>
        <w:t xml:space="preserve"> Fig</w:t>
      </w:r>
      <w:r>
        <w:rPr>
          <w:b/>
          <w:bCs/>
          <w:sz w:val="24"/>
          <w:szCs w:val="24"/>
          <w:lang w:val="en-CA"/>
        </w:rPr>
        <w:t xml:space="preserve">. 4. Phylogenies for glycosyltransferases denoted in Figure 4. </w:t>
      </w:r>
      <w:r>
        <w:rPr>
          <w:sz w:val="24"/>
          <w:szCs w:val="24"/>
          <w:lang w:val="en-CA"/>
        </w:rPr>
        <w:lastRenderedPageBreak/>
        <w:t>Phylogenetic analyses were conducted in IQ-Tree with statistical support assessed using SH-</w:t>
      </w:r>
      <w:proofErr w:type="spellStart"/>
      <w:r>
        <w:rPr>
          <w:sz w:val="24"/>
          <w:szCs w:val="24"/>
          <w:lang w:val="en-CA"/>
        </w:rPr>
        <w:t>aLRT</w:t>
      </w:r>
      <w:proofErr w:type="spellEnd"/>
      <w:r>
        <w:rPr>
          <w:sz w:val="24"/>
          <w:szCs w:val="24"/>
          <w:lang w:val="en-CA"/>
        </w:rPr>
        <w:t xml:space="preserve"> (</w:t>
      </w:r>
      <w:r>
        <w:rPr>
          <w:i/>
          <w:iCs/>
          <w:sz w:val="24"/>
          <w:szCs w:val="24"/>
          <w:lang w:val="en-CA"/>
        </w:rPr>
        <w:t>n</w:t>
      </w:r>
      <w:r>
        <w:rPr>
          <w:sz w:val="24"/>
          <w:szCs w:val="24"/>
          <w:lang w:val="en-CA"/>
        </w:rPr>
        <w:t xml:space="preserve"> = 1,000). Substitution models were selected using </w:t>
      </w:r>
      <w:proofErr w:type="spellStart"/>
      <w:r>
        <w:rPr>
          <w:sz w:val="24"/>
          <w:szCs w:val="24"/>
          <w:lang w:val="en-CA"/>
        </w:rPr>
        <w:t>ModelFinder</w:t>
      </w:r>
      <w:proofErr w:type="spellEnd"/>
      <w:r>
        <w:rPr>
          <w:sz w:val="24"/>
          <w:szCs w:val="24"/>
          <w:lang w:val="en-CA"/>
        </w:rPr>
        <w:t xml:space="preserve"> and included LG+R10 (</w:t>
      </w:r>
      <w:r>
        <w:rPr>
          <w:b/>
          <w:bCs/>
          <w:sz w:val="24"/>
          <w:szCs w:val="24"/>
          <w:lang w:val="en-CA"/>
        </w:rPr>
        <w:t>a</w:t>
      </w:r>
      <w:r>
        <w:rPr>
          <w:sz w:val="24"/>
          <w:szCs w:val="24"/>
          <w:lang w:val="en-CA"/>
        </w:rPr>
        <w:t>), LG+F+R10 (</w:t>
      </w:r>
      <w:r>
        <w:rPr>
          <w:b/>
          <w:bCs/>
          <w:sz w:val="24"/>
          <w:szCs w:val="24"/>
          <w:lang w:val="en-CA"/>
        </w:rPr>
        <w:t>b</w:t>
      </w:r>
      <w:r>
        <w:rPr>
          <w:sz w:val="24"/>
          <w:szCs w:val="24"/>
          <w:lang w:val="en-CA"/>
        </w:rPr>
        <w:t>), LG+R9 (</w:t>
      </w:r>
      <w:r>
        <w:rPr>
          <w:b/>
          <w:bCs/>
          <w:sz w:val="24"/>
          <w:szCs w:val="24"/>
          <w:lang w:val="en-CA"/>
        </w:rPr>
        <w:t>c</w:t>
      </w:r>
      <w:r>
        <w:rPr>
          <w:sz w:val="24"/>
          <w:szCs w:val="24"/>
          <w:lang w:val="en-CA"/>
        </w:rPr>
        <w:t>), LG+F+R8 (</w:t>
      </w:r>
      <w:r>
        <w:rPr>
          <w:b/>
          <w:bCs/>
          <w:sz w:val="24"/>
          <w:szCs w:val="24"/>
          <w:lang w:val="en-CA"/>
        </w:rPr>
        <w:t>d, e</w:t>
      </w:r>
      <w:r>
        <w:rPr>
          <w:sz w:val="24"/>
          <w:szCs w:val="24"/>
          <w:lang w:val="en-CA"/>
        </w:rPr>
        <w:t>), LG+R6 (</w:t>
      </w:r>
      <w:r>
        <w:rPr>
          <w:b/>
          <w:bCs/>
          <w:sz w:val="24"/>
          <w:szCs w:val="24"/>
          <w:lang w:val="en-CA"/>
        </w:rPr>
        <w:t>f</w:t>
      </w:r>
      <w:r>
        <w:rPr>
          <w:sz w:val="24"/>
          <w:szCs w:val="24"/>
          <w:lang w:val="en-CA"/>
        </w:rPr>
        <w:t>), LG+F+R7 (</w:t>
      </w:r>
      <w:r>
        <w:rPr>
          <w:b/>
          <w:bCs/>
          <w:sz w:val="24"/>
          <w:szCs w:val="24"/>
          <w:lang w:val="en-CA"/>
        </w:rPr>
        <w:t>g</w:t>
      </w:r>
      <w:r>
        <w:rPr>
          <w:sz w:val="24"/>
          <w:szCs w:val="24"/>
          <w:lang w:val="en-CA"/>
        </w:rPr>
        <w:t>), LG+F+G4 (</w:t>
      </w:r>
      <w:r>
        <w:rPr>
          <w:b/>
          <w:bCs/>
          <w:sz w:val="24"/>
          <w:szCs w:val="24"/>
          <w:lang w:val="en-CA"/>
        </w:rPr>
        <w:t>h</w:t>
      </w:r>
      <w:r>
        <w:rPr>
          <w:sz w:val="24"/>
          <w:szCs w:val="24"/>
          <w:lang w:val="en-CA"/>
        </w:rPr>
        <w:t>), LG+F+R5 (</w:t>
      </w:r>
      <w:r>
        <w:rPr>
          <w:b/>
          <w:bCs/>
          <w:sz w:val="24"/>
          <w:szCs w:val="24"/>
          <w:lang w:val="en-CA"/>
        </w:rPr>
        <w:t>i</w:t>
      </w:r>
      <w:r>
        <w:rPr>
          <w:sz w:val="24"/>
          <w:szCs w:val="24"/>
          <w:lang w:val="en-CA"/>
        </w:rPr>
        <w:t>,</w:t>
      </w:r>
      <w:r>
        <w:rPr>
          <w:b/>
          <w:bCs/>
          <w:sz w:val="24"/>
          <w:szCs w:val="24"/>
          <w:lang w:val="en-CA"/>
        </w:rPr>
        <w:t xml:space="preserve"> j</w:t>
      </w:r>
      <w:r>
        <w:rPr>
          <w:sz w:val="24"/>
          <w:szCs w:val="24"/>
          <w:lang w:val="en-CA"/>
        </w:rPr>
        <w:t>), and LG+I+G4 (</w:t>
      </w:r>
      <w:r>
        <w:rPr>
          <w:b/>
          <w:bCs/>
          <w:sz w:val="24"/>
          <w:szCs w:val="24"/>
          <w:lang w:val="en-CA"/>
        </w:rPr>
        <w:t>k</w:t>
      </w:r>
      <w:r>
        <w:rPr>
          <w:sz w:val="24"/>
          <w:szCs w:val="24"/>
          <w:lang w:val="en-CA"/>
        </w:rPr>
        <w:t>).</w:t>
      </w:r>
    </w:p>
    <w:p w14:paraId="7A947547" w14:textId="77777777" w:rsidR="00680122" w:rsidRDefault="00680122"/>
    <w:sectPr w:rsidR="0068012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6F80"/>
    <w:rsid w:val="00586F80"/>
    <w:rsid w:val="006801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932BE8"/>
  <w15:chartTrackingRefBased/>
  <w15:docId w15:val="{DEDFA81E-C46B-4E82-B2C6-204F5372B5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6F80"/>
    <w:pPr>
      <w:spacing w:after="0" w:line="240" w:lineRule="auto"/>
    </w:pPr>
    <w:rPr>
      <w:rFonts w:ascii="Times New Roman" w:eastAsia="Calibri"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761721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867</Words>
  <Characters>4942</Characters>
  <Application>Microsoft Office Word</Application>
  <DocSecurity>0</DocSecurity>
  <Lines>41</Lines>
  <Paragraphs>11</Paragraphs>
  <ScaleCrop>false</ScaleCrop>
  <Company/>
  <LinksUpToDate>false</LinksUpToDate>
  <CharactersWithSpaces>5798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Rynn</dc:creator>
  <cp:keywords/>
  <dc:description/>
  <cp:lastModifiedBy>Kevin Rynn</cp:lastModifiedBy>
  <cp:revision>1</cp:revision>
  <dcterms:created xsi:type="dcterms:W3CDTF">2021-04-29T15:17:00Z</dcterms:created>
  <dcterms:modified xsi:type="dcterms:W3CDTF">2021-04-29T15:17:00Z</dcterms:modified>
</cp:coreProperties>
</file>