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Supplement Table 1 Baseline characteristics of patients with cardio-cerebrovascular death (CCVD) and survivors</w:t>
      </w:r>
    </w:p>
    <w:tbl>
      <w:tblPr>
        <w:tblStyle w:val="4"/>
        <w:tblpPr w:leftFromText="180" w:rightFromText="180" w:vertAnchor="text" w:horzAnchor="page" w:tblpX="122" w:tblpY="718"/>
        <w:tblOverlap w:val="never"/>
        <w:tblW w:w="117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0"/>
        <w:gridCol w:w="2333"/>
        <w:gridCol w:w="2307"/>
        <w:gridCol w:w="2360"/>
        <w:gridCol w:w="10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7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3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Total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N=</w:t>
            </w:r>
            <w:r>
              <w:rPr>
                <w:rFonts w:hint="eastAsia" w:ascii="Times New Roman" w:hAnsi="Times New Roman" w:cs="Times New Roman"/>
                <w:sz w:val="24"/>
              </w:rPr>
              <w:t>956)</w:t>
            </w:r>
          </w:p>
        </w:tc>
        <w:tc>
          <w:tcPr>
            <w:tcW w:w="230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CCVD group</w:t>
            </w:r>
          </w:p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N=</w:t>
            </w:r>
            <w:r>
              <w:rPr>
                <w:rFonts w:hint="eastAsia" w:ascii="Times New Roman" w:hAnsi="Times New Roman" w:cs="Times New Roman"/>
                <w:sz w:val="24"/>
              </w:rPr>
              <w:t>131)</w:t>
            </w:r>
          </w:p>
        </w:tc>
        <w:tc>
          <w:tcPr>
            <w:tcW w:w="23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Survival group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N=</w:t>
            </w:r>
            <w:r>
              <w:rPr>
                <w:rFonts w:hint="eastAsia" w:ascii="Times New Roman" w:hAnsi="Times New Roman" w:cs="Times New Roman"/>
                <w:sz w:val="24"/>
              </w:rPr>
              <w:t>825)</w:t>
            </w:r>
          </w:p>
        </w:tc>
        <w:tc>
          <w:tcPr>
            <w:tcW w:w="102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p v</w:t>
            </w:r>
            <w:r>
              <w:rPr>
                <w:rFonts w:hint="eastAsia" w:ascii="Times New Roman" w:hAnsi="Times New Roman" w:cs="Times New Roman"/>
                <w:sz w:val="24"/>
              </w:rPr>
              <w:t>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3760" w:type="dxa"/>
            <w:tcBorders>
              <w:top w:val="single" w:color="auto" w:sz="4" w:space="0"/>
            </w:tcBorders>
            <w:vAlign w:val="center"/>
          </w:tcPr>
          <w:p>
            <w:pPr>
              <w:pStyle w:val="2"/>
              <w:widowControl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</w:rPr>
              <w:t>Age, median (IQR), years</w:t>
            </w:r>
          </w:p>
        </w:tc>
        <w:tc>
          <w:tcPr>
            <w:tcW w:w="2333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67.0(58.0-76.0)</w:t>
            </w:r>
          </w:p>
        </w:tc>
        <w:tc>
          <w:tcPr>
            <w:tcW w:w="2307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74.0(66.0-80.5)</w:t>
            </w:r>
          </w:p>
        </w:tc>
        <w:tc>
          <w:tcPr>
            <w:tcW w:w="2360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</w:rPr>
              <w:t>6.0(57.0-75.0)</w:t>
            </w:r>
          </w:p>
        </w:tc>
        <w:tc>
          <w:tcPr>
            <w:tcW w:w="1027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Male, </w:t>
            </w:r>
            <w:r>
              <w:rPr>
                <w:rFonts w:ascii="Times New Roman" w:hAnsi="Times New Roman"/>
                <w:color w:val="292929"/>
              </w:rPr>
              <w:t xml:space="preserve">n </w:t>
            </w:r>
            <w:r>
              <w:rPr>
                <w:rFonts w:hint="eastAsia" w:ascii="Times New Roman" w:hAnsi="Times New Roman"/>
                <w:color w:val="292929"/>
              </w:rPr>
              <w:t>(</w:t>
            </w:r>
            <w:r>
              <w:rPr>
                <w:rFonts w:ascii="Times New Roman" w:hAnsi="Times New Roman"/>
                <w:color w:val="292929"/>
              </w:rPr>
              <w:t>%</w:t>
            </w:r>
            <w:r>
              <w:rPr>
                <w:rFonts w:hint="eastAsia" w:ascii="Times New Roman" w:hAnsi="Times New Roman"/>
                <w:color w:val="292929"/>
              </w:rPr>
              <w:t>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617（64.5）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96（73.3）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521（63.2）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Smoking, </w:t>
            </w:r>
            <w:r>
              <w:rPr>
                <w:rFonts w:ascii="Times New Roman" w:hAnsi="Times New Roman"/>
                <w:color w:val="292929"/>
              </w:rPr>
              <w:t xml:space="preserve">n </w:t>
            </w:r>
            <w:r>
              <w:rPr>
                <w:rFonts w:hint="eastAsia" w:ascii="Times New Roman" w:hAnsi="Times New Roman"/>
                <w:color w:val="292929"/>
              </w:rPr>
              <w:t>(</w:t>
            </w:r>
            <w:r>
              <w:rPr>
                <w:rFonts w:ascii="Times New Roman" w:hAnsi="Times New Roman"/>
                <w:color w:val="292929"/>
              </w:rPr>
              <w:t>%</w:t>
            </w:r>
            <w:r>
              <w:rPr>
                <w:rFonts w:hint="eastAsia" w:ascii="Times New Roman" w:hAnsi="Times New Roman"/>
                <w:color w:val="292929"/>
              </w:rPr>
              <w:t>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241（29.2）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39（29.8）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202（24.5）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</w:rPr>
              <w:t>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Alcohol use, </w:t>
            </w:r>
            <w:r>
              <w:rPr>
                <w:rFonts w:ascii="Times New Roman" w:hAnsi="Times New Roman"/>
                <w:color w:val="292929"/>
              </w:rPr>
              <w:t xml:space="preserve">n </w:t>
            </w:r>
            <w:r>
              <w:rPr>
                <w:rFonts w:hint="eastAsia" w:ascii="Times New Roman" w:hAnsi="Times New Roman"/>
                <w:color w:val="292929"/>
              </w:rPr>
              <w:t>(</w:t>
            </w:r>
            <w:r>
              <w:rPr>
                <w:rFonts w:ascii="Times New Roman" w:hAnsi="Times New Roman"/>
                <w:color w:val="292929"/>
              </w:rPr>
              <w:t>%</w:t>
            </w:r>
            <w:r>
              <w:rPr>
                <w:rFonts w:hint="eastAsia" w:ascii="Times New Roman" w:hAnsi="Times New Roman"/>
                <w:color w:val="292929"/>
              </w:rPr>
              <w:t>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160（19.4）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26（19.8）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134（16.2）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rPr>
                <w:rFonts w:ascii="Times New Roman" w:hAnsi="Times New Roman"/>
                <w:color w:val="0000FF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Comorbidities, </w:t>
            </w:r>
            <w:r>
              <w:rPr>
                <w:rFonts w:ascii="Times New Roman" w:hAnsi="Times New Roman"/>
                <w:color w:val="292929"/>
              </w:rPr>
              <w:t xml:space="preserve">n </w:t>
            </w:r>
            <w:r>
              <w:rPr>
                <w:rFonts w:hint="eastAsia" w:ascii="Times New Roman" w:hAnsi="Times New Roman"/>
                <w:color w:val="292929"/>
              </w:rPr>
              <w:t>(</w:t>
            </w:r>
            <w:r>
              <w:rPr>
                <w:rFonts w:ascii="Times New Roman" w:hAnsi="Times New Roman"/>
                <w:color w:val="292929"/>
              </w:rPr>
              <w:t>%</w:t>
            </w:r>
            <w:r>
              <w:rPr>
                <w:rFonts w:hint="eastAsia" w:ascii="Times New Roman" w:hAnsi="Times New Roman"/>
                <w:color w:val="292929"/>
              </w:rPr>
              <w:t>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/>
                <w:color w:val="0000FF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Hypertension 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709（74.2）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95（72.5）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614（74.4）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</w:rPr>
              <w:t>644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  <w:color w:val="292929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Coronary artery disease 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122（12.8）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32（24.4）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90（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</w:rPr>
              <w:t>0.9）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Hyperlipidaemia 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65（6.8）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13（9.9）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52（</w:t>
            </w:r>
            <w:r>
              <w:rPr>
                <w:rFonts w:ascii="Times New Roman" w:hAnsi="Times New Roman" w:cs="Times New Roman"/>
                <w:sz w:val="24"/>
              </w:rPr>
              <w:t>6.</w:t>
            </w:r>
            <w:r>
              <w:rPr>
                <w:rFonts w:hint="eastAsia" w:ascii="Times New Roman" w:hAnsi="Times New Roman" w:cs="Times New Roman"/>
                <w:sz w:val="24"/>
              </w:rPr>
              <w:t>3）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/>
                <w:color w:val="292929"/>
              </w:rPr>
            </w:pPr>
            <w:r>
              <w:rPr>
                <w:rFonts w:hint="eastAsia" w:ascii="Times New Roman" w:hAnsi="Times New Roman"/>
                <w:color w:val="292929"/>
              </w:rPr>
              <w:t>Atrial fibrillation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264（27.6）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59（45.0）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205（24.8）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  <w:color w:val="292929"/>
              </w:rPr>
              <w:t>Diabetes mellitus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383（46.4）</w:t>
            </w:r>
          </w:p>
        </w:tc>
        <w:tc>
          <w:tcPr>
            <w:tcW w:w="230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57（43.5）</w:t>
            </w:r>
          </w:p>
        </w:tc>
        <w:tc>
          <w:tcPr>
            <w:tcW w:w="236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326（39.5）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</w:rPr>
              <w:t>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rPr>
                <w:rFonts w:ascii="Times New Roman" w:hAnsi="Times New Roman"/>
                <w:color w:val="292929"/>
              </w:rPr>
            </w:pPr>
            <w:r>
              <w:rPr>
                <w:rFonts w:hint="eastAsia" w:ascii="Times New Roman" w:hAnsi="Times New Roman"/>
                <w:color w:val="292929"/>
              </w:rPr>
              <w:t>Baseline NIHSS, median (IQR)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6（2-8）</w:t>
            </w:r>
          </w:p>
        </w:tc>
        <w:tc>
          <w:tcPr>
            <w:tcW w:w="230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13（8-17）</w:t>
            </w:r>
          </w:p>
        </w:tc>
        <w:tc>
          <w:tcPr>
            <w:tcW w:w="236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5（2-6）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Stroke etiology, </w:t>
            </w:r>
            <w:r>
              <w:rPr>
                <w:rFonts w:ascii="Times New Roman" w:hAnsi="Times New Roman"/>
                <w:color w:val="292929"/>
              </w:rPr>
              <w:t xml:space="preserve">n </w:t>
            </w:r>
            <w:r>
              <w:rPr>
                <w:rFonts w:hint="eastAsia" w:ascii="Times New Roman" w:hAnsi="Times New Roman"/>
                <w:color w:val="292929"/>
              </w:rPr>
              <w:t>(</w:t>
            </w:r>
            <w:r>
              <w:rPr>
                <w:rFonts w:ascii="Times New Roman" w:hAnsi="Times New Roman"/>
                <w:color w:val="292929"/>
              </w:rPr>
              <w:t>%</w:t>
            </w:r>
            <w:r>
              <w:rPr>
                <w:rFonts w:hint="eastAsia" w:ascii="Times New Roman" w:hAnsi="Times New Roman"/>
                <w:color w:val="292929"/>
              </w:rPr>
              <w:t>)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0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6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/>
                <w:color w:val="292929"/>
              </w:rPr>
            </w:pPr>
            <w:r>
              <w:rPr>
                <w:rFonts w:hint="eastAsia" w:ascii="Times New Roman" w:hAnsi="Times New Roman"/>
                <w:color w:val="292929"/>
              </w:rPr>
              <w:t>Large-artery atherosclerosis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495（51.8）</w:t>
            </w:r>
          </w:p>
        </w:tc>
        <w:tc>
          <w:tcPr>
            <w:tcW w:w="230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78（59.5）</w:t>
            </w:r>
          </w:p>
        </w:tc>
        <w:tc>
          <w:tcPr>
            <w:tcW w:w="236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417（50.5）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  <w:color w:val="292929"/>
              </w:rPr>
            </w:pPr>
            <w:r>
              <w:rPr>
                <w:rFonts w:hint="eastAsia" w:ascii="Times New Roman" w:hAnsi="Times New Roman"/>
              </w:rPr>
              <w:t>Cardio-embolism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262（27.4）</w:t>
            </w:r>
          </w:p>
        </w:tc>
        <w:tc>
          <w:tcPr>
            <w:tcW w:w="230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45（34.4）</w:t>
            </w:r>
          </w:p>
        </w:tc>
        <w:tc>
          <w:tcPr>
            <w:tcW w:w="236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217（26.3）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  <w:color w:val="292929"/>
              </w:rPr>
            </w:pPr>
            <w:r>
              <w:rPr>
                <w:rFonts w:hint="eastAsia" w:ascii="Times New Roman" w:hAnsi="Times New Roman"/>
              </w:rPr>
              <w:t>Lacunar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57（6.0）</w:t>
            </w:r>
          </w:p>
        </w:tc>
        <w:tc>
          <w:tcPr>
            <w:tcW w:w="230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2（1.5）</w:t>
            </w:r>
          </w:p>
        </w:tc>
        <w:tc>
          <w:tcPr>
            <w:tcW w:w="236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55（6.7）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  <w:color w:val="292929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Others 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142（14.9）</w:t>
            </w:r>
          </w:p>
        </w:tc>
        <w:tc>
          <w:tcPr>
            <w:tcW w:w="230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6（4.6）</w:t>
            </w:r>
          </w:p>
        </w:tc>
        <w:tc>
          <w:tcPr>
            <w:tcW w:w="236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136（16.5）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292929"/>
              </w:rPr>
            </w:pPr>
            <w:r>
              <w:rPr>
                <w:rFonts w:hint="eastAsia" w:ascii="Times New Roman" w:hAnsi="Times New Roman"/>
              </w:rPr>
              <w:t xml:space="preserve">Medications use, </w:t>
            </w:r>
            <w:r>
              <w:rPr>
                <w:rFonts w:ascii="Times New Roman" w:hAnsi="Times New Roman"/>
                <w:color w:val="292929"/>
              </w:rPr>
              <w:t xml:space="preserve">n </w:t>
            </w:r>
            <w:r>
              <w:rPr>
                <w:rFonts w:hint="eastAsia" w:ascii="Times New Roman" w:hAnsi="Times New Roman"/>
                <w:color w:val="292929"/>
              </w:rPr>
              <w:t>(</w:t>
            </w:r>
            <w:r>
              <w:rPr>
                <w:rFonts w:ascii="Times New Roman" w:hAnsi="Times New Roman"/>
                <w:color w:val="292929"/>
              </w:rPr>
              <w:t>%</w:t>
            </w:r>
            <w:r>
              <w:rPr>
                <w:rFonts w:hint="eastAsia" w:ascii="Times New Roman" w:hAnsi="Times New Roman"/>
                <w:color w:val="292929"/>
              </w:rPr>
              <w:t>)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0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6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  <w:color w:val="292929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Statins, </w:t>
            </w:r>
            <w:r>
              <w:rPr>
                <w:rFonts w:ascii="Times New Roman" w:hAnsi="Times New Roman"/>
                <w:color w:val="292929"/>
              </w:rPr>
              <w:t xml:space="preserve">n </w:t>
            </w:r>
            <w:r>
              <w:rPr>
                <w:rFonts w:hint="eastAsia" w:ascii="Times New Roman" w:hAnsi="Times New Roman"/>
                <w:color w:val="292929"/>
              </w:rPr>
              <w:t>(</w:t>
            </w:r>
            <w:r>
              <w:rPr>
                <w:rFonts w:ascii="Times New Roman" w:hAnsi="Times New Roman"/>
                <w:color w:val="292929"/>
              </w:rPr>
              <w:t>%</w:t>
            </w:r>
            <w:r>
              <w:rPr>
                <w:rFonts w:hint="eastAsia" w:ascii="Times New Roman" w:hAnsi="Times New Roman"/>
                <w:color w:val="292929"/>
              </w:rPr>
              <w:t>)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892（93.3）</w:t>
            </w:r>
          </w:p>
        </w:tc>
        <w:tc>
          <w:tcPr>
            <w:tcW w:w="230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123（93.3）</w:t>
            </w:r>
          </w:p>
        </w:tc>
        <w:tc>
          <w:tcPr>
            <w:tcW w:w="236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769（93.2）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  <w:color w:val="292929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Hypoglycemic agent, </w:t>
            </w:r>
            <w:r>
              <w:rPr>
                <w:rFonts w:ascii="Times New Roman" w:hAnsi="Times New Roman"/>
                <w:color w:val="292929"/>
              </w:rPr>
              <w:t xml:space="preserve">n </w:t>
            </w:r>
            <w:r>
              <w:rPr>
                <w:rFonts w:hint="eastAsia" w:ascii="Times New Roman" w:hAnsi="Times New Roman"/>
                <w:color w:val="292929"/>
              </w:rPr>
              <w:t>(</w:t>
            </w:r>
            <w:r>
              <w:rPr>
                <w:rFonts w:ascii="Times New Roman" w:hAnsi="Times New Roman"/>
                <w:color w:val="292929"/>
              </w:rPr>
              <w:t>%</w:t>
            </w:r>
            <w:r>
              <w:rPr>
                <w:rFonts w:hint="eastAsia" w:ascii="Times New Roman" w:hAnsi="Times New Roman"/>
                <w:color w:val="292929"/>
              </w:rPr>
              <w:t>)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361（37.8）</w:t>
            </w:r>
          </w:p>
        </w:tc>
        <w:tc>
          <w:tcPr>
            <w:tcW w:w="230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53（40.5）</w:t>
            </w:r>
          </w:p>
        </w:tc>
        <w:tc>
          <w:tcPr>
            <w:tcW w:w="236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308（37.3）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0.493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tabs>
                <w:tab w:val="left" w:pos="1162"/>
              </w:tabs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Antiplatelet drug, </w:t>
            </w:r>
            <w:r>
              <w:rPr>
                <w:rFonts w:ascii="Times New Roman" w:hAnsi="Times New Roman"/>
                <w:color w:val="292929"/>
              </w:rPr>
              <w:t xml:space="preserve">n </w:t>
            </w:r>
            <w:r>
              <w:rPr>
                <w:rFonts w:hint="eastAsia" w:ascii="Times New Roman" w:hAnsi="Times New Roman"/>
                <w:color w:val="292929"/>
              </w:rPr>
              <w:t>(</w:t>
            </w:r>
            <w:r>
              <w:rPr>
                <w:rFonts w:ascii="Times New Roman" w:hAnsi="Times New Roman"/>
                <w:color w:val="292929"/>
              </w:rPr>
              <w:t>%</w:t>
            </w:r>
            <w:r>
              <w:rPr>
                <w:rFonts w:hint="eastAsia" w:ascii="Times New Roman" w:hAnsi="Times New Roman"/>
                <w:color w:val="292929"/>
              </w:rPr>
              <w:t>)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901（94.2）</w:t>
            </w:r>
          </w:p>
        </w:tc>
        <w:tc>
          <w:tcPr>
            <w:tcW w:w="230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121（92.4）</w:t>
            </w:r>
          </w:p>
        </w:tc>
        <w:tc>
          <w:tcPr>
            <w:tcW w:w="236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780（94.5）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widowControl/>
              <w:tabs>
                <w:tab w:val="left" w:pos="1162"/>
              </w:tabs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Anticoagulant, </w:t>
            </w:r>
            <w:r>
              <w:rPr>
                <w:rFonts w:ascii="Times New Roman" w:hAnsi="Times New Roman"/>
                <w:color w:val="292929"/>
              </w:rPr>
              <w:t xml:space="preserve">n </w:t>
            </w:r>
            <w:r>
              <w:rPr>
                <w:rFonts w:hint="eastAsia" w:ascii="Times New Roman" w:hAnsi="Times New Roman"/>
                <w:color w:val="292929"/>
              </w:rPr>
              <w:t>(</w:t>
            </w:r>
            <w:r>
              <w:rPr>
                <w:rFonts w:ascii="Times New Roman" w:hAnsi="Times New Roman"/>
                <w:color w:val="292929"/>
              </w:rPr>
              <w:t>%</w:t>
            </w:r>
            <w:r>
              <w:rPr>
                <w:rFonts w:hint="eastAsia" w:ascii="Times New Roman" w:hAnsi="Times New Roman"/>
                <w:color w:val="292929"/>
              </w:rPr>
              <w:t>)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77（8.1）</w:t>
            </w:r>
          </w:p>
        </w:tc>
        <w:tc>
          <w:tcPr>
            <w:tcW w:w="230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20（15.3）</w:t>
            </w:r>
          </w:p>
        </w:tc>
        <w:tc>
          <w:tcPr>
            <w:tcW w:w="236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57（7.0）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widowControl/>
              <w:tabs>
                <w:tab w:val="left" w:pos="1162"/>
              </w:tabs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/>
                <w:color w:val="292929"/>
              </w:rPr>
              <w:t>Beta-blocker</w:t>
            </w:r>
            <w:r>
              <w:rPr>
                <w:rFonts w:hint="eastAsia" w:ascii="Times New Roman" w:hAnsi="Times New Roman"/>
                <w:color w:val="292929"/>
              </w:rPr>
              <w:t xml:space="preserve">, </w:t>
            </w:r>
            <w:r>
              <w:rPr>
                <w:rFonts w:ascii="Times New Roman" w:hAnsi="Times New Roman"/>
                <w:color w:val="292929"/>
              </w:rPr>
              <w:t xml:space="preserve">n </w:t>
            </w:r>
            <w:r>
              <w:rPr>
                <w:rFonts w:hint="eastAsia" w:ascii="Times New Roman" w:hAnsi="Times New Roman"/>
                <w:color w:val="292929"/>
              </w:rPr>
              <w:t>(</w:t>
            </w:r>
            <w:r>
              <w:rPr>
                <w:rFonts w:ascii="Times New Roman" w:hAnsi="Times New Roman"/>
                <w:color w:val="292929"/>
              </w:rPr>
              <w:t>%</w:t>
            </w:r>
            <w:r>
              <w:rPr>
                <w:rFonts w:hint="eastAsia" w:ascii="Times New Roman" w:hAnsi="Times New Roman"/>
                <w:color w:val="292929"/>
              </w:rPr>
              <w:t>)</w:t>
            </w:r>
          </w:p>
        </w:tc>
        <w:tc>
          <w:tcPr>
            <w:tcW w:w="233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114（11.9）</w:t>
            </w:r>
          </w:p>
        </w:tc>
        <w:tc>
          <w:tcPr>
            <w:tcW w:w="230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26（19.8）</w:t>
            </w:r>
          </w:p>
        </w:tc>
        <w:tc>
          <w:tcPr>
            <w:tcW w:w="2360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88（10.7）</w:t>
            </w: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widowControl/>
              <w:tabs>
                <w:tab w:val="left" w:pos="969"/>
              </w:tabs>
              <w:rPr>
                <w:rFonts w:ascii="Times New Roman" w:hAnsi="Times New Roman"/>
                <w:color w:val="292929"/>
              </w:rPr>
            </w:pPr>
            <w:r>
              <w:rPr>
                <w:rFonts w:hint="eastAsia" w:ascii="Times New Roman" w:hAnsi="Times New Roman"/>
                <w:color w:val="292929"/>
              </w:rPr>
              <w:t xml:space="preserve">Laboratory data, </w:t>
            </w:r>
            <w:r>
              <w:rPr>
                <w:rFonts w:ascii="Times New Roman" w:hAnsi="Times New Roman"/>
                <w:color w:val="292929"/>
              </w:rPr>
              <w:t>mmol/l</w:t>
            </w:r>
            <w:r>
              <w:rPr>
                <w:rFonts w:hint="eastAsia" w:ascii="Times New Roman" w:hAnsi="Times New Roman"/>
                <w:color w:val="292929"/>
              </w:rPr>
              <w:t xml:space="preserve"> median (IQR)</w:t>
            </w:r>
          </w:p>
        </w:tc>
        <w:tc>
          <w:tcPr>
            <w:tcW w:w="233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0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60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  <w:color w:val="292929"/>
              </w:rPr>
              <w:t>Total cholesterol</w:t>
            </w:r>
          </w:p>
        </w:tc>
        <w:tc>
          <w:tcPr>
            <w:tcW w:w="233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4.3(3.5-5.1)</w:t>
            </w:r>
          </w:p>
        </w:tc>
        <w:tc>
          <w:tcPr>
            <w:tcW w:w="230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4.3(3.5-5.0)</w:t>
            </w:r>
          </w:p>
        </w:tc>
        <w:tc>
          <w:tcPr>
            <w:tcW w:w="2360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4.3(3.5-5.1)</w:t>
            </w: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0.740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widowControl/>
              <w:tabs>
                <w:tab w:val="left" w:pos="1120"/>
              </w:tabs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  <w:color w:val="292929"/>
              </w:rPr>
              <w:t>Triglyceride</w:t>
            </w:r>
          </w:p>
        </w:tc>
        <w:tc>
          <w:tcPr>
            <w:tcW w:w="233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1.4(1.1-2.0)</w:t>
            </w:r>
          </w:p>
        </w:tc>
        <w:tc>
          <w:tcPr>
            <w:tcW w:w="230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</w:rPr>
              <w:t>4(1.2-2.1)</w:t>
            </w:r>
          </w:p>
        </w:tc>
        <w:tc>
          <w:tcPr>
            <w:tcW w:w="2360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1.4(1.1-2.0)</w:t>
            </w: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</w:rPr>
              <w:t>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  <w:color w:val="292929"/>
              </w:rPr>
              <w:t>LDL</w:t>
            </w:r>
          </w:p>
        </w:tc>
        <w:tc>
          <w:tcPr>
            <w:tcW w:w="233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2.4(1.8-3.1)</w:t>
            </w:r>
          </w:p>
        </w:tc>
        <w:tc>
          <w:tcPr>
            <w:tcW w:w="230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  <w:r>
              <w:rPr>
                <w:rFonts w:hint="eastAsia" w:ascii="Times New Roman" w:hAnsi="Times New Roman" w:cs="Times New Roman"/>
                <w:sz w:val="24"/>
              </w:rPr>
              <w:t>3(1.7-3.0)</w:t>
            </w:r>
          </w:p>
        </w:tc>
        <w:tc>
          <w:tcPr>
            <w:tcW w:w="2360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  <w:r>
              <w:rPr>
                <w:rFonts w:hint="eastAsia" w:ascii="Times New Roman" w:hAnsi="Times New Roman" w:cs="Times New Roman"/>
                <w:sz w:val="24"/>
              </w:rPr>
              <w:t>5(1.8-3.1)</w:t>
            </w: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</w:rPr>
              <w:t>.284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  <w:color w:val="292929"/>
              </w:rPr>
            </w:pPr>
            <w:r>
              <w:rPr>
                <w:rFonts w:hint="eastAsia" w:ascii="Times New Roman" w:hAnsi="Times New Roman"/>
                <w:color w:val="292929"/>
              </w:rPr>
              <w:t>HDL</w:t>
            </w:r>
          </w:p>
        </w:tc>
        <w:tc>
          <w:tcPr>
            <w:tcW w:w="233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1.0(0.9-1.2)</w:t>
            </w:r>
          </w:p>
        </w:tc>
        <w:tc>
          <w:tcPr>
            <w:tcW w:w="230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</w:rPr>
              <w:t>0(0.8-1.2)</w:t>
            </w:r>
          </w:p>
        </w:tc>
        <w:tc>
          <w:tcPr>
            <w:tcW w:w="2360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</w:rPr>
              <w:t>0(0.9-1.2)</w:t>
            </w: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</w:rPr>
              <w:t>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rPr>
                <w:rFonts w:ascii="Times New Roman" w:hAnsi="Times New Roman"/>
                <w:color w:val="292929"/>
              </w:rPr>
            </w:pPr>
            <w:r>
              <w:rPr>
                <w:rFonts w:hint="eastAsia" w:ascii="Times New Roman" w:hAnsi="Times New Roman"/>
                <w:color w:val="292929"/>
              </w:rPr>
              <w:t>O</w:t>
            </w:r>
            <w:r>
              <w:rPr>
                <w:rFonts w:hint="eastAsia" w:ascii="Times New Roman" w:hAnsi="Times New Roman" w:eastAsia="宋体"/>
                <w:color w:val="292929"/>
              </w:rPr>
              <w:t xml:space="preserve">besity related index, </w:t>
            </w:r>
            <w:r>
              <w:rPr>
                <w:rFonts w:hint="eastAsia" w:ascii="Times New Roman" w:hAnsi="Times New Roman"/>
                <w:color w:val="292929"/>
              </w:rPr>
              <w:t>median (IQR)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  <w:color w:val="292929"/>
              </w:rPr>
            </w:pPr>
            <w:r>
              <w:rPr>
                <w:rFonts w:hint="eastAsia" w:ascii="Times New Roman" w:hAnsi="Times New Roman"/>
              </w:rPr>
              <w:t>BMI(</w:t>
            </w:r>
            <w:r>
              <w:rPr>
                <w:rFonts w:ascii="Times New Roman" w:hAnsi="Times New Roman"/>
              </w:rPr>
              <w:t>Kg/m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hint="eastAsia" w:ascii="Times New Roman" w:hAnsi="Times New Roman"/>
              </w:rPr>
              <w:t>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25.5(23.4-27.4)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</w:rPr>
              <w:t>5.8(23.8-27.6)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</w:rPr>
              <w:t>5.4(23.2-27.3)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</w:rPr>
              <w:t>Waist circumference(cm)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88.0(80.0-95.0)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89.0(80.0-95.0)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88.0(80.0-95.0)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0.872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</w:rPr>
              <w:t>VATD(HU)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-95.0(-99.9- -91.0)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-96.3(-100.5- -92.1)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-95.0(-99.7- -90.8)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</w:rPr>
              <w:t>SATD(HU)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-101.9(-106.0- -97.4)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-102.3(-106.3- -98.0)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-101.8(-105.9- -97.2)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SMD(HU)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36.9(29.7-41.9)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37.2(28.4-42.7)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36.8(30.0-41.8)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</w:rPr>
              <w:t>VATA/SATA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0.9(0.6-1.2)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1.0(0.7-1.2)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0.8(0.6-1.2)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0.067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/>
              </w:rPr>
              <w:t>VAT</w:t>
            </w:r>
            <w:r>
              <w:rPr>
                <w:rFonts w:hint="eastAsia" w:ascii="Times New Roman" w:hAnsi="Times New Roman"/>
              </w:rPr>
              <w:t>A(</w:t>
            </w:r>
            <w:r>
              <w:rPr>
                <w:rFonts w:ascii="Times New Roman" w:hAnsi="Times New Roman"/>
              </w:rPr>
              <w:t>cm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hint="eastAsia" w:ascii="Times New Roman" w:hAnsi="Times New Roman"/>
              </w:rPr>
              <w:t>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106.1(78.4-147.5)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</w:rPr>
              <w:t>34.1(100.1-152.1)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</w:rPr>
              <w:t>03.7(77.2-145.6)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AT</w:t>
            </w:r>
            <w:r>
              <w:rPr>
                <w:rFonts w:hint="eastAsia" w:ascii="Times New Roman" w:hAnsi="Times New Roman"/>
              </w:rPr>
              <w:t>A(</w:t>
            </w:r>
            <w:r>
              <w:rPr>
                <w:rFonts w:ascii="Times New Roman" w:hAnsi="Times New Roman"/>
              </w:rPr>
              <w:t>cm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hint="eastAsia" w:ascii="Times New Roman" w:hAnsi="Times New Roman"/>
              </w:rPr>
              <w:t>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126.4(105.7-151.9)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138.2(113.6-158.8)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124.7(105.1-150.6)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SMA(</w:t>
            </w:r>
            <w:r>
              <w:rPr>
                <w:rFonts w:ascii="Times New Roman" w:hAnsi="Times New Roman"/>
              </w:rPr>
              <w:t>cm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hint="eastAsia" w:ascii="Times New Roman" w:hAnsi="Times New Roman"/>
              </w:rPr>
              <w:t>)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132.5(97.2-160.6)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122.7(92.5-151.1)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135.6(97.5-161.4)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VATA/SMA</w:t>
            </w:r>
          </w:p>
        </w:tc>
        <w:tc>
          <w:tcPr>
            <w:tcW w:w="233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0.9(0.7-1.1)</w:t>
            </w:r>
          </w:p>
        </w:tc>
        <w:tc>
          <w:tcPr>
            <w:tcW w:w="230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1.1(0.8-1.3)</w:t>
            </w:r>
          </w:p>
        </w:tc>
        <w:tc>
          <w:tcPr>
            <w:tcW w:w="236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0.9(0.7-1.1)</w:t>
            </w:r>
          </w:p>
        </w:tc>
        <w:tc>
          <w:tcPr>
            <w:tcW w:w="1027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60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widowControl/>
              <w:ind w:firstLine="240" w:firstLineChars="1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SATA/SMA</w:t>
            </w:r>
          </w:p>
        </w:tc>
        <w:tc>
          <w:tcPr>
            <w:tcW w:w="2333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1.0(0.7-1.4)</w:t>
            </w:r>
          </w:p>
        </w:tc>
        <w:tc>
          <w:tcPr>
            <w:tcW w:w="230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1.0(0.9-1.4)</w:t>
            </w:r>
          </w:p>
        </w:tc>
        <w:tc>
          <w:tcPr>
            <w:tcW w:w="2360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1.0(0.7-1.4)</w:t>
            </w:r>
          </w:p>
        </w:tc>
        <w:tc>
          <w:tcPr>
            <w:tcW w:w="102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0.004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4"/>
        </w:rPr>
        <w:t>Abbreviations: CCVD: cardiovascular and cerebrovascular death, NIHSS: National Institutes of Health Stroke Scale; HDL: High density lipoprotein; LDL: Low density lipoprotein; BMI: Body mass index; VATA: Visceral adipose tissue area; VATD: Visceral adipose tissue density; SATA: Subcutaneous adipose tissue area; SATD: Subcutaneous adipose tissue density; SMA: Skeletal muscle area; SMD: Skeletal muscle density.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drawing>
          <wp:inline distT="0" distB="0" distL="114300" distR="114300">
            <wp:extent cx="5264785" cy="3950335"/>
            <wp:effectExtent l="0" t="0" r="8255" b="12065"/>
            <wp:docPr id="2" name="图片 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Supplement Figure S1: A 63-year-old male patient with acute ische</w:t>
      </w:r>
      <w:r>
        <w:rPr>
          <w:rFonts w:ascii="Times New Roman" w:hAnsi="Times New Roman" w:cs="Times New Roman"/>
          <w:sz w:val="24"/>
        </w:rPr>
        <w:t>mic stroke</w:t>
      </w:r>
      <w:r>
        <w:rPr>
          <w:rFonts w:hint="eastAsia" w:ascii="Times New Roman" w:hAnsi="Times New Roman" w:cs="Times New Roman"/>
          <w:sz w:val="24"/>
        </w:rPr>
        <w:t xml:space="preserve"> exhibited an initial </w:t>
      </w:r>
      <w:r>
        <w:rPr>
          <w:rFonts w:ascii="Times New Roman" w:hAnsi="Times New Roman" w:cs="Times New Roman"/>
          <w:sz w:val="24"/>
        </w:rPr>
        <w:t>National Institutes of Health Stroke Scale (NIHSS)</w:t>
      </w:r>
      <w:r>
        <w:rPr>
          <w:rFonts w:hint="eastAsia" w:ascii="Times New Roman" w:hAnsi="Times New Roman" w:cs="Times New Roman"/>
          <w:sz w:val="24"/>
        </w:rPr>
        <w:t xml:space="preserve"> score of 5 upon admission. After 90 days</w:t>
      </w:r>
      <w:r>
        <w:rPr>
          <w:rFonts w:ascii="Times New Roman" w:hAnsi="Times New Roman" w:cs="Times New Roman"/>
          <w:sz w:val="24"/>
        </w:rPr>
        <w:t xml:space="preserve"> follow-up</w:t>
      </w:r>
      <w:r>
        <w:rPr>
          <w:rFonts w:hint="eastAsia" w:ascii="Times New Roman" w:hAnsi="Times New Roman" w:cs="Times New Roman"/>
          <w:sz w:val="24"/>
        </w:rPr>
        <w:t>, the modified Rankin Scale (mRS)</w:t>
      </w:r>
      <w:r>
        <w:rPr>
          <w:rFonts w:ascii="Times New Roman" w:hAnsi="Times New Roman" w:cs="Times New Roman"/>
          <w:sz w:val="24"/>
        </w:rPr>
        <w:t xml:space="preserve"> score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was</w:t>
      </w:r>
      <w:r>
        <w:rPr>
          <w:rFonts w:hint="eastAsia" w:ascii="Times New Roman" w:hAnsi="Times New Roman" w:cs="Times New Roman"/>
          <w:sz w:val="24"/>
        </w:rPr>
        <w:t xml:space="preserve"> 0, indicating no residual disability or functional impairment. Furthermore, there was no instance of recurrent stroke during the follow-up period. Schematic diagram illustrating the measurement of visceral adipose tissue (VAT), subcutaneous adipose tissue (SAT) and skeletal muscle (SM) on a whole-abdominal computed tomography scan. VAT is represented by yellow shading, SAT by blue shading, and SM by green shading.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VATA: 171.47</w:t>
      </w:r>
      <w:r>
        <w:rPr>
          <w:rFonts w:ascii="Times New Roman" w:hAnsi="Times New Roman"/>
        </w:rPr>
        <w:t>cm</w:t>
      </w:r>
      <w:r>
        <w:rPr>
          <w:rFonts w:hint="eastAsia" w:ascii="Times New Roman" w:hAnsi="Times New Roman"/>
          <w:vertAlign w:val="superscript"/>
        </w:rPr>
        <w:t>2</w:t>
      </w:r>
      <w:r>
        <w:rPr>
          <w:rFonts w:hint="eastAsia" w:ascii="Times New Roman" w:hAnsi="Times New Roman" w:cs="Times New Roman"/>
          <w:sz w:val="24"/>
        </w:rPr>
        <w:t xml:space="preserve">   SATA:102.83</w:t>
      </w:r>
      <w:r>
        <w:rPr>
          <w:rFonts w:ascii="Times New Roman" w:hAnsi="Times New Roman"/>
        </w:rPr>
        <w:t>cm</w:t>
      </w:r>
      <w:r>
        <w:rPr>
          <w:rFonts w:hint="eastAsia" w:ascii="Times New Roman" w:hAnsi="Times New Roman"/>
          <w:vertAlign w:val="superscript"/>
        </w:rPr>
        <w:t>2</w:t>
      </w:r>
      <w:r>
        <w:rPr>
          <w:rFonts w:hint="eastAsia" w:ascii="Times New Roman" w:hAnsi="Times New Roman" w:cs="Times New Roman"/>
          <w:sz w:val="24"/>
        </w:rPr>
        <w:t xml:space="preserve">   SM: 148.35</w:t>
      </w:r>
      <w:r>
        <w:rPr>
          <w:rFonts w:ascii="Times New Roman" w:hAnsi="Times New Roman"/>
        </w:rPr>
        <w:t>cm</w:t>
      </w:r>
      <w:r>
        <w:rPr>
          <w:rFonts w:hint="eastAsia" w:ascii="Times New Roman" w:hAnsi="Times New Roman"/>
          <w:vertAlign w:val="superscript"/>
        </w:rPr>
        <w:t>2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Supplement Table 2</w:t>
      </w:r>
      <w:r>
        <w:rPr>
          <w:rFonts w:ascii="Times New Roman" w:hAnsi="Times New Roman" w:cs="Times New Roman"/>
          <w:sz w:val="24"/>
        </w:rPr>
        <w:t xml:space="preserve">. Contrast window value of </w:t>
      </w:r>
      <w:r>
        <w:rPr>
          <w:rFonts w:hint="eastAsia" w:ascii="Times New Roman" w:hAnsi="Times New Roman" w:cs="Times New Roman"/>
          <w:sz w:val="24"/>
        </w:rPr>
        <w:t xml:space="preserve">VAT, SAT and SM </w:t>
      </w:r>
      <w:r>
        <w:rPr>
          <w:rFonts w:ascii="Times New Roman" w:hAnsi="Times New Roman" w:cs="Times New Roman"/>
          <w:sz w:val="24"/>
        </w:rPr>
        <w:t xml:space="preserve">on </w:t>
      </w:r>
      <w:r>
        <w:rPr>
          <w:rFonts w:hint="eastAsia" w:ascii="Times New Roman" w:hAnsi="Times New Roman" w:cs="Times New Roman"/>
          <w:sz w:val="24"/>
        </w:rPr>
        <w:t xml:space="preserve">whole-abdominal </w:t>
      </w:r>
      <w:r>
        <w:rPr>
          <w:rFonts w:ascii="Times New Roman" w:hAnsi="Times New Roman" w:cs="Times New Roman"/>
          <w:sz w:val="24"/>
        </w:rPr>
        <w:t>CT</w:t>
      </w:r>
    </w:p>
    <w:tbl>
      <w:tblPr>
        <w:tblStyle w:val="4"/>
        <w:tblW w:w="4840" w:type="dxa"/>
        <w:tblInd w:w="18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tissue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Hounsfield unit (HU) thresholds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VAT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-150 ~ -50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SAT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-190 ~ -30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SM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-29 ~ +150</w:t>
            </w:r>
          </w:p>
        </w:tc>
      </w:tr>
    </w:tbl>
    <w:p>
      <w:pPr>
        <w:ind w:firstLine="560" w:firstLineChars="200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Supplement Table 3. Classification of diseases leading to cardio-cerebrovascular death.</w:t>
      </w:r>
    </w:p>
    <w:tbl>
      <w:tblPr>
        <w:tblStyle w:val="4"/>
        <w:tblW w:w="11653" w:type="dxa"/>
        <w:tblInd w:w="-16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1213"/>
        <w:gridCol w:w="7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Cause of death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ICD</w:t>
            </w:r>
          </w:p>
        </w:tc>
        <w:tc>
          <w:tcPr>
            <w:tcW w:w="78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Includes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Cerebrovascular disease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I60 - I69</w:t>
            </w:r>
          </w:p>
        </w:tc>
        <w:tc>
          <w:tcPr>
            <w:tcW w:w="789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I60 Subarachnoid hemorrhage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I61 intracranial hemorrhage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I62 other nontraumatic intracranial hemorrhage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I63 cerebral infarction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I64 Stroke, not specified as hemorrhage or infarction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I65 Occlusion and stenosis of precerebral arteries, not resulting in cerebral </w:t>
            </w:r>
          </w:p>
          <w:p>
            <w:pPr>
              <w:ind w:firstLine="240" w:firstLineChars="10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 infarction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I66 Occlusion and stenosis of cerebral arteries, not resulting in cerebral</w:t>
            </w:r>
          </w:p>
          <w:p>
            <w:pPr>
              <w:ind w:firstLine="480" w:firstLineChars="20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 infarction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I67 Other cerebrovascular diseases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I68 Cerebrovascular disorders in diseases classified elsewhere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I69 Sequelae of cerebrovascular disease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Ischemic heart disease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I20 - I25</w:t>
            </w:r>
          </w:p>
        </w:tc>
        <w:tc>
          <w:tcPr>
            <w:tcW w:w="7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I20 Angina pectoris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I21 Acute myocardial infarction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I22 Subsequent myocardial infarction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I23 Certain current complications following acute myocardial Infarction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I24 Other acute ischemic heart diseases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I25 Chronic ischemic heart disease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Chronic heart failure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I42, I50</w:t>
            </w:r>
          </w:p>
        </w:tc>
        <w:tc>
          <w:tcPr>
            <w:tcW w:w="7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I42 Cardiomyopathy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I50 Heart failure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Hypertensive disease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I10, I11</w:t>
            </w:r>
          </w:p>
        </w:tc>
        <w:tc>
          <w:tcPr>
            <w:tcW w:w="789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I10 Essential(primary) hypertension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I11 Hypertensive heart disease</w:t>
            </w:r>
          </w:p>
        </w:tc>
      </w:tr>
    </w:tbl>
    <w:p>
      <w:pPr>
        <w:ind w:firstLine="560" w:firstLineChars="200"/>
        <w:rPr>
          <w:rFonts w:ascii="Times New Roman" w:hAnsi="Times New Roman" w:cs="Times New Roman"/>
          <w:sz w:val="28"/>
          <w:szCs w:val="28"/>
        </w:rPr>
      </w:pPr>
    </w:p>
    <w:p>
      <w:pPr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Supplement Table 4. Inter - observer reproducibility of quantitative measurements (Intraclass coefficient correlation, median (95% confidence interval))</w:t>
      </w:r>
    </w:p>
    <w:p>
      <w:pPr>
        <w:ind w:firstLine="480" w:firstLineChars="200"/>
        <w:rPr>
          <w:rFonts w:ascii="Times New Roman" w:hAnsi="Times New Roman" w:cs="Times New Roman"/>
          <w:sz w:val="24"/>
        </w:rPr>
      </w:pPr>
    </w:p>
    <w:tbl>
      <w:tblPr>
        <w:tblStyle w:val="3"/>
        <w:tblpPr w:leftFromText="180" w:rightFromText="180" w:vertAnchor="text" w:horzAnchor="page" w:tblpX="2180" w:tblpY="427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1"/>
        <w:gridCol w:w="294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89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Characteristic</w:t>
            </w:r>
          </w:p>
        </w:tc>
        <w:tc>
          <w:tcPr>
            <w:tcW w:w="294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Inter-observer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891" w:type="dxa"/>
            <w:tcBorders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Visceral adipose tissue area</w:t>
            </w:r>
          </w:p>
        </w:tc>
        <w:tc>
          <w:tcPr>
            <w:tcW w:w="2943" w:type="dxa"/>
            <w:tcBorders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0.9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 xml:space="preserve"> (0.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85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, 0.9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8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89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Visceral adipose tissue density</w:t>
            </w:r>
          </w:p>
        </w:tc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 xml:space="preserve">85 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(0.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65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, 0.9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89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bookmarkStart w:id="0" w:name="_Hlk146997134"/>
            <w:r>
              <w:rPr>
                <w:rFonts w:hint="eastAsia" w:ascii="Times New Roman" w:hAnsi="Times New Roman" w:cs="Times New Roman"/>
                <w:sz w:val="24"/>
              </w:rPr>
              <w:t>Subcutaneous adipose tissue</w:t>
            </w:r>
            <w:bookmarkEnd w:id="0"/>
            <w:r>
              <w:rPr>
                <w:rFonts w:hint="eastAsia" w:ascii="Times New Roman" w:hAnsi="Times New Roman" w:cs="Times New Roman"/>
                <w:sz w:val="24"/>
              </w:rPr>
              <w:t xml:space="preserve"> area</w:t>
            </w:r>
          </w:p>
        </w:tc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76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 xml:space="preserve"> (0.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49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, 0.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90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89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Subcutaneous adipose tissue density</w:t>
            </w:r>
          </w:p>
        </w:tc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0.8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 xml:space="preserve"> (0.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65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, 0.93)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89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Skeletal muscle area</w:t>
            </w:r>
          </w:p>
        </w:tc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0.8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9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 xml:space="preserve"> (0.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75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, 0.9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6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891" w:type="dxa"/>
            <w:tcBorders>
              <w:top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Skeletal muscle density</w:t>
            </w:r>
          </w:p>
        </w:tc>
        <w:tc>
          <w:tcPr>
            <w:tcW w:w="2943" w:type="dxa"/>
            <w:tcBorders>
              <w:top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0.9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 xml:space="preserve"> (0.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76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, 0.9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4"/>
              </w:rPr>
              <w:t>6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)</w:t>
            </w:r>
          </w:p>
        </w:tc>
      </w:tr>
    </w:tbl>
    <w:p>
      <w:pPr>
        <w:ind w:firstLine="480" w:firstLineChars="200"/>
        <w:rPr>
          <w:rFonts w:ascii="Times New Roman" w:hAnsi="Times New Roman" w:cs="Times New Roman"/>
          <w:sz w:val="24"/>
        </w:rPr>
      </w:pPr>
    </w:p>
    <w:p>
      <w:pPr>
        <w:ind w:firstLine="480" w:firstLineChars="200"/>
        <w:rPr>
          <w:rFonts w:ascii="Times New Roman" w:hAnsi="Times New Roman" w:cs="Times New Roman"/>
          <w:sz w:val="24"/>
        </w:rPr>
      </w:pPr>
    </w:p>
    <w:p>
      <w:pPr>
        <w:ind w:firstLine="480" w:firstLineChars="200"/>
        <w:rPr>
          <w:rFonts w:ascii="Times New Roman" w:hAnsi="Times New Roman" w:cs="Times New Roman"/>
          <w:sz w:val="24"/>
        </w:rPr>
      </w:pPr>
    </w:p>
    <w:p>
      <w:pPr>
        <w:ind w:firstLine="480" w:firstLineChars="200"/>
        <w:rPr>
          <w:rFonts w:ascii="Times New Roman" w:hAnsi="Times New Roman" w:cs="Times New Roman"/>
          <w:sz w:val="24"/>
        </w:rPr>
      </w:pPr>
    </w:p>
    <w:p>
      <w:pPr>
        <w:ind w:firstLine="480" w:firstLineChars="200"/>
        <w:rPr>
          <w:rFonts w:ascii="Times New Roman" w:hAnsi="Times New Roman" w:cs="Times New Roman"/>
          <w:sz w:val="24"/>
        </w:rPr>
      </w:pPr>
    </w:p>
    <w:p>
      <w:pPr>
        <w:ind w:firstLine="480" w:firstLineChars="200"/>
        <w:rPr>
          <w:rFonts w:ascii="Times New Roman" w:hAnsi="Times New Roman" w:cs="Times New Roman"/>
          <w:sz w:val="24"/>
        </w:rPr>
      </w:pPr>
    </w:p>
    <w:p>
      <w:pPr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Supplement Table 5. Impact of BMI and obesity-related imaging markers on overall mortality, cardiovascular and cerebrovascular disease (CCVD), and recurrence of stroke.</w:t>
      </w:r>
    </w:p>
    <w:p>
      <w:pPr>
        <w:ind w:firstLine="480" w:firstLineChars="200"/>
        <w:rPr>
          <w:rFonts w:ascii="Times New Roman" w:hAnsi="Times New Roman" w:cs="Times New Roman"/>
          <w:sz w:val="24"/>
        </w:rPr>
      </w:pPr>
    </w:p>
    <w:tbl>
      <w:tblPr>
        <w:tblStyle w:val="3"/>
        <w:tblW w:w="8730" w:type="dxa"/>
        <w:tblInd w:w="-128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6"/>
        <w:gridCol w:w="1302"/>
        <w:gridCol w:w="1913"/>
        <w:gridCol w:w="984"/>
        <w:gridCol w:w="231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3" w:type="dxa"/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All-cause death</w:t>
            </w:r>
          </w:p>
        </w:tc>
        <w:tc>
          <w:tcPr>
            <w:tcW w:w="984" w:type="dxa"/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CCVD</w:t>
            </w:r>
          </w:p>
        </w:tc>
        <w:tc>
          <w:tcPr>
            <w:tcW w:w="231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Recurrence of stroke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VATA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&lt;106.58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64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41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2216" w:type="dxa"/>
            <w:vMerge w:val="continue"/>
            <w:tcBorders>
              <w:top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≥ 106.58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118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89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continue"/>
            <w:tcBorders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  <w:t xml:space="preserve">p 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value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&lt; 0.001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&lt; 0.001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restart"/>
            <w:tcBorders>
              <w:top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SATA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&lt;126.59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70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47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</w:trPr>
        <w:tc>
          <w:tcPr>
            <w:tcW w:w="2216" w:type="dxa"/>
            <w:vMerge w:val="continue"/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≥ 126.59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112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84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continue"/>
            <w:tcBorders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  <w:t xml:space="preserve">p 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value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0.001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0.001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0.181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restart"/>
            <w:tcBorders>
              <w:top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SMA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&lt;131.64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108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77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</w:trPr>
        <w:tc>
          <w:tcPr>
            <w:tcW w:w="2216" w:type="dxa"/>
            <w:vMerge w:val="continue"/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≥ 131.64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74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54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continue"/>
            <w:tcBorders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  <w:t xml:space="preserve">p 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value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0.006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0.031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VATD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&lt; -95.05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99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73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≥ -95.05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83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58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  <w:t xml:space="preserve">p 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value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0.195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0.158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0.717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SATD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&lt; -101.93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98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72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≥ -101.93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84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59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  <w:t xml:space="preserve">p 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value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0.258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0.221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0.155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SMD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&lt; 36.87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89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63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≥ 36.87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93</w:t>
            </w:r>
          </w:p>
        </w:tc>
        <w:tc>
          <w:tcPr>
            <w:tcW w:w="98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68</w:t>
            </w:r>
          </w:p>
        </w:tc>
        <w:tc>
          <w:tcPr>
            <w:tcW w:w="231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6" w:type="dxa"/>
            <w:vMerge w:val="continue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i/>
                <w:iCs/>
                <w:color w:val="000000"/>
                <w:sz w:val="24"/>
              </w:rPr>
              <w:t xml:space="preserve">p </w:t>
            </w: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value</w:t>
            </w:r>
          </w:p>
        </w:tc>
        <w:tc>
          <w:tcPr>
            <w:tcW w:w="1913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0.732</w:t>
            </w:r>
          </w:p>
        </w:tc>
        <w:tc>
          <w:tcPr>
            <w:tcW w:w="984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0.638</w:t>
            </w:r>
          </w:p>
        </w:tc>
        <w:tc>
          <w:tcPr>
            <w:tcW w:w="2315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微软雅黑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4"/>
              </w:rPr>
              <w:t>0.856</w:t>
            </w:r>
          </w:p>
        </w:tc>
      </w:tr>
    </w:tbl>
    <w:p/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VATA: Visceral adipose tissue area; SATA: Subcutaneous adipose tissue area; SMA: Skeletal muscle area; VATD: Visceral adipose tissue density; SATD: Subcutaneous adipose tissue density; SMD: Skeletal muscle density.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lMjdhOTk2MzdlYmY0NjQ4MTQ5MWE0ZmIxMzM1ODEifQ=="/>
  </w:docVars>
  <w:rsids>
    <w:rsidRoot w:val="5FA71F57"/>
    <w:rsid w:val="5FA7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2023-12-25T02:20:00Z</dcterms:created>
  <dc:creator>CC</dc:creator>
  <cp:lastModifiedBy>CC</cp:lastModifiedBy>
  <dcterms:modified xsi:type="dcterms:W3CDTF">2023-12-25T02:21:11Z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D0C565DCF9E84C9E99626A3DCE96300E_11</vt:lpwstr>
  </property>
</Properties>
</file>