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A158F" w:rsidRPr="009A158F" w:rsidRDefault="009A158F" w:rsidP="009A158F">
      <w:pPr>
        <w:spacing w:before="60"/>
        <w:ind w:right="160"/>
        <w:jc w:val="center"/>
        <w:rPr>
          <w:b/>
        </w:rPr>
      </w:pPr>
      <w:bookmarkStart w:id="0" w:name="_GoBack"/>
      <w:bookmarkEnd w:id="0"/>
      <w:r w:rsidRPr="009A158F">
        <w:rPr>
          <w:b/>
        </w:rPr>
        <w:t>Supplemental information</w:t>
      </w:r>
    </w:p>
    <w:p w:rsidR="009A158F" w:rsidRDefault="009A158F" w:rsidP="009A158F">
      <w:pPr>
        <w:spacing w:after="240"/>
        <w:rPr>
          <w:b/>
        </w:rPr>
      </w:pPr>
    </w:p>
    <w:p w:rsidR="009A158F" w:rsidRPr="00633912" w:rsidRDefault="009A158F" w:rsidP="009A158F">
      <w:pPr>
        <w:spacing w:after="240"/>
        <w:rPr>
          <w:b/>
        </w:rPr>
      </w:pPr>
      <w:r w:rsidRPr="00633912">
        <w:rPr>
          <w:b/>
        </w:rPr>
        <w:t>HealthyPlan.City: A Web Tool to Support Urban Environmental Equity and Public Health in Canadian Communities</w:t>
      </w:r>
    </w:p>
    <w:p w:rsidR="009A158F" w:rsidRPr="00655CC0" w:rsidRDefault="009A158F" w:rsidP="009A158F">
      <w:pPr>
        <w:spacing w:before="240" w:after="240" w:line="253" w:lineRule="atLeast"/>
        <w:rPr>
          <w:color w:val="000000"/>
        </w:rPr>
      </w:pPr>
      <w:r w:rsidRPr="00655CC0">
        <w:rPr>
          <w:color w:val="000000"/>
        </w:rPr>
        <w:t>Dany Doiron</w:t>
      </w:r>
      <w:r w:rsidRPr="00633912">
        <w:rPr>
          <w:color w:val="000000"/>
          <w:vertAlign w:val="superscript"/>
        </w:rPr>
        <w:t>1</w:t>
      </w:r>
      <w:r w:rsidRPr="00655CC0">
        <w:rPr>
          <w:color w:val="000000"/>
        </w:rPr>
        <w:t>*</w:t>
      </w:r>
      <w:r w:rsidRPr="00633912">
        <w:rPr>
          <w:color w:val="000000"/>
          <w:sz w:val="20"/>
          <w:szCs w:val="20"/>
          <w:vertAlign w:val="superscript"/>
        </w:rPr>
        <w:t>†</w:t>
      </w:r>
      <w:r w:rsidRPr="00655CC0">
        <w:rPr>
          <w:color w:val="000000"/>
        </w:rPr>
        <w:t>, Eleanor M Setton</w:t>
      </w:r>
      <w:r w:rsidRPr="00633912">
        <w:rPr>
          <w:color w:val="000000"/>
          <w:vertAlign w:val="superscript"/>
        </w:rPr>
        <w:t>2</w:t>
      </w:r>
      <w:r w:rsidRPr="00655CC0">
        <w:rPr>
          <w:color w:val="000000"/>
        </w:rPr>
        <w:t>*, Joey Syer</w:t>
      </w:r>
      <w:r w:rsidRPr="00633912">
        <w:rPr>
          <w:color w:val="000000"/>
          <w:vertAlign w:val="superscript"/>
        </w:rPr>
        <w:t>3</w:t>
      </w:r>
      <w:r w:rsidRPr="00655CC0">
        <w:rPr>
          <w:color w:val="000000"/>
        </w:rPr>
        <w:t>, Andre Redivo</w:t>
      </w:r>
      <w:r w:rsidRPr="00633912">
        <w:rPr>
          <w:color w:val="000000"/>
          <w:vertAlign w:val="superscript"/>
        </w:rPr>
        <w:t>2</w:t>
      </w:r>
      <w:r w:rsidRPr="00655CC0">
        <w:rPr>
          <w:color w:val="000000"/>
        </w:rPr>
        <w:t>, Allan McKee</w:t>
      </w:r>
      <w:r w:rsidRPr="00633912">
        <w:rPr>
          <w:color w:val="000000"/>
          <w:vertAlign w:val="superscript"/>
        </w:rPr>
        <w:t>3</w:t>
      </w:r>
      <w:r w:rsidRPr="00655CC0">
        <w:rPr>
          <w:color w:val="000000"/>
        </w:rPr>
        <w:t>, Mohammad Noaeen</w:t>
      </w:r>
      <w:r w:rsidRPr="00633912">
        <w:rPr>
          <w:color w:val="000000"/>
          <w:vertAlign w:val="superscript"/>
        </w:rPr>
        <w:t>3</w:t>
      </w:r>
      <w:r w:rsidRPr="00655CC0">
        <w:rPr>
          <w:color w:val="000000"/>
        </w:rPr>
        <w:t>, Priya Patel</w:t>
      </w:r>
      <w:r w:rsidRPr="00633912">
        <w:rPr>
          <w:color w:val="000000"/>
          <w:vertAlign w:val="superscript"/>
        </w:rPr>
        <w:t>3</w:t>
      </w:r>
      <w:r w:rsidRPr="00655CC0">
        <w:rPr>
          <w:color w:val="000000"/>
        </w:rPr>
        <w:t>,</w:t>
      </w:r>
      <w:r w:rsidRPr="00633912">
        <w:rPr>
          <w:color w:val="000000"/>
        </w:rPr>
        <w:t xml:space="preserve"> </w:t>
      </w:r>
      <w:r w:rsidRPr="00655CC0">
        <w:rPr>
          <w:color w:val="000000"/>
        </w:rPr>
        <w:t xml:space="preserve">Gillian </w:t>
      </w:r>
      <w:r w:rsidRPr="00633912">
        <w:rPr>
          <w:color w:val="000000"/>
        </w:rPr>
        <w:t xml:space="preserve">L </w:t>
      </w:r>
      <w:r w:rsidRPr="00655CC0">
        <w:rPr>
          <w:color w:val="000000"/>
        </w:rPr>
        <w:t>Booth</w:t>
      </w:r>
      <w:r w:rsidRPr="00633912">
        <w:rPr>
          <w:color w:val="000000"/>
          <w:vertAlign w:val="superscript"/>
        </w:rPr>
        <w:t>4</w:t>
      </w:r>
      <w:r w:rsidRPr="00655CC0">
        <w:rPr>
          <w:color w:val="000000"/>
        </w:rPr>
        <w:t>, Michael Brauer</w:t>
      </w:r>
      <w:r w:rsidRPr="00633912">
        <w:rPr>
          <w:color w:val="000000"/>
          <w:vertAlign w:val="superscript"/>
        </w:rPr>
        <w:t>5</w:t>
      </w:r>
      <w:r w:rsidRPr="00655CC0">
        <w:rPr>
          <w:color w:val="000000"/>
        </w:rPr>
        <w:t>, Daniel Fuller</w:t>
      </w:r>
      <w:r w:rsidRPr="00633912">
        <w:rPr>
          <w:color w:val="000000"/>
          <w:vertAlign w:val="superscript"/>
        </w:rPr>
        <w:t>6</w:t>
      </w:r>
      <w:r w:rsidRPr="00655CC0">
        <w:rPr>
          <w:color w:val="000000"/>
        </w:rPr>
        <w:t>, Yan Kestens</w:t>
      </w:r>
      <w:r w:rsidRPr="00633912">
        <w:rPr>
          <w:color w:val="000000"/>
          <w:vertAlign w:val="superscript"/>
        </w:rPr>
        <w:t>7</w:t>
      </w:r>
      <w:r w:rsidRPr="00655CC0">
        <w:rPr>
          <w:color w:val="000000"/>
        </w:rPr>
        <w:t>, Laura C Rosella</w:t>
      </w:r>
      <w:r w:rsidRPr="00633912">
        <w:rPr>
          <w:color w:val="000000"/>
          <w:vertAlign w:val="superscript"/>
        </w:rPr>
        <w:t>3</w:t>
      </w:r>
      <w:r w:rsidRPr="00655CC0">
        <w:rPr>
          <w:color w:val="000000"/>
        </w:rPr>
        <w:t>, Dave Stieb</w:t>
      </w:r>
      <w:r w:rsidRPr="00633912">
        <w:rPr>
          <w:color w:val="000000"/>
          <w:vertAlign w:val="superscript"/>
        </w:rPr>
        <w:t>8</w:t>
      </w:r>
      <w:r w:rsidRPr="00655CC0">
        <w:rPr>
          <w:color w:val="000000"/>
        </w:rPr>
        <w:t>, Paul Villeneuve</w:t>
      </w:r>
      <w:r w:rsidRPr="00633912">
        <w:rPr>
          <w:color w:val="000000"/>
          <w:vertAlign w:val="superscript"/>
        </w:rPr>
        <w:t>9</w:t>
      </w:r>
      <w:r w:rsidRPr="00655CC0">
        <w:rPr>
          <w:color w:val="000000"/>
        </w:rPr>
        <w:t>, Jeffrey R Brook</w:t>
      </w:r>
      <w:r w:rsidRPr="00633912">
        <w:rPr>
          <w:color w:val="000000"/>
          <w:vertAlign w:val="superscript"/>
        </w:rPr>
        <w:t>3</w:t>
      </w:r>
      <w:r w:rsidRPr="00655CC0">
        <w:rPr>
          <w:color w:val="000000"/>
        </w:rPr>
        <w:t> </w:t>
      </w:r>
    </w:p>
    <w:p w:rsidR="009A158F" w:rsidRPr="00633912" w:rsidRDefault="009A158F" w:rsidP="009A158F">
      <w:pPr>
        <w:rPr>
          <w:color w:val="000000"/>
          <w:sz w:val="20"/>
          <w:szCs w:val="20"/>
        </w:rPr>
      </w:pPr>
      <w:r w:rsidRPr="00633912">
        <w:rPr>
          <w:color w:val="000000"/>
          <w:sz w:val="20"/>
          <w:szCs w:val="20"/>
          <w:vertAlign w:val="superscript"/>
        </w:rPr>
        <w:t>1</w:t>
      </w:r>
      <w:r w:rsidRPr="00633912">
        <w:rPr>
          <w:color w:val="000000"/>
          <w:sz w:val="20"/>
          <w:szCs w:val="20"/>
        </w:rPr>
        <w:t xml:space="preserve"> Respiratory Epidemiology and Clinical Research Unit, Research Institute of the McGill University Health Centre, Montréal, Québec, Canada</w:t>
      </w:r>
    </w:p>
    <w:p w:rsidR="009A158F" w:rsidRPr="00633912" w:rsidRDefault="009A158F" w:rsidP="009A158F">
      <w:pPr>
        <w:rPr>
          <w:color w:val="000000"/>
          <w:sz w:val="20"/>
          <w:szCs w:val="20"/>
        </w:rPr>
      </w:pPr>
      <w:r w:rsidRPr="00633912">
        <w:rPr>
          <w:color w:val="000000"/>
          <w:sz w:val="20"/>
          <w:szCs w:val="20"/>
          <w:vertAlign w:val="superscript"/>
        </w:rPr>
        <w:t>2</w:t>
      </w:r>
      <w:r w:rsidRPr="00633912">
        <w:rPr>
          <w:color w:val="000000"/>
          <w:sz w:val="20"/>
          <w:szCs w:val="20"/>
        </w:rPr>
        <w:t xml:space="preserve"> Geography Department, University of Victoria, Victoria, BC, Canada</w:t>
      </w:r>
    </w:p>
    <w:p w:rsidR="009A158F" w:rsidRPr="00633912" w:rsidRDefault="009A158F" w:rsidP="009A158F">
      <w:pPr>
        <w:rPr>
          <w:color w:val="000000"/>
          <w:sz w:val="20"/>
          <w:szCs w:val="20"/>
        </w:rPr>
      </w:pPr>
      <w:r w:rsidRPr="00633912">
        <w:rPr>
          <w:sz w:val="20"/>
          <w:szCs w:val="20"/>
          <w:vertAlign w:val="superscript"/>
        </w:rPr>
        <w:t>3</w:t>
      </w:r>
      <w:r w:rsidRPr="00633912">
        <w:rPr>
          <w:color w:val="000000"/>
          <w:sz w:val="20"/>
          <w:szCs w:val="20"/>
        </w:rPr>
        <w:t xml:space="preserve"> Dalla Lana School of Public Health, University of Toronto, Toronto, </w:t>
      </w:r>
      <w:r>
        <w:rPr>
          <w:color w:val="000000"/>
          <w:sz w:val="20"/>
          <w:szCs w:val="20"/>
        </w:rPr>
        <w:t>ON,</w:t>
      </w:r>
      <w:r w:rsidRPr="00633912">
        <w:rPr>
          <w:color w:val="000000"/>
          <w:sz w:val="20"/>
          <w:szCs w:val="20"/>
        </w:rPr>
        <w:t xml:space="preserve"> Canada</w:t>
      </w:r>
    </w:p>
    <w:p w:rsidR="009A158F" w:rsidRPr="00633912" w:rsidRDefault="009A158F" w:rsidP="009A158F">
      <w:pPr>
        <w:rPr>
          <w:sz w:val="20"/>
          <w:szCs w:val="20"/>
          <w:vertAlign w:val="superscript"/>
        </w:rPr>
      </w:pPr>
      <w:r w:rsidRPr="00633912">
        <w:rPr>
          <w:sz w:val="20"/>
          <w:szCs w:val="20"/>
          <w:vertAlign w:val="superscript"/>
        </w:rPr>
        <w:t xml:space="preserve">4 </w:t>
      </w:r>
      <w:r w:rsidRPr="00633912">
        <w:rPr>
          <w:sz w:val="20"/>
          <w:szCs w:val="20"/>
        </w:rPr>
        <w:t>Department of Medicine, University of Toronto</w:t>
      </w:r>
      <w:r>
        <w:rPr>
          <w:sz w:val="20"/>
          <w:szCs w:val="20"/>
        </w:rPr>
        <w:t xml:space="preserve">, </w:t>
      </w:r>
      <w:r w:rsidRPr="00633912">
        <w:rPr>
          <w:color w:val="000000"/>
          <w:sz w:val="20"/>
          <w:szCs w:val="20"/>
        </w:rPr>
        <w:t xml:space="preserve">Toronto, </w:t>
      </w:r>
      <w:r>
        <w:rPr>
          <w:color w:val="000000"/>
          <w:sz w:val="20"/>
          <w:szCs w:val="20"/>
        </w:rPr>
        <w:t>ON,</w:t>
      </w:r>
      <w:r w:rsidRPr="00633912">
        <w:rPr>
          <w:color w:val="000000"/>
          <w:sz w:val="20"/>
          <w:szCs w:val="20"/>
        </w:rPr>
        <w:t xml:space="preserve"> Canada</w:t>
      </w:r>
    </w:p>
    <w:p w:rsidR="009A158F" w:rsidRPr="00633912" w:rsidRDefault="009A158F" w:rsidP="009A158F">
      <w:pPr>
        <w:rPr>
          <w:color w:val="000000"/>
          <w:sz w:val="20"/>
          <w:szCs w:val="20"/>
        </w:rPr>
      </w:pPr>
      <w:r w:rsidRPr="00633912">
        <w:rPr>
          <w:sz w:val="20"/>
          <w:szCs w:val="20"/>
          <w:vertAlign w:val="superscript"/>
        </w:rPr>
        <w:t>5</w:t>
      </w:r>
      <w:r w:rsidRPr="00633912">
        <w:rPr>
          <w:sz w:val="20"/>
          <w:szCs w:val="20"/>
        </w:rPr>
        <w:t xml:space="preserve"> </w:t>
      </w:r>
      <w:r w:rsidRPr="00633912">
        <w:rPr>
          <w:color w:val="000000"/>
          <w:sz w:val="20"/>
          <w:szCs w:val="20"/>
        </w:rPr>
        <w:t>School of Population and Public Health, The University of British Columbia, Vancouver BC Canada</w:t>
      </w:r>
    </w:p>
    <w:p w:rsidR="009A158F" w:rsidRPr="00633912" w:rsidRDefault="009A158F" w:rsidP="009A158F">
      <w:pPr>
        <w:rPr>
          <w:color w:val="000000"/>
          <w:sz w:val="20"/>
          <w:szCs w:val="20"/>
        </w:rPr>
      </w:pPr>
      <w:r w:rsidRPr="00633912">
        <w:rPr>
          <w:sz w:val="20"/>
          <w:szCs w:val="20"/>
          <w:vertAlign w:val="superscript"/>
        </w:rPr>
        <w:t>6</w:t>
      </w:r>
      <w:r w:rsidRPr="00633912">
        <w:rPr>
          <w:sz w:val="20"/>
          <w:szCs w:val="20"/>
        </w:rPr>
        <w:t xml:space="preserve"> </w:t>
      </w:r>
      <w:r w:rsidRPr="00633912">
        <w:rPr>
          <w:color w:val="000000"/>
          <w:sz w:val="20"/>
          <w:szCs w:val="20"/>
        </w:rPr>
        <w:t>Department of Community Health and Epidemiology, College of Medicine, University of Saskatchewan.</w:t>
      </w:r>
    </w:p>
    <w:p w:rsidR="009A158F" w:rsidRPr="00633912" w:rsidRDefault="009A158F" w:rsidP="009A158F">
      <w:pPr>
        <w:rPr>
          <w:color w:val="000000"/>
          <w:sz w:val="20"/>
          <w:szCs w:val="20"/>
        </w:rPr>
      </w:pPr>
      <w:r w:rsidRPr="00633912">
        <w:rPr>
          <w:color w:val="000000"/>
          <w:sz w:val="20"/>
          <w:szCs w:val="20"/>
          <w:vertAlign w:val="superscript"/>
        </w:rPr>
        <w:t>7</w:t>
      </w:r>
      <w:r w:rsidRPr="00633912">
        <w:rPr>
          <w:color w:val="000000"/>
          <w:sz w:val="20"/>
          <w:szCs w:val="20"/>
        </w:rPr>
        <w:t xml:space="preserve"> École de </w:t>
      </w:r>
      <w:proofErr w:type="spellStart"/>
      <w:r w:rsidRPr="00633912">
        <w:rPr>
          <w:color w:val="000000"/>
          <w:sz w:val="20"/>
          <w:szCs w:val="20"/>
        </w:rPr>
        <w:t>santé</w:t>
      </w:r>
      <w:proofErr w:type="spellEnd"/>
      <w:r w:rsidRPr="00633912">
        <w:rPr>
          <w:color w:val="000000"/>
          <w:sz w:val="20"/>
          <w:szCs w:val="20"/>
        </w:rPr>
        <w:t xml:space="preserve"> </w:t>
      </w:r>
      <w:proofErr w:type="spellStart"/>
      <w:r w:rsidRPr="00633912">
        <w:rPr>
          <w:color w:val="000000"/>
          <w:sz w:val="20"/>
          <w:szCs w:val="20"/>
        </w:rPr>
        <w:t>publique</w:t>
      </w:r>
      <w:proofErr w:type="spellEnd"/>
      <w:r w:rsidRPr="00633912">
        <w:rPr>
          <w:color w:val="000000"/>
          <w:sz w:val="20"/>
          <w:szCs w:val="20"/>
        </w:rPr>
        <w:t xml:space="preserve"> de </w:t>
      </w:r>
      <w:proofErr w:type="spellStart"/>
      <w:r w:rsidRPr="00633912">
        <w:rPr>
          <w:color w:val="000000"/>
          <w:sz w:val="20"/>
          <w:szCs w:val="20"/>
        </w:rPr>
        <w:t>l'Université</w:t>
      </w:r>
      <w:proofErr w:type="spellEnd"/>
      <w:r w:rsidRPr="00633912">
        <w:rPr>
          <w:color w:val="000000"/>
          <w:sz w:val="20"/>
          <w:szCs w:val="20"/>
        </w:rPr>
        <w:t xml:space="preserve"> de Montréal, Canada, QC, Canada</w:t>
      </w:r>
    </w:p>
    <w:p w:rsidR="009A158F" w:rsidRPr="00655CC0" w:rsidRDefault="009A158F" w:rsidP="009A158F">
      <w:pPr>
        <w:rPr>
          <w:sz w:val="20"/>
          <w:szCs w:val="20"/>
          <w:vertAlign w:val="superscript"/>
        </w:rPr>
      </w:pPr>
      <w:r w:rsidRPr="00633912">
        <w:rPr>
          <w:sz w:val="20"/>
          <w:szCs w:val="20"/>
          <w:vertAlign w:val="superscript"/>
        </w:rPr>
        <w:t>8</w:t>
      </w:r>
      <w:r w:rsidRPr="00633912">
        <w:rPr>
          <w:sz w:val="20"/>
          <w:szCs w:val="20"/>
        </w:rPr>
        <w:t xml:space="preserve"> Environmental Health Science and Research Bureau, Health Canada, Vancouver, BC, Canada</w:t>
      </w:r>
    </w:p>
    <w:p w:rsidR="009A158F" w:rsidRPr="004A420B" w:rsidRDefault="009A158F" w:rsidP="009A158F">
      <w:pPr>
        <w:rPr>
          <w:color w:val="000000"/>
          <w:sz w:val="18"/>
          <w:szCs w:val="18"/>
        </w:rPr>
      </w:pPr>
      <w:r w:rsidRPr="00633912">
        <w:rPr>
          <w:sz w:val="20"/>
          <w:szCs w:val="20"/>
          <w:vertAlign w:val="superscript"/>
        </w:rPr>
        <w:t xml:space="preserve">9 </w:t>
      </w:r>
      <w:r w:rsidRPr="00633912">
        <w:rPr>
          <w:color w:val="000000"/>
          <w:sz w:val="20"/>
          <w:szCs w:val="20"/>
        </w:rPr>
        <w:t>Department of Neuroscience, Carleton University, Ottawa, ON, Canada</w:t>
      </w:r>
    </w:p>
    <w:p w:rsidR="009A158F" w:rsidRDefault="009A158F" w:rsidP="009A158F">
      <w:pPr>
        <w:spacing w:before="240" w:after="240" w:line="253" w:lineRule="atLeast"/>
        <w:rPr>
          <w:color w:val="000000"/>
          <w:sz w:val="20"/>
          <w:szCs w:val="20"/>
        </w:rPr>
      </w:pPr>
      <w:r w:rsidRPr="00633912">
        <w:rPr>
          <w:color w:val="000000"/>
          <w:sz w:val="20"/>
          <w:szCs w:val="20"/>
        </w:rPr>
        <w:t>*</w:t>
      </w:r>
      <w:r w:rsidRPr="00655CC0">
        <w:rPr>
          <w:color w:val="000000"/>
          <w:sz w:val="20"/>
          <w:szCs w:val="20"/>
        </w:rPr>
        <w:t>Co-first authors</w:t>
      </w:r>
    </w:p>
    <w:p w:rsidR="009A158F" w:rsidRDefault="009A158F" w:rsidP="009A158F">
      <w:pPr>
        <w:spacing w:line="253" w:lineRule="atLeast"/>
        <w:rPr>
          <w:color w:val="000000"/>
          <w:sz w:val="20"/>
          <w:szCs w:val="20"/>
        </w:rPr>
      </w:pPr>
      <w:r w:rsidRPr="00633912">
        <w:rPr>
          <w:color w:val="000000"/>
          <w:sz w:val="20"/>
          <w:szCs w:val="20"/>
          <w:vertAlign w:val="superscript"/>
        </w:rPr>
        <w:t>†</w:t>
      </w:r>
      <w:r>
        <w:rPr>
          <w:color w:val="000000"/>
          <w:sz w:val="20"/>
          <w:szCs w:val="20"/>
        </w:rPr>
        <w:t xml:space="preserve"> Correspondence to: </w:t>
      </w:r>
    </w:p>
    <w:p w:rsidR="009A158F" w:rsidRPr="00655CC0" w:rsidRDefault="009A158F" w:rsidP="009A158F">
      <w:pPr>
        <w:spacing w:line="253" w:lineRule="atLeas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</w:t>
      </w:r>
      <w:r w:rsidRPr="00A42C7F">
        <w:rPr>
          <w:color w:val="000000"/>
          <w:sz w:val="20"/>
          <w:szCs w:val="20"/>
        </w:rPr>
        <w:t>. </w:t>
      </w:r>
      <w:r>
        <w:rPr>
          <w:color w:val="000000"/>
          <w:sz w:val="20"/>
          <w:szCs w:val="20"/>
        </w:rPr>
        <w:t xml:space="preserve">Doiron, </w:t>
      </w:r>
      <w:r w:rsidRPr="00633912">
        <w:rPr>
          <w:color w:val="000000"/>
          <w:sz w:val="20"/>
          <w:szCs w:val="20"/>
        </w:rPr>
        <w:t>Respiratory Epidemiology and Clinical Research Unit</w:t>
      </w:r>
      <w:r>
        <w:rPr>
          <w:color w:val="000000"/>
          <w:sz w:val="20"/>
          <w:szCs w:val="20"/>
        </w:rPr>
        <w:t xml:space="preserve">, </w:t>
      </w:r>
      <w:r w:rsidRPr="00A42C7F">
        <w:rPr>
          <w:color w:val="000000"/>
          <w:sz w:val="20"/>
          <w:szCs w:val="20"/>
        </w:rPr>
        <w:t> </w:t>
      </w:r>
      <w:r w:rsidRPr="00633912">
        <w:rPr>
          <w:color w:val="000000"/>
          <w:sz w:val="20"/>
          <w:szCs w:val="20"/>
        </w:rPr>
        <w:t>Research Institute of the McGill University Health Centre</w:t>
      </w:r>
      <w:r>
        <w:rPr>
          <w:color w:val="000000"/>
          <w:sz w:val="20"/>
          <w:szCs w:val="20"/>
        </w:rPr>
        <w:t>, email: dany.doiron@mail.mcgill.ca</w:t>
      </w:r>
    </w:p>
    <w:p w:rsidR="009A158F" w:rsidRDefault="009A158F" w:rsidP="009A158F">
      <w:pPr>
        <w:spacing w:before="60"/>
        <w:ind w:right="160"/>
        <w:rPr>
          <w:b/>
          <w:sz w:val="20"/>
          <w:szCs w:val="20"/>
        </w:rPr>
      </w:pPr>
    </w:p>
    <w:p w:rsidR="009A158F" w:rsidRDefault="009A158F" w:rsidP="009A158F">
      <w:pPr>
        <w:spacing w:before="60"/>
        <w:ind w:right="160"/>
        <w:rPr>
          <w:b/>
          <w:sz w:val="20"/>
          <w:szCs w:val="20"/>
        </w:rPr>
      </w:pPr>
    </w:p>
    <w:p w:rsidR="009A158F" w:rsidRDefault="009A158F" w:rsidP="009A158F">
      <w:pPr>
        <w:spacing w:before="60"/>
        <w:ind w:right="160"/>
        <w:rPr>
          <w:b/>
          <w:sz w:val="20"/>
          <w:szCs w:val="20"/>
        </w:rPr>
      </w:pPr>
    </w:p>
    <w:p w:rsidR="005D2B25" w:rsidRDefault="005D2B25" w:rsidP="005D2B25"/>
    <w:p w:rsidR="005D2B25" w:rsidRDefault="005D2B25" w:rsidP="005D2B25">
      <w:pPr>
        <w:rPr>
          <w:b/>
          <w:sz w:val="20"/>
          <w:szCs w:val="20"/>
        </w:rPr>
        <w:sectPr w:rsidR="005D2B25" w:rsidSect="009000F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5D2B25" w:rsidRDefault="005D2B25" w:rsidP="005D2B25">
      <w:r w:rsidRPr="005D2B25">
        <w:rPr>
          <w:b/>
        </w:rPr>
        <w:lastRenderedPageBreak/>
        <w:t>Figure S1:</w:t>
      </w:r>
      <w:r w:rsidRPr="005D2B25">
        <w:t xml:space="preserve"> The municipal (CSD) boundary for the City of Regina is presented in shown in blue. All areas in green have a population density of 400 person/km2 and represent the Population Centres (PC) for which data are mapped within municipal boundaries.</w:t>
      </w:r>
    </w:p>
    <w:p w:rsidR="005D2B25" w:rsidRDefault="005D2B25" w:rsidP="005D2B25"/>
    <w:p w:rsidR="005D2B25" w:rsidRDefault="005D2B25" w:rsidP="005D2B25">
      <w:r w:rsidRPr="00C10D46">
        <w:drawing>
          <wp:inline distT="0" distB="0" distL="0" distR="0" wp14:anchorId="2EC75F58" wp14:editId="31A171D6">
            <wp:extent cx="5943600" cy="4149725"/>
            <wp:effectExtent l="12700" t="12700" r="12700" b="15875"/>
            <wp:docPr id="16720997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09973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97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D2B25" w:rsidRDefault="005D2B25" w:rsidP="009A158F">
      <w:pPr>
        <w:spacing w:before="60"/>
        <w:ind w:right="160"/>
        <w:rPr>
          <w:b/>
          <w:sz w:val="20"/>
          <w:szCs w:val="20"/>
        </w:rPr>
        <w:sectPr w:rsidR="005D2B25" w:rsidSect="009000F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9A158F" w:rsidRPr="005D2B25" w:rsidRDefault="009A158F" w:rsidP="009A158F">
      <w:pPr>
        <w:spacing w:before="60"/>
        <w:ind w:right="160"/>
      </w:pPr>
      <w:r w:rsidRPr="005D2B25">
        <w:rPr>
          <w:b/>
        </w:rPr>
        <w:lastRenderedPageBreak/>
        <w:t xml:space="preserve">Table S1: </w:t>
      </w:r>
      <w:r w:rsidRPr="005D2B25">
        <w:t>Demographic and environmental data</w:t>
      </w:r>
    </w:p>
    <w:tbl>
      <w:tblPr>
        <w:tblW w:w="121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25"/>
        <w:gridCol w:w="8204"/>
        <w:gridCol w:w="2552"/>
      </w:tblGrid>
      <w:tr w:rsidR="009A158F" w:rsidTr="009A158F"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b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Variable and definition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b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Source</w:t>
            </w:r>
          </w:p>
        </w:tc>
      </w:tr>
      <w:tr w:rsidR="009A158F" w:rsidTr="009A158F">
        <w:trPr>
          <w:trHeight w:val="160"/>
        </w:trPr>
        <w:tc>
          <w:tcPr>
            <w:tcW w:w="142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Demographic indicators</w:t>
            </w: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Children: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under 15 years of age</w:t>
            </w:r>
          </w:p>
        </w:tc>
        <w:tc>
          <w:tcPr>
            <w:tcW w:w="255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2021 Canadian Census</w:t>
            </w:r>
          </w:p>
        </w:tc>
      </w:tr>
      <w:tr w:rsidR="009A158F" w:rsidTr="009A158F">
        <w:trPr>
          <w:trHeight w:val="24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b/>
                <w:color w:val="363636"/>
                <w:sz w:val="18"/>
                <w:szCs w:val="18"/>
                <w:highlight w:val="white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Older adults:</w:t>
            </w:r>
            <w:r>
              <w:rPr>
                <w:color w:val="363636"/>
                <w:sz w:val="18"/>
                <w:szCs w:val="18"/>
                <w:highlight w:val="white"/>
              </w:rPr>
              <w:t xml:space="preserve">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over 64 years of age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2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Visible minority individuals: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that identify as a visible minority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21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Individuals living alone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in private households who live alone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2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Newly-arrived immigrants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who are immigrants to Canada between 2011 and 2021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147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First-generation immigrants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who are immigrants born outside of Canada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2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Low-income individuals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under the after-tax low-income threshold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145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Low-income children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children (under 18 y/o) under the after-tax low-income threshold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137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Low-income older adults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: Percentage of older adults (over 64 y/o) under the after-tax low-income threshold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285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Low-income visible minority individuals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under the after-tax low-income cut-off threshold that identify as a visible minority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2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Low-income individuals living alone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under the after-tax low-income cut-off threshold that live alone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Low-income newly-arrived immigrants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under the after-tax low-income cut-off threshold who are immigrants to Canada between 2011 and 2021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>Low-income first-generation immigrants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Percentage of population under the after-tax low-income cut-off threshold who are immigrants born outside of Canada</w:t>
            </w:r>
          </w:p>
        </w:tc>
        <w:tc>
          <w:tcPr>
            <w:tcW w:w="255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</w:tr>
      <w:tr w:rsidR="009A158F" w:rsidTr="009A158F">
        <w:trPr>
          <w:trHeight w:val="380"/>
        </w:trPr>
        <w:tc>
          <w:tcPr>
            <w:tcW w:w="142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Built environment indicators</w:t>
            </w: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Average summer temperature: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Mean land surface temperature from May to September 2019-2021, averaged within dissemination blocks.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LandSat</w:t>
            </w:r>
            <w:proofErr w:type="spellEnd"/>
            <w:r>
              <w:rPr>
                <w:b/>
                <w:sz w:val="18"/>
                <w:szCs w:val="18"/>
              </w:rPr>
              <w:t xml:space="preserve"> 8 satellite imagery</w:t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Tree canopy cover: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Satellite-derived vegetation coverage from trees and large woody plants, averaged within dissemination blocks.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LandSat</w:t>
            </w:r>
            <w:proofErr w:type="spellEnd"/>
            <w:r>
              <w:rPr>
                <w:b/>
                <w:sz w:val="18"/>
                <w:szCs w:val="18"/>
              </w:rPr>
              <w:t xml:space="preserve"> 8 satellite imagery</w:t>
            </w: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ADDIN EN.CITE &lt;EndNote&gt;&lt;Cite&gt;&lt;Author&gt;Sexton&lt;/Author&gt;&lt;Year&gt;2013&lt;/Year&gt;&lt;RecNum&gt;856&lt;/RecNum&gt;&lt;DisplayText&gt;[1]&lt;/DisplayText&gt;&lt;record&gt;&lt;rec-number&gt;856&lt;/rec-number&gt;&lt;foreign-keys&gt;&lt;key app="EN" db-id="fpvd0vfrhx5txler0vkppvse20f00sfpeapv" timestamp="1702597743"&gt;856&lt;/key&gt;&lt;/foreign-keys&gt;&lt;ref-type name="Journal Article"&gt;17&lt;/ref-type&gt;&lt;contributors&gt;&lt;authors&gt;&lt;author&gt;Sexton, Joseph O.&lt;/author&gt;&lt;author&gt;Song, Xiao-Peng&lt;/author&gt;&lt;author&gt;Feng, Min&lt;/author&gt;&lt;author&gt;Noojipady, Praveen&lt;/author&gt;&lt;author&gt;Anand, Anupam&lt;/author&gt;&lt;author&gt;Huang, Chengquan&lt;/author&gt;&lt;author&gt;Kim, Do-Hyung&lt;/author&gt;&lt;author&gt;Collins, Kathrine M.&lt;/author&gt;&lt;author&gt;Channan, Saurabh&lt;/author&gt;&lt;author&gt;DiMiceli, Charlene&lt;/author&gt;&lt;author&gt;Townshend, John R.&lt;/author&gt;&lt;/authors&gt;&lt;/contributors&gt;&lt;titles&gt;&lt;title&gt;Global, 30-m resolution continuous fields of tree cover: Landsat-based rescaling of MODIS vegetation continuous fields with lidar-based estimates of error&lt;/title&gt;&lt;secondary-title&gt;International Journal of Digital Earth&lt;/secondary-title&gt;&lt;/titles&gt;&lt;periodical&gt;&lt;full-title&gt;International Journal of Digital Earth&lt;/full-title&gt;&lt;/periodical&gt;&lt;pages&gt;427-448&lt;/pages&gt;&lt;volume&gt;6&lt;/volume&gt;&lt;number&gt;5&lt;/number&gt;&lt;dates&gt;&lt;year&gt;2013&lt;/year&gt;&lt;pub-dates&gt;&lt;date&gt;2013/09/01&lt;/date&gt;&lt;/pub-dates&gt;&lt;/dates&gt;&lt;publisher&gt;Taylor &amp;amp; Francis&lt;/publisher&gt;&lt;isbn&gt;1753-8947&lt;/isbn&gt;&lt;urls&gt;&lt;related-urls&gt;&lt;url&gt;https://doi.org/10.1080/17538947.2013.786146&lt;/url&gt;&lt;/related-urls&gt;&lt;/urls&gt;&lt;electronic-resource-num&gt;10.1080/17538947.2013.786146&lt;/electronic-resource-num&gt;&lt;/record&gt;&lt;/Cite&gt;&lt;/EndNote&gt;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[1]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Flood susceptibility: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Areas prone to flooding based on patterns of historic flood events, averaged within dissemination blocks.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  <w:highlight w:val="cyan"/>
              </w:rPr>
            </w:pPr>
            <w:r>
              <w:rPr>
                <w:b/>
                <w:sz w:val="18"/>
                <w:szCs w:val="18"/>
              </w:rPr>
              <w:t>Natural Resources Canada's Flood Susceptibility Index</w:t>
            </w: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ADDIN EN.CITE &lt;EndNote&gt;&lt;Cite&gt;&lt;Author&gt;McGrath&lt;/Author&gt;&lt;Year&gt;2023&lt;/Year&gt;&lt;RecNum&gt;866&lt;/RecNum&gt;&lt;DisplayText&gt;[2]&lt;/DisplayText&gt;&lt;record&gt;&lt;rec-number&gt;866&lt;/rec-number&gt;&lt;foreign-keys&gt;&lt;key app="EN" db-id="fpvd0vfrhx5txler0vkppvse20f00sfpeapv" timestamp="1703187347"&gt;866&lt;/key&gt;&lt;/foreign-keys&gt;&lt;ref-type name="Journal Article"&gt;17&lt;/ref-type&gt;&lt;contributors&gt;&lt;authors&gt;&lt;author&gt;McGrath, Heather&lt;/author&gt;&lt;author&gt;Gohl, Piper Nora&lt;/author&gt;&lt;/authors&gt;&lt;/contributors&gt;&lt;titles&gt;&lt;title&gt;Prediction and Classification of Flood Susceptibility Based on Historic Record in a Large, Diverse, and Data Sparse Country&lt;/title&gt;&lt;secondary-title&gt;Environmental Sciences Proceedings&lt;/secondary-title&gt;&lt;/titles&gt;&lt;periodical&gt;&lt;full-title&gt;Environmental Sciences Proceedings&lt;/full-title&gt;&lt;/periodical&gt;&lt;pages&gt;18&lt;/pages&gt;&lt;volume&gt;25&lt;/volume&gt;&lt;number&gt;1&lt;/number&gt;&lt;dates&gt;&lt;year&gt;2023&lt;/year&gt;&lt;/dates&gt;&lt;isbn&gt;2673-4931&lt;/isbn&gt;&lt;accession-num&gt;doi:10.3390/ECWS-7-14235&lt;/accession-num&gt;&lt;urls&gt;&lt;related-urls&gt;&lt;url&gt;https://www.mdpi.com/2673-4931/25/1/18&lt;/url&gt;&lt;/related-urls&gt;&lt;/urls&gt;&lt;/record&gt;&lt;/Cite&gt;&lt;/EndNote&gt;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[2]</w:t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Transit stops: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 xml:space="preserve">Number of public transit amenities such as bus and tram stops, subway stations and car sharing locations within a 1 km radius from dissemination block centroids. 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  <w:highlight w:val="cyan"/>
              </w:rPr>
            </w:pPr>
            <w:r>
              <w:rPr>
                <w:b/>
                <w:sz w:val="18"/>
                <w:szCs w:val="18"/>
              </w:rPr>
              <w:t>Open Database of Infrastructure</w:t>
            </w: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ADDIN EN.CITE &lt;EndNote&gt;&lt;Cite&gt;&lt;Author&gt;Statistics Canada&lt;/Author&gt;&lt;Year&gt;2023&lt;/Year&gt;&lt;RecNum&gt;867&lt;/RecNum&gt;&lt;DisplayText&gt;[3]&lt;/DisplayText&gt;&lt;record&gt;&lt;rec-number&gt;867&lt;/rec-number&gt;&lt;foreign-keys&gt;&lt;key app="EN" db-id="fpvd0vfrhx5txler0vkppvse20f00sfpeapv" timestamp="1703187499"&gt;867&lt;/key&gt;&lt;/foreign-keys&gt;&lt;ref-type name="Web Page"&gt;12&lt;/ref-type&gt;&lt;contributors&gt;&lt;authors&gt;&lt;author&gt;Statistics Canada,&lt;/author&gt;&lt;/authors&gt;&lt;/contributors&gt;&lt;titles&gt;&lt;title&gt;The Open Database of Infrastructure&lt;/title&gt;&lt;/titles&gt;&lt;volume&gt;2023&lt;/volume&gt;&lt;number&gt;Dec 14&lt;/number&gt;&lt;dates&gt;&lt;year&gt;2023&lt;/year&gt;&lt;/dates&gt;&lt;urls&gt;&lt;related-urls&gt;&lt;url&gt;https://www150.statcan.gc.ca/n1/pub/34-26-0003/342600032023001-eng.htm&lt;/url&gt;&lt;/related-urls&gt;&lt;/urls&gt;&lt;/record&gt;&lt;/Cite&gt;&lt;/EndNote&gt;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[3]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Education and culture: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Number of facilities such as schools, libraries, museums, and event venues within a 1 km radius from dissemination block centroids.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OpenStreetMap database, extracted in November 2022</w:t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Retail and services: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Number of outlets such as stores, restaurants, professional services, and pharmacies within a 1 km radius from dissemination block centroids.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OpenStreetMap database, extracted in November 2022</w:t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Healthy food outlets: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Number of fresh food outlets such as supermarkets, groceries, delis, and markets within a 1 km radius from dissemination block centroids.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OpenStreetMap database, extracted in November 2022</w:t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b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Large natural areas: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Number of forests, beaches, wetlands and nature reserves within a 1 km radius from dissemination block centroids.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OpenStreetMap database, extracted in November 2022</w:t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b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Parks: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Number of community gardens, neighbourhood parks and large parks within a 1 km radius from dissemination block centroids.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OpenStreetMap database, extracted in November 2022</w:t>
            </w:r>
          </w:p>
        </w:tc>
      </w:tr>
      <w:tr w:rsidR="009A158F" w:rsidTr="009A158F">
        <w:trPr>
          <w:trHeight w:val="380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Recreation and sports facilities: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Number of facilities such as arenas, swimming pools, fitness centers and bowling alleys within a 1 km radius from dissemination block centroids.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OpenStreetMap database, extracted in November 2022</w:t>
            </w:r>
          </w:p>
        </w:tc>
      </w:tr>
      <w:tr w:rsidR="009A158F" w:rsidTr="009A158F">
        <w:trPr>
          <w:trHeight w:val="113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i/>
                <w:color w:val="363636"/>
                <w:sz w:val="18"/>
                <w:szCs w:val="18"/>
                <w:highlight w:val="white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Air pollution: </w:t>
            </w:r>
            <w:r>
              <w:rPr>
                <w:i/>
                <w:color w:val="363636"/>
                <w:sz w:val="18"/>
                <w:szCs w:val="18"/>
                <w:highlight w:val="white"/>
              </w:rPr>
              <w:t>Nitrogen dioxide air pollution for the year 2016, averaged within dissemination blocks.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Developed by </w:t>
            </w:r>
            <w:proofErr w:type="spellStart"/>
            <w:r>
              <w:rPr>
                <w:b/>
                <w:sz w:val="18"/>
                <w:szCs w:val="18"/>
              </w:rPr>
              <w:t>Hystad</w:t>
            </w:r>
            <w:proofErr w:type="spellEnd"/>
            <w:r>
              <w:rPr>
                <w:b/>
                <w:sz w:val="18"/>
                <w:szCs w:val="18"/>
              </w:rPr>
              <w:t xml:space="preserve"> et al.</w:t>
            </w: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ADDIN EN.CITE &lt;EndNote&gt;&lt;Cite&gt;&lt;Author&gt;Hystad&lt;/Author&gt;&lt;Year&gt;2011&lt;/Year&gt;&lt;RecNum&gt;38&lt;/RecNum&gt;&lt;DisplayText&gt;[4]&lt;/DisplayText&gt;&lt;record&gt;&lt;rec-number&gt;38&lt;/rec-number&gt;&lt;foreign-keys&gt;&lt;key app="EN" db-id="fpvd0vfrhx5txler0vkppvse20f00sfpeapv" timestamp="1569423722"&gt;38&lt;/key&gt;&lt;/foreign-keys&gt;&lt;ref-type name="Journal Article"&gt;17&lt;/ref-type&gt;&lt;contributors&gt;&lt;authors&gt;&lt;author&gt;Hystad, Perry&lt;/author&gt;&lt;author&gt;Setton, Eleanor&lt;/author&gt;&lt;author&gt;Cervantes, Alejandro&lt;/author&gt;&lt;author&gt;Poplawski, Karla&lt;/author&gt;&lt;author&gt;Deschenes, Steeve&lt;/author&gt;&lt;author&gt;Brauer, Michael&lt;/author&gt;&lt;author&gt;van Donkelaar, Aaron&lt;/author&gt;&lt;author&gt;Lamsal, Lok&lt;/author&gt;&lt;author&gt;Martin, Randall&lt;/author&gt;&lt;author&gt;Jerrett, Michael&lt;/author&gt;&lt;author&gt;Demers, Paul&lt;/author&gt;&lt;/authors&gt;&lt;/contributors&gt;&lt;titles&gt;&lt;title&gt;Creating national air pollution models for population exposure assessment in Canada&lt;/title&gt;&lt;secondary-title&gt;Environmental Health Perspectives&lt;/secondary-title&gt;&lt;/titles&gt;&lt;periodical&gt;&lt;full-title&gt;Environmental Health Perspectives&lt;/full-title&gt;&lt;/periodical&gt;&lt;pages&gt;1123-1129&lt;/pages&gt;&lt;volume&gt;119&lt;/volume&gt;&lt;number&gt;8&lt;/number&gt;&lt;dates&gt;&lt;year&gt;2011&lt;/year&gt;&lt;pub-dates&gt;&lt;date&gt;03/31&amp;#xD;09/15/received&amp;#xD;03/31/accepted&lt;/date&gt;&lt;/pub-dates&gt;&lt;/dates&gt;&lt;publisher&gt;National Institute of Environmental Health Sciences&lt;/publisher&gt;&lt;isbn&gt;0091-6765&amp;#xD;1552-9924&lt;/isbn&gt;&lt;accession-num&gt;PMC3237350&lt;/accession-num&gt;&lt;urls&gt;&lt;related-urls&gt;&lt;url&gt;http://www.ncbi.nlm.nih.gov/pmc/articles/PMC3237350/&lt;/url&gt;&lt;url&gt;http://www.ncbi.nlm.nih.gov/pmc/articles/PMC3237350/pdf/ehp.1002976.pdf&lt;/url&gt;&lt;/related-urls&gt;&lt;/urls&gt;&lt;electronic-resource-num&gt;10.1289/ehp.1002976&lt;/electronic-resource-num&gt;&lt;remote-database-name&gt;PMC&lt;/remote-database-name&gt;&lt;/record&gt;&lt;/Cite&gt;&lt;/EndNote&gt;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[4]</w:t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</w:tr>
      <w:tr w:rsidR="009A158F" w:rsidTr="009A158F">
        <w:trPr>
          <w:trHeight w:val="65"/>
        </w:trPr>
        <w:tc>
          <w:tcPr>
            <w:tcW w:w="14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82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Pr="009A158F" w:rsidRDefault="009A158F" w:rsidP="00E5362D">
            <w:pPr>
              <w:widowControl w:val="0"/>
              <w:rPr>
                <w:i/>
                <w:sz w:val="18"/>
                <w:szCs w:val="18"/>
              </w:rPr>
            </w:pPr>
            <w:r>
              <w:rPr>
                <w:b/>
                <w:color w:val="363636"/>
                <w:sz w:val="18"/>
                <w:szCs w:val="18"/>
                <w:highlight w:val="white"/>
              </w:rPr>
              <w:t xml:space="preserve">Noise pollution: </w:t>
            </w:r>
            <w:r>
              <w:rPr>
                <w:i/>
                <w:sz w:val="18"/>
                <w:szCs w:val="18"/>
              </w:rPr>
              <w:t>Number of noise pollution features within a distance that varies by their type (ranging from 250 m to 1 km), including airports, runways, helipads, railroads, fire and ambulance stations, and major roads.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158F" w:rsidRDefault="009A158F" w:rsidP="00E5362D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OpenStreetMap database, extracted in November 2022</w:t>
            </w:r>
          </w:p>
        </w:tc>
      </w:tr>
    </w:tbl>
    <w:p w:rsidR="009A158F" w:rsidRDefault="009A158F"/>
    <w:p w:rsidR="005D2B25" w:rsidRDefault="005D2B25">
      <w:pPr>
        <w:sectPr w:rsidR="005D2B25" w:rsidSect="009A158F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9A158F" w:rsidRDefault="009A158F"/>
    <w:p w:rsidR="009A158F" w:rsidRPr="009A158F" w:rsidRDefault="009A158F" w:rsidP="009A158F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9A158F">
        <w:rPr>
          <w:noProof/>
        </w:rPr>
        <w:t>1.</w:t>
      </w:r>
      <w:r w:rsidRPr="009A158F">
        <w:rPr>
          <w:noProof/>
        </w:rPr>
        <w:tab/>
        <w:t xml:space="preserve">Sexton, J.O., et al., </w:t>
      </w:r>
      <w:r w:rsidRPr="009A158F">
        <w:rPr>
          <w:i/>
          <w:noProof/>
        </w:rPr>
        <w:t>Global, 30-m resolution continuous fields of tree cover: Landsat-based rescaling of MODIS vegetation continuous fields with lidar-based estimates of error.</w:t>
      </w:r>
      <w:r w:rsidRPr="009A158F">
        <w:rPr>
          <w:noProof/>
        </w:rPr>
        <w:t xml:space="preserve"> International Journal of Digital Earth, 2013. </w:t>
      </w:r>
      <w:r w:rsidRPr="009A158F">
        <w:rPr>
          <w:b/>
          <w:noProof/>
        </w:rPr>
        <w:t>6</w:t>
      </w:r>
      <w:r w:rsidRPr="009A158F">
        <w:rPr>
          <w:noProof/>
        </w:rPr>
        <w:t>(5): p. 427-448.</w:t>
      </w:r>
    </w:p>
    <w:p w:rsidR="009A158F" w:rsidRPr="009A158F" w:rsidRDefault="009A158F" w:rsidP="009A158F">
      <w:pPr>
        <w:pStyle w:val="EndNoteBibliography"/>
        <w:ind w:left="720" w:hanging="720"/>
        <w:rPr>
          <w:noProof/>
        </w:rPr>
      </w:pPr>
      <w:r w:rsidRPr="009A158F">
        <w:rPr>
          <w:noProof/>
        </w:rPr>
        <w:t>2.</w:t>
      </w:r>
      <w:r w:rsidRPr="009A158F">
        <w:rPr>
          <w:noProof/>
        </w:rPr>
        <w:tab/>
        <w:t xml:space="preserve">McGrath, H. and P.N. Gohl, </w:t>
      </w:r>
      <w:r w:rsidRPr="009A158F">
        <w:rPr>
          <w:i/>
          <w:noProof/>
        </w:rPr>
        <w:t>Prediction and Classification of Flood Susceptibility Based on Historic Record in a Large, Diverse, and Data Sparse Country.</w:t>
      </w:r>
      <w:r w:rsidRPr="009A158F">
        <w:rPr>
          <w:noProof/>
        </w:rPr>
        <w:t xml:space="preserve"> Environmental Sciences Proceedings, 2023. </w:t>
      </w:r>
      <w:r w:rsidRPr="009A158F">
        <w:rPr>
          <w:b/>
          <w:noProof/>
        </w:rPr>
        <w:t>25</w:t>
      </w:r>
      <w:r w:rsidRPr="009A158F">
        <w:rPr>
          <w:noProof/>
        </w:rPr>
        <w:t>(1): p. 18.</w:t>
      </w:r>
    </w:p>
    <w:p w:rsidR="009A158F" w:rsidRPr="009A158F" w:rsidRDefault="009A158F" w:rsidP="009A158F">
      <w:pPr>
        <w:pStyle w:val="EndNoteBibliography"/>
        <w:ind w:left="720" w:hanging="720"/>
        <w:rPr>
          <w:noProof/>
        </w:rPr>
      </w:pPr>
      <w:r w:rsidRPr="009A158F">
        <w:rPr>
          <w:noProof/>
        </w:rPr>
        <w:t>3.</w:t>
      </w:r>
      <w:r w:rsidRPr="009A158F">
        <w:rPr>
          <w:noProof/>
        </w:rPr>
        <w:tab/>
        <w:t xml:space="preserve">Statistics Canada. </w:t>
      </w:r>
      <w:r w:rsidRPr="009A158F">
        <w:rPr>
          <w:i/>
          <w:noProof/>
        </w:rPr>
        <w:t>The Open Database of Infrastructure</w:t>
      </w:r>
      <w:r w:rsidRPr="009A158F">
        <w:rPr>
          <w:noProof/>
        </w:rPr>
        <w:t xml:space="preserve">. 2023  [cited 2023 Dec 14]; Available from: </w:t>
      </w:r>
      <w:hyperlink r:id="rId5" w:history="1">
        <w:r w:rsidRPr="009A158F">
          <w:rPr>
            <w:rStyle w:val="Hyperlink"/>
            <w:noProof/>
          </w:rPr>
          <w:t>https://www150.statcan.gc.ca/n1/pub/34-26-0003/342600032023001-eng.htm</w:t>
        </w:r>
      </w:hyperlink>
      <w:r w:rsidRPr="009A158F">
        <w:rPr>
          <w:noProof/>
        </w:rPr>
        <w:t>.</w:t>
      </w:r>
    </w:p>
    <w:p w:rsidR="009A158F" w:rsidRPr="009A158F" w:rsidRDefault="009A158F" w:rsidP="009A158F">
      <w:pPr>
        <w:pStyle w:val="EndNoteBibliography"/>
        <w:ind w:left="720" w:hanging="720"/>
        <w:rPr>
          <w:noProof/>
        </w:rPr>
      </w:pPr>
      <w:r w:rsidRPr="009A158F">
        <w:rPr>
          <w:noProof/>
        </w:rPr>
        <w:t>4.</w:t>
      </w:r>
      <w:r w:rsidRPr="009A158F">
        <w:rPr>
          <w:noProof/>
        </w:rPr>
        <w:tab/>
        <w:t xml:space="preserve">Hystad, P., et al., </w:t>
      </w:r>
      <w:r w:rsidRPr="009A158F">
        <w:rPr>
          <w:i/>
          <w:noProof/>
        </w:rPr>
        <w:t>Creating national air pollution models for population exposure assessment in Canada.</w:t>
      </w:r>
      <w:r w:rsidRPr="009A158F">
        <w:rPr>
          <w:noProof/>
        </w:rPr>
        <w:t xml:space="preserve"> Environmental Health Perspectives, 2011. </w:t>
      </w:r>
      <w:r w:rsidRPr="009A158F">
        <w:rPr>
          <w:b/>
          <w:noProof/>
        </w:rPr>
        <w:t>119</w:t>
      </w:r>
      <w:r w:rsidRPr="009A158F">
        <w:rPr>
          <w:noProof/>
        </w:rPr>
        <w:t>(8): p. 1123-1129.</w:t>
      </w:r>
    </w:p>
    <w:p w:rsidR="00106E13" w:rsidRDefault="009A158F">
      <w:r>
        <w:fldChar w:fldCharType="end"/>
      </w:r>
    </w:p>
    <w:sectPr w:rsidR="00106E13" w:rsidSect="005D2B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vd0vfrhx5txler0vkppvse20f00sfpeapv&quot;&gt;PhD-Converted&lt;record-ids&gt;&lt;item&gt;38&lt;/item&gt;&lt;item&gt;856&lt;/item&gt;&lt;item&gt;866&lt;/item&gt;&lt;item&gt;867&lt;/item&gt;&lt;/record-ids&gt;&lt;/item&gt;&lt;/Libraries&gt;"/>
  </w:docVars>
  <w:rsids>
    <w:rsidRoot w:val="009A158F"/>
    <w:rsid w:val="00023BB2"/>
    <w:rsid w:val="00041333"/>
    <w:rsid w:val="00041C97"/>
    <w:rsid w:val="0009165D"/>
    <w:rsid w:val="000B0409"/>
    <w:rsid w:val="000B616D"/>
    <w:rsid w:val="000C7981"/>
    <w:rsid w:val="000D074C"/>
    <w:rsid w:val="000D28F1"/>
    <w:rsid w:val="000E411C"/>
    <w:rsid w:val="000E7308"/>
    <w:rsid w:val="000F0951"/>
    <w:rsid w:val="000F0C98"/>
    <w:rsid w:val="00106E13"/>
    <w:rsid w:val="001223FB"/>
    <w:rsid w:val="00134234"/>
    <w:rsid w:val="00141B4C"/>
    <w:rsid w:val="00142093"/>
    <w:rsid w:val="00153D8B"/>
    <w:rsid w:val="001567F4"/>
    <w:rsid w:val="00170FF8"/>
    <w:rsid w:val="001763A7"/>
    <w:rsid w:val="001770FF"/>
    <w:rsid w:val="0019057D"/>
    <w:rsid w:val="00197C17"/>
    <w:rsid w:val="001A3695"/>
    <w:rsid w:val="001A78DA"/>
    <w:rsid w:val="001C6F73"/>
    <w:rsid w:val="001D19F5"/>
    <w:rsid w:val="002152D1"/>
    <w:rsid w:val="00242310"/>
    <w:rsid w:val="00247590"/>
    <w:rsid w:val="00253030"/>
    <w:rsid w:val="00261BC5"/>
    <w:rsid w:val="0026263F"/>
    <w:rsid w:val="002637CE"/>
    <w:rsid w:val="00266BDD"/>
    <w:rsid w:val="00274073"/>
    <w:rsid w:val="002A215E"/>
    <w:rsid w:val="002B4459"/>
    <w:rsid w:val="002B57FB"/>
    <w:rsid w:val="002C397C"/>
    <w:rsid w:val="002D465F"/>
    <w:rsid w:val="002E3CA9"/>
    <w:rsid w:val="002E5D3D"/>
    <w:rsid w:val="002F2929"/>
    <w:rsid w:val="00316E6C"/>
    <w:rsid w:val="00323561"/>
    <w:rsid w:val="00330C32"/>
    <w:rsid w:val="00341A07"/>
    <w:rsid w:val="00344685"/>
    <w:rsid w:val="003616FD"/>
    <w:rsid w:val="00366991"/>
    <w:rsid w:val="003A5EF5"/>
    <w:rsid w:val="003B67BF"/>
    <w:rsid w:val="003C0B1B"/>
    <w:rsid w:val="003C79D4"/>
    <w:rsid w:val="003D18C3"/>
    <w:rsid w:val="003F36FD"/>
    <w:rsid w:val="0040042C"/>
    <w:rsid w:val="00403B69"/>
    <w:rsid w:val="004069E0"/>
    <w:rsid w:val="004348AC"/>
    <w:rsid w:val="00435D5A"/>
    <w:rsid w:val="00447D4A"/>
    <w:rsid w:val="0046089D"/>
    <w:rsid w:val="00464414"/>
    <w:rsid w:val="004A3299"/>
    <w:rsid w:val="004B1640"/>
    <w:rsid w:val="004B2833"/>
    <w:rsid w:val="004C6C12"/>
    <w:rsid w:val="004D7E08"/>
    <w:rsid w:val="004E0C35"/>
    <w:rsid w:val="004E3AB4"/>
    <w:rsid w:val="004F6713"/>
    <w:rsid w:val="005047A0"/>
    <w:rsid w:val="00523ECE"/>
    <w:rsid w:val="00524E29"/>
    <w:rsid w:val="00525E65"/>
    <w:rsid w:val="00531332"/>
    <w:rsid w:val="00542BD3"/>
    <w:rsid w:val="00545CA6"/>
    <w:rsid w:val="00552946"/>
    <w:rsid w:val="0057744D"/>
    <w:rsid w:val="005A2AAA"/>
    <w:rsid w:val="005A4858"/>
    <w:rsid w:val="005B33EF"/>
    <w:rsid w:val="005C02A7"/>
    <w:rsid w:val="005C1E6A"/>
    <w:rsid w:val="005C1F81"/>
    <w:rsid w:val="005C70FA"/>
    <w:rsid w:val="005D2B25"/>
    <w:rsid w:val="005F2EB3"/>
    <w:rsid w:val="00631380"/>
    <w:rsid w:val="0064594B"/>
    <w:rsid w:val="00654049"/>
    <w:rsid w:val="006552DD"/>
    <w:rsid w:val="00664E81"/>
    <w:rsid w:val="00667959"/>
    <w:rsid w:val="00667DE4"/>
    <w:rsid w:val="00675286"/>
    <w:rsid w:val="006768F3"/>
    <w:rsid w:val="00686AE9"/>
    <w:rsid w:val="00687743"/>
    <w:rsid w:val="00697A2A"/>
    <w:rsid w:val="006B20F7"/>
    <w:rsid w:val="006B3DD0"/>
    <w:rsid w:val="006D065A"/>
    <w:rsid w:val="006E0580"/>
    <w:rsid w:val="006F3D9C"/>
    <w:rsid w:val="007024FA"/>
    <w:rsid w:val="00740B32"/>
    <w:rsid w:val="0074387A"/>
    <w:rsid w:val="007461A6"/>
    <w:rsid w:val="007542F3"/>
    <w:rsid w:val="00766D1A"/>
    <w:rsid w:val="0076769F"/>
    <w:rsid w:val="007842C4"/>
    <w:rsid w:val="007B18D5"/>
    <w:rsid w:val="007C5F32"/>
    <w:rsid w:val="007C6701"/>
    <w:rsid w:val="007E296C"/>
    <w:rsid w:val="007E7169"/>
    <w:rsid w:val="0082076B"/>
    <w:rsid w:val="00830FD7"/>
    <w:rsid w:val="008322A6"/>
    <w:rsid w:val="008322E2"/>
    <w:rsid w:val="0083387B"/>
    <w:rsid w:val="00834F28"/>
    <w:rsid w:val="00837355"/>
    <w:rsid w:val="00843D0D"/>
    <w:rsid w:val="0085163D"/>
    <w:rsid w:val="00860348"/>
    <w:rsid w:val="00892B7F"/>
    <w:rsid w:val="00895ADB"/>
    <w:rsid w:val="008A2805"/>
    <w:rsid w:val="008A3F0B"/>
    <w:rsid w:val="008A550A"/>
    <w:rsid w:val="008B1E4F"/>
    <w:rsid w:val="008C09B0"/>
    <w:rsid w:val="008D7270"/>
    <w:rsid w:val="008F53AE"/>
    <w:rsid w:val="009000FD"/>
    <w:rsid w:val="00907DD9"/>
    <w:rsid w:val="009344B6"/>
    <w:rsid w:val="00942CE0"/>
    <w:rsid w:val="009454AB"/>
    <w:rsid w:val="00955EBD"/>
    <w:rsid w:val="00961216"/>
    <w:rsid w:val="00987610"/>
    <w:rsid w:val="009A158F"/>
    <w:rsid w:val="009A2216"/>
    <w:rsid w:val="009B6C2A"/>
    <w:rsid w:val="009B72D9"/>
    <w:rsid w:val="009D25D6"/>
    <w:rsid w:val="009D380D"/>
    <w:rsid w:val="009D5FC3"/>
    <w:rsid w:val="00A20DFA"/>
    <w:rsid w:val="00A50BA4"/>
    <w:rsid w:val="00A71C46"/>
    <w:rsid w:val="00A74FE9"/>
    <w:rsid w:val="00A76B00"/>
    <w:rsid w:val="00A855C6"/>
    <w:rsid w:val="00AA18B2"/>
    <w:rsid w:val="00AA2D04"/>
    <w:rsid w:val="00AB1ABA"/>
    <w:rsid w:val="00AB28B6"/>
    <w:rsid w:val="00AD40A3"/>
    <w:rsid w:val="00AE7D1C"/>
    <w:rsid w:val="00AF0262"/>
    <w:rsid w:val="00B11A15"/>
    <w:rsid w:val="00B373A3"/>
    <w:rsid w:val="00B502FF"/>
    <w:rsid w:val="00B55808"/>
    <w:rsid w:val="00B73D6F"/>
    <w:rsid w:val="00B86B58"/>
    <w:rsid w:val="00BB014C"/>
    <w:rsid w:val="00BB13D4"/>
    <w:rsid w:val="00BB4740"/>
    <w:rsid w:val="00BC1E18"/>
    <w:rsid w:val="00BE0BDB"/>
    <w:rsid w:val="00BE71E2"/>
    <w:rsid w:val="00C00016"/>
    <w:rsid w:val="00C0254F"/>
    <w:rsid w:val="00C16734"/>
    <w:rsid w:val="00C201DA"/>
    <w:rsid w:val="00C2451C"/>
    <w:rsid w:val="00C81463"/>
    <w:rsid w:val="00C875BC"/>
    <w:rsid w:val="00C949BF"/>
    <w:rsid w:val="00CA4D67"/>
    <w:rsid w:val="00CA6130"/>
    <w:rsid w:val="00CA61DE"/>
    <w:rsid w:val="00CA77FD"/>
    <w:rsid w:val="00CF4187"/>
    <w:rsid w:val="00CF601E"/>
    <w:rsid w:val="00D01505"/>
    <w:rsid w:val="00D20EC2"/>
    <w:rsid w:val="00D24F97"/>
    <w:rsid w:val="00D3060B"/>
    <w:rsid w:val="00D323EF"/>
    <w:rsid w:val="00D4320D"/>
    <w:rsid w:val="00D44107"/>
    <w:rsid w:val="00D5580A"/>
    <w:rsid w:val="00D62AC1"/>
    <w:rsid w:val="00D679D0"/>
    <w:rsid w:val="00D74247"/>
    <w:rsid w:val="00D75BAF"/>
    <w:rsid w:val="00D80FF4"/>
    <w:rsid w:val="00D822AA"/>
    <w:rsid w:val="00D82C96"/>
    <w:rsid w:val="00D856DA"/>
    <w:rsid w:val="00D93558"/>
    <w:rsid w:val="00D95770"/>
    <w:rsid w:val="00D97F6B"/>
    <w:rsid w:val="00DA6A0D"/>
    <w:rsid w:val="00DC6DAF"/>
    <w:rsid w:val="00DE1892"/>
    <w:rsid w:val="00DF4EE7"/>
    <w:rsid w:val="00E04E31"/>
    <w:rsid w:val="00E0744E"/>
    <w:rsid w:val="00E2079A"/>
    <w:rsid w:val="00E46E5A"/>
    <w:rsid w:val="00E77E34"/>
    <w:rsid w:val="00E8437E"/>
    <w:rsid w:val="00E968D9"/>
    <w:rsid w:val="00EB7F34"/>
    <w:rsid w:val="00EE54AC"/>
    <w:rsid w:val="00F041FB"/>
    <w:rsid w:val="00F12098"/>
    <w:rsid w:val="00F54B53"/>
    <w:rsid w:val="00F85144"/>
    <w:rsid w:val="00FA4169"/>
    <w:rsid w:val="00FA6D5D"/>
    <w:rsid w:val="00FC569E"/>
    <w:rsid w:val="00FD0B76"/>
    <w:rsid w:val="00FD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7C1337"/>
  <w15:chartTrackingRefBased/>
  <w15:docId w15:val="{F8CA713F-FC54-8C4E-AE96-A60214951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58F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9A158F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A158F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A158F"/>
    <w:rPr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A158F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9A15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15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150.statcan.gc.ca/n1/pub/34-26-0003/342600032023001-eng.ht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1694</Words>
  <Characters>9657</Characters>
  <Application>Microsoft Office Word</Application>
  <DocSecurity>0</DocSecurity>
  <Lines>80</Lines>
  <Paragraphs>22</Paragraphs>
  <ScaleCrop>false</ScaleCrop>
  <Company/>
  <LinksUpToDate>false</LinksUpToDate>
  <CharactersWithSpaces>11329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 Doiron</dc:creator>
  <cp:keywords/>
  <dc:description/>
  <cp:lastModifiedBy>Dany Doiron</cp:lastModifiedBy>
  <cp:revision>2</cp:revision>
  <dcterms:created xsi:type="dcterms:W3CDTF">2023-12-21T22:00:00Z</dcterms:created>
  <dcterms:modified xsi:type="dcterms:W3CDTF">2023-12-21T22:12:00Z</dcterms:modified>
</cp:coreProperties>
</file>