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D5E93C" w14:textId="77777777" w:rsidR="007B3EE0" w:rsidRPr="009507E6" w:rsidRDefault="007B3EE0" w:rsidP="007B3EE0">
      <w:pPr>
        <w:pStyle w:val="Heading2"/>
      </w:pPr>
      <w:r w:rsidRPr="009507E6">
        <w:t>Supplementary information</w:t>
      </w:r>
    </w:p>
    <w:p w14:paraId="5D1565AD" w14:textId="77777777" w:rsidR="007B3EE0" w:rsidRPr="009507E6" w:rsidRDefault="007B3EE0" w:rsidP="007B3EE0">
      <w:pPr>
        <w:rPr>
          <w:b/>
        </w:rPr>
      </w:pPr>
      <w:r w:rsidRPr="009507E6">
        <w:rPr>
          <w:b/>
        </w:rPr>
        <w:t>Meteorological conditions during energy droughts</w:t>
      </w:r>
    </w:p>
    <w:p w14:paraId="18EA779B" w14:textId="71B6AA61" w:rsidR="007B3EE0" w:rsidRDefault="007B3EE0" w:rsidP="007B3EE0">
      <w:r w:rsidRPr="009507E6">
        <w:fldChar w:fldCharType="begin"/>
      </w:r>
      <w:r w:rsidRPr="009507E6">
        <w:instrText xml:space="preserve"> REF _Ref153138307 \h </w:instrText>
      </w:r>
      <w:r>
        <w:instrText xml:space="preserve"> \* MERGEFORMAT </w:instrText>
      </w:r>
      <w:r w:rsidRPr="009507E6">
        <w:fldChar w:fldCharType="separate"/>
      </w:r>
      <w:r>
        <w:t>Supplementary Figure 1</w:t>
      </w:r>
      <w:r w:rsidRPr="009507E6">
        <w:fldChar w:fldCharType="end"/>
      </w:r>
      <w:r w:rsidRPr="009507E6">
        <w:t xml:space="preserve"> </w:t>
      </w:r>
      <w:r>
        <w:t xml:space="preserve">and </w:t>
      </w:r>
      <w:r>
        <w:rPr>
          <w:b/>
          <w:lang w:val="nl-NL"/>
        </w:rPr>
        <w:fldChar w:fldCharType="begin"/>
      </w:r>
      <w:r w:rsidRPr="009507E6">
        <w:rPr>
          <w:b/>
        </w:rPr>
        <w:instrText xml:space="preserve"> REF _Ref153138303 \h </w:instrText>
      </w:r>
      <w:r>
        <w:rPr>
          <w:b/>
          <w:lang w:val="nl-NL"/>
        </w:rPr>
      </w:r>
      <w:r>
        <w:rPr>
          <w:b/>
          <w:lang w:val="nl-NL"/>
        </w:rPr>
        <w:fldChar w:fldCharType="separate"/>
      </w:r>
      <w:r>
        <w:t xml:space="preserve">Supplementary Figure </w:t>
      </w:r>
      <w:r>
        <w:rPr>
          <w:noProof/>
        </w:rPr>
        <w:t>2</w:t>
      </w:r>
      <w:r>
        <w:rPr>
          <w:b/>
          <w:lang w:val="nl-NL"/>
        </w:rPr>
        <w:fldChar w:fldCharType="end"/>
      </w:r>
      <w:r w:rsidRPr="009507E6">
        <w:rPr>
          <w:b/>
        </w:rPr>
        <w:t xml:space="preserve"> </w:t>
      </w:r>
      <w:r w:rsidRPr="009507E6">
        <w:t>show the composite maps of the meteorological anomalies during the winter and summer energy droughts.</w:t>
      </w:r>
      <w:r>
        <w:t xml:space="preserve"> During summer energy drought windows (EDWs) all countries experience higher than normal temperatures and lower than normal windspeeds. These conditions are the result of long-lasting blocking events, that coincide with little cloud formation and therefor anomalously high </w:t>
      </w:r>
      <w:r w:rsidR="007707D4">
        <w:t xml:space="preserve">solar </w:t>
      </w:r>
      <w:r>
        <w:t xml:space="preserve">radiation. During winter EDWs temperatures and windspeeds are low, and negative runoff anomalies are more pronounced. </w:t>
      </w:r>
    </w:p>
    <w:p w14:paraId="75FB30B9" w14:textId="77777777" w:rsidR="007B3EE0" w:rsidRDefault="007B3EE0" w:rsidP="007B3EE0"/>
    <w:p w14:paraId="40892AFC" w14:textId="77777777" w:rsidR="007B3EE0" w:rsidRDefault="007B3EE0" w:rsidP="007B3EE0">
      <w:pPr>
        <w:keepNext/>
        <w:widowControl w:val="0"/>
        <w:autoSpaceDE w:val="0"/>
        <w:autoSpaceDN w:val="0"/>
        <w:adjustRightInd w:val="0"/>
        <w:ind w:left="640" w:hanging="640"/>
      </w:pPr>
      <w:r>
        <w:rPr>
          <w:noProof/>
        </w:rPr>
        <w:drawing>
          <wp:inline distT="0" distB="0" distL="0" distR="0" wp14:anchorId="21FE1297" wp14:editId="2B1BF9FB">
            <wp:extent cx="5727700" cy="52927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bfig2.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27700" cy="5292725"/>
                    </a:xfrm>
                    <a:prstGeom prst="rect">
                      <a:avLst/>
                    </a:prstGeom>
                  </pic:spPr>
                </pic:pic>
              </a:graphicData>
            </a:graphic>
          </wp:inline>
        </w:drawing>
      </w:r>
    </w:p>
    <w:p w14:paraId="6942D019" w14:textId="77777777" w:rsidR="007B3EE0" w:rsidRDefault="007B3EE0" w:rsidP="007B3EE0">
      <w:pPr>
        <w:pStyle w:val="Caption"/>
      </w:pPr>
      <w:bookmarkStart w:id="0" w:name="_Ref153138307"/>
      <w:r>
        <w:t xml:space="preserve">Supplementary Figure </w:t>
      </w:r>
      <w:r w:rsidR="007142CD">
        <w:fldChar w:fldCharType="begin"/>
      </w:r>
      <w:r w:rsidR="007142CD">
        <w:instrText xml:space="preserve"> SEQ Supplementary_Figure \* ARABIC </w:instrText>
      </w:r>
      <w:r w:rsidR="007142CD">
        <w:fldChar w:fldCharType="separate"/>
      </w:r>
      <w:r>
        <w:rPr>
          <w:noProof/>
        </w:rPr>
        <w:t>1</w:t>
      </w:r>
      <w:r w:rsidR="007142CD">
        <w:rPr>
          <w:noProof/>
        </w:rPr>
        <w:fldChar w:fldCharType="end"/>
      </w:r>
      <w:bookmarkEnd w:id="0"/>
      <w:r>
        <w:t>:</w:t>
      </w:r>
      <w:r w:rsidRPr="00352059">
        <w:t xml:space="preserve"> </w:t>
      </w:r>
      <w:r w:rsidRPr="00175F1F">
        <w:t xml:space="preserve">Representation of the 30-day </w:t>
      </w:r>
      <w:r>
        <w:t xml:space="preserve">summer </w:t>
      </w:r>
      <w:r w:rsidRPr="00175F1F">
        <w:t xml:space="preserve">Energy Drought Windows (EDW) </w:t>
      </w:r>
      <w:r>
        <w:t>occurring once in 10 years or less f</w:t>
      </w:r>
      <w:r w:rsidRPr="00546CEA">
        <w:t xml:space="preserve">or </w:t>
      </w:r>
      <w:r>
        <w:t>three</w:t>
      </w:r>
      <w:r w:rsidRPr="00546CEA">
        <w:t xml:space="preserve"> European countries, organized from top to bottom: France, Spain, and Italy. Horizontally, from left to right, the panels illustrate anomalies in</w:t>
      </w:r>
      <w:r>
        <w:t xml:space="preserve"> near-</w:t>
      </w:r>
      <w:r w:rsidRPr="00546CEA">
        <w:t>surface temperature,</w:t>
      </w:r>
      <w:r>
        <w:t xml:space="preserve"> near-surface</w:t>
      </w:r>
      <w:r w:rsidRPr="00546CEA">
        <w:t xml:space="preserve"> wind speed, </w:t>
      </w:r>
      <w:r>
        <w:t xml:space="preserve">solar </w:t>
      </w:r>
      <w:r w:rsidRPr="00546CEA">
        <w:t>radiation, and</w:t>
      </w:r>
      <w:r>
        <w:t xml:space="preserve"> total</w:t>
      </w:r>
      <w:r w:rsidRPr="00546CEA">
        <w:t xml:space="preserve"> runoff during these EDWs. </w:t>
      </w:r>
      <w:r>
        <w:t>R</w:t>
      </w:r>
      <w:r w:rsidRPr="00546CEA">
        <w:t>ed lines</w:t>
      </w:r>
      <w:r>
        <w:t xml:space="preserve"> depict</w:t>
      </w:r>
      <w:r w:rsidRPr="00546CEA">
        <w:t xml:space="preserve"> the mean sea level pressure patterns concurrent with these events.</w:t>
      </w:r>
    </w:p>
    <w:p w14:paraId="43364505" w14:textId="77777777" w:rsidR="007B3EE0" w:rsidRPr="009507E6" w:rsidRDefault="007B3EE0" w:rsidP="007B3EE0"/>
    <w:p w14:paraId="1402A6E9" w14:textId="77777777" w:rsidR="007B3EE0" w:rsidRDefault="007B3EE0" w:rsidP="007B3EE0">
      <w:pPr>
        <w:keepNext/>
        <w:widowControl w:val="0"/>
        <w:autoSpaceDE w:val="0"/>
        <w:autoSpaceDN w:val="0"/>
        <w:adjustRightInd w:val="0"/>
        <w:ind w:left="640" w:hanging="640"/>
      </w:pPr>
      <w:r>
        <w:rPr>
          <w:noProof/>
        </w:rPr>
        <w:lastRenderedPageBreak/>
        <w:drawing>
          <wp:inline distT="0" distB="0" distL="0" distR="0" wp14:anchorId="6B51E4D4" wp14:editId="3FC48044">
            <wp:extent cx="4333875" cy="8291201"/>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bfig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346369" cy="8315104"/>
                    </a:xfrm>
                    <a:prstGeom prst="rect">
                      <a:avLst/>
                    </a:prstGeom>
                  </pic:spPr>
                </pic:pic>
              </a:graphicData>
            </a:graphic>
          </wp:inline>
        </w:drawing>
      </w:r>
    </w:p>
    <w:p w14:paraId="44CA072B" w14:textId="77777777" w:rsidR="007B3EE0" w:rsidRDefault="007B3EE0" w:rsidP="007B3EE0">
      <w:pPr>
        <w:pStyle w:val="Caption"/>
      </w:pPr>
      <w:bookmarkStart w:id="1" w:name="_Ref153138303"/>
      <w:r>
        <w:t xml:space="preserve">Supplementary Figure </w:t>
      </w:r>
      <w:r w:rsidR="007142CD">
        <w:fldChar w:fldCharType="begin"/>
      </w:r>
      <w:r w:rsidR="007142CD">
        <w:instrText xml:space="preserve"> SEQ Supplementary_Figure \* ARABIC </w:instrText>
      </w:r>
      <w:r w:rsidR="007142CD">
        <w:fldChar w:fldCharType="separate"/>
      </w:r>
      <w:r>
        <w:rPr>
          <w:noProof/>
        </w:rPr>
        <w:t>2</w:t>
      </w:r>
      <w:r w:rsidR="007142CD">
        <w:rPr>
          <w:noProof/>
        </w:rPr>
        <w:fldChar w:fldCharType="end"/>
      </w:r>
      <w:bookmarkEnd w:id="1"/>
      <w:r>
        <w:t xml:space="preserve">: </w:t>
      </w:r>
      <w:r w:rsidRPr="00175F1F">
        <w:t xml:space="preserve">Representation of the 30-day </w:t>
      </w:r>
      <w:r>
        <w:t xml:space="preserve">winter </w:t>
      </w:r>
      <w:r w:rsidRPr="00175F1F">
        <w:t xml:space="preserve">Energy Drought Windows (EDW) </w:t>
      </w:r>
      <w:r>
        <w:t>occurring once in 10 years or less f</w:t>
      </w:r>
      <w:r w:rsidRPr="00546CEA">
        <w:t>or</w:t>
      </w:r>
      <w:r>
        <w:t xml:space="preserve"> six European countries. Or</w:t>
      </w:r>
      <w:r w:rsidRPr="00546CEA">
        <w:t>ganized from top to bottom: Norway, Sweden, Switzerland, France, Spain, and Italy. Horizontally</w:t>
      </w:r>
      <w:r>
        <w:t xml:space="preserve"> variables like in Supplementary Figure 1.</w:t>
      </w:r>
    </w:p>
    <w:p w14:paraId="1581E440" w14:textId="77777777" w:rsidR="007B3EE0" w:rsidRPr="00C4504C" w:rsidRDefault="007B3EE0" w:rsidP="007B3EE0">
      <w:pPr>
        <w:rPr>
          <w:b/>
        </w:rPr>
      </w:pPr>
      <w:r>
        <w:br w:type="column"/>
      </w:r>
      <w:r w:rsidRPr="00C4504C">
        <w:rPr>
          <w:b/>
        </w:rPr>
        <w:lastRenderedPageBreak/>
        <w:t>Energy production and demand during energy droughts</w:t>
      </w:r>
    </w:p>
    <w:p w14:paraId="331E26BF" w14:textId="3E6C7FEF" w:rsidR="007B3EE0" w:rsidRPr="00996CDF" w:rsidRDefault="007B3EE0" w:rsidP="007B3EE0">
      <w:r w:rsidRPr="00996CDF">
        <w:fldChar w:fldCharType="begin"/>
      </w:r>
      <w:r w:rsidRPr="00996CDF">
        <w:instrText xml:space="preserve"> REF _Ref153138946 \h  \* MERGEFORMAT </w:instrText>
      </w:r>
      <w:r w:rsidRPr="00996CDF">
        <w:fldChar w:fldCharType="separate"/>
      </w:r>
      <w:r>
        <w:t xml:space="preserve">Supplementary Figure </w:t>
      </w:r>
      <w:r>
        <w:rPr>
          <w:noProof/>
        </w:rPr>
        <w:t>3</w:t>
      </w:r>
      <w:r w:rsidRPr="00996CDF">
        <w:fldChar w:fldCharType="end"/>
      </w:r>
      <w:r w:rsidRPr="00996CDF">
        <w:t xml:space="preserve"> and </w:t>
      </w:r>
      <w:r w:rsidRPr="00996CDF">
        <w:fldChar w:fldCharType="begin"/>
      </w:r>
      <w:r w:rsidRPr="00996CDF">
        <w:instrText xml:space="preserve"> REF _Ref153138955 \h  \* MERGEFORMAT </w:instrText>
      </w:r>
      <w:r w:rsidRPr="00996CDF">
        <w:fldChar w:fldCharType="separate"/>
      </w:r>
      <w:r>
        <w:t xml:space="preserve">Supplementary Figure </w:t>
      </w:r>
      <w:r>
        <w:rPr>
          <w:noProof/>
        </w:rPr>
        <w:t>4</w:t>
      </w:r>
      <w:r w:rsidRPr="00996CDF">
        <w:fldChar w:fldCharType="end"/>
      </w:r>
      <w:r w:rsidRPr="00996CDF">
        <w:t xml:space="preserve"> show a timeseries analysis of </w:t>
      </w:r>
      <w:r w:rsidR="007707D4">
        <w:t>electricity</w:t>
      </w:r>
      <w:r w:rsidRPr="00996CDF">
        <w:t xml:space="preserve"> load, production, and storage during energy drought events across six European countries: Norway, Sweden, Switzerland, France, Spain, and Italy, arranged from top to bottom.</w:t>
      </w:r>
    </w:p>
    <w:p w14:paraId="5B5E4136" w14:textId="6374DAD9" w:rsidR="007B3EE0" w:rsidRDefault="007B3EE0" w:rsidP="007B3EE0">
      <w:r w:rsidRPr="00996CDF">
        <w:t xml:space="preserve">During both winter and summer energy droughts demand is high and in most </w:t>
      </w:r>
      <w:proofErr w:type="gramStart"/>
      <w:r w:rsidRPr="00996CDF">
        <w:t>countries</w:t>
      </w:r>
      <w:proofErr w:type="gramEnd"/>
      <w:r w:rsidRPr="00996CDF">
        <w:t xml:space="preserve"> hydropower production is reduced. Additionally, for certain countries, the energy droughts are further intensified by a marked decrease in wind energy production. </w:t>
      </w:r>
    </w:p>
    <w:p w14:paraId="49F8AAEE" w14:textId="77777777" w:rsidR="007B3EE0" w:rsidRDefault="007B3EE0" w:rsidP="007B3EE0"/>
    <w:p w14:paraId="63C23F08" w14:textId="77777777" w:rsidR="007B3EE0" w:rsidRDefault="007B3EE0" w:rsidP="007B3EE0">
      <w:pPr>
        <w:keepNext/>
        <w:widowControl w:val="0"/>
        <w:autoSpaceDE w:val="0"/>
        <w:autoSpaceDN w:val="0"/>
        <w:adjustRightInd w:val="0"/>
      </w:pPr>
      <w:r>
        <w:rPr>
          <w:noProof/>
        </w:rPr>
        <w:drawing>
          <wp:inline distT="0" distB="0" distL="0" distR="0" wp14:anchorId="7079963A" wp14:editId="038533FF">
            <wp:extent cx="5727700" cy="276034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ubfig4.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27700" cy="2760345"/>
                    </a:xfrm>
                    <a:prstGeom prst="rect">
                      <a:avLst/>
                    </a:prstGeom>
                  </pic:spPr>
                </pic:pic>
              </a:graphicData>
            </a:graphic>
          </wp:inline>
        </w:drawing>
      </w:r>
    </w:p>
    <w:p w14:paraId="2DF8F631" w14:textId="33C6FDA8" w:rsidR="007B3EE0" w:rsidRDefault="007B3EE0" w:rsidP="007B3EE0">
      <w:pPr>
        <w:pStyle w:val="Caption"/>
      </w:pPr>
      <w:bookmarkStart w:id="2" w:name="_Ref153138946"/>
      <w:r>
        <w:t xml:space="preserve">Supplementary Figure </w:t>
      </w:r>
      <w:r w:rsidR="007142CD">
        <w:fldChar w:fldCharType="begin"/>
      </w:r>
      <w:r w:rsidR="007142CD">
        <w:instrText xml:space="preserve"> SEQ Supplementary_Figure \* ARABIC </w:instrText>
      </w:r>
      <w:r w:rsidR="007142CD">
        <w:fldChar w:fldCharType="separate"/>
      </w:r>
      <w:r>
        <w:rPr>
          <w:noProof/>
        </w:rPr>
        <w:t>3</w:t>
      </w:r>
      <w:r w:rsidR="007142CD">
        <w:rPr>
          <w:noProof/>
        </w:rPr>
        <w:fldChar w:fldCharType="end"/>
      </w:r>
      <w:bookmarkEnd w:id="2"/>
      <w:r>
        <w:t xml:space="preserve">: Timeseries plots of </w:t>
      </w:r>
      <w:r w:rsidRPr="00546CEA">
        <w:t xml:space="preserve">energy load, production, and storage during </w:t>
      </w:r>
      <w:r>
        <w:t xml:space="preserve">30-day </w:t>
      </w:r>
      <w:r w:rsidR="007707D4">
        <w:t>summer</w:t>
      </w:r>
      <w:r>
        <w:t xml:space="preserve"> energy drought windows (EDWs) that occur once in 10 years or less</w:t>
      </w:r>
      <w:r w:rsidRPr="00546CEA">
        <w:t xml:space="preserve"> across</w:t>
      </w:r>
      <w:r>
        <w:t xml:space="preserve"> three</w:t>
      </w:r>
      <w:r w:rsidRPr="00546CEA">
        <w:t xml:space="preserve"> European countries: France, Spain, and Italy, arranged from top to bottom. </w:t>
      </w:r>
      <w:r w:rsidRPr="001057EF">
        <w:t>From left to right,</w:t>
      </w:r>
      <w:r>
        <w:t xml:space="preserve"> residual load (</w:t>
      </w:r>
      <w:r w:rsidR="007707D4">
        <w:t xml:space="preserve">electricity </w:t>
      </w:r>
      <w:r>
        <w:t xml:space="preserve">demand minus renewable </w:t>
      </w:r>
      <w:r w:rsidR="007707D4">
        <w:t xml:space="preserve">electricity </w:t>
      </w:r>
      <w:r>
        <w:t>production), demand, hydropower production, wind power production, photovoltaic (</w:t>
      </w:r>
      <w:proofErr w:type="spellStart"/>
      <w:r>
        <w:t>pv</w:t>
      </w:r>
      <w:proofErr w:type="spellEnd"/>
      <w:r>
        <w:t xml:space="preserve">) solar production and the storage levels in the hydropower reservoirs. </w:t>
      </w:r>
      <w:r w:rsidRPr="00175F1F">
        <w:t>The grey areas show the 10</w:t>
      </w:r>
      <w:r w:rsidRPr="00175F1F">
        <w:rPr>
          <w:vertAlign w:val="superscript"/>
        </w:rPr>
        <w:t>th</w:t>
      </w:r>
      <w:r w:rsidRPr="00175F1F">
        <w:t>-90</w:t>
      </w:r>
      <w:r w:rsidRPr="00175F1F">
        <w:rPr>
          <w:vertAlign w:val="superscript"/>
        </w:rPr>
        <w:t>th</w:t>
      </w:r>
      <w:r w:rsidRPr="00175F1F">
        <w:t xml:space="preserve"> and the 25</w:t>
      </w:r>
      <w:r w:rsidRPr="00175F1F">
        <w:rPr>
          <w:vertAlign w:val="superscript"/>
        </w:rPr>
        <w:t>th</w:t>
      </w:r>
      <w:r w:rsidRPr="00175F1F">
        <w:t>-75</w:t>
      </w:r>
      <w:r w:rsidRPr="00175F1F">
        <w:rPr>
          <w:vertAlign w:val="superscript"/>
        </w:rPr>
        <w:t>th</w:t>
      </w:r>
      <w:r w:rsidRPr="00175F1F">
        <w:t xml:space="preserve"> percentiles and the </w:t>
      </w:r>
      <w:r>
        <w:t>black</w:t>
      </w:r>
      <w:r w:rsidRPr="00175F1F">
        <w:t xml:space="preserve"> line the composite mean over all events. The </w:t>
      </w:r>
      <w:r>
        <w:t>orange</w:t>
      </w:r>
      <w:r w:rsidRPr="00175F1F">
        <w:t xml:space="preserve"> section shows the </w:t>
      </w:r>
      <w:r>
        <w:t>energy drought window.</w:t>
      </w:r>
    </w:p>
    <w:p w14:paraId="430978F0" w14:textId="77777777" w:rsidR="007B3EE0" w:rsidRDefault="007B3EE0" w:rsidP="007B3EE0">
      <w:pPr>
        <w:widowControl w:val="0"/>
        <w:autoSpaceDE w:val="0"/>
        <w:autoSpaceDN w:val="0"/>
        <w:adjustRightInd w:val="0"/>
        <w:ind w:left="640" w:hanging="640"/>
      </w:pPr>
    </w:p>
    <w:p w14:paraId="5D715F6F" w14:textId="77777777" w:rsidR="007B3EE0" w:rsidRDefault="007B3EE0" w:rsidP="007B3EE0">
      <w:pPr>
        <w:widowControl w:val="0"/>
        <w:autoSpaceDE w:val="0"/>
        <w:autoSpaceDN w:val="0"/>
        <w:adjustRightInd w:val="0"/>
        <w:ind w:left="640" w:hanging="640"/>
      </w:pPr>
    </w:p>
    <w:p w14:paraId="616713C4" w14:textId="77777777" w:rsidR="007B3EE0" w:rsidRDefault="007B3EE0" w:rsidP="007B3EE0">
      <w:pPr>
        <w:widowControl w:val="0"/>
        <w:autoSpaceDE w:val="0"/>
        <w:autoSpaceDN w:val="0"/>
        <w:adjustRightInd w:val="0"/>
      </w:pPr>
    </w:p>
    <w:p w14:paraId="4A6E3C5D" w14:textId="77777777" w:rsidR="007B3EE0" w:rsidRDefault="007B3EE0" w:rsidP="007B3EE0">
      <w:pPr>
        <w:keepNext/>
        <w:widowControl w:val="0"/>
        <w:autoSpaceDE w:val="0"/>
        <w:autoSpaceDN w:val="0"/>
        <w:adjustRightInd w:val="0"/>
      </w:pPr>
      <w:r>
        <w:rPr>
          <w:noProof/>
        </w:rPr>
        <w:lastRenderedPageBreak/>
        <w:drawing>
          <wp:inline distT="0" distB="0" distL="0" distR="0" wp14:anchorId="28287A1B" wp14:editId="33E127B0">
            <wp:extent cx="5727700" cy="5562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ubfig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5562600"/>
                    </a:xfrm>
                    <a:prstGeom prst="rect">
                      <a:avLst/>
                    </a:prstGeom>
                  </pic:spPr>
                </pic:pic>
              </a:graphicData>
            </a:graphic>
          </wp:inline>
        </w:drawing>
      </w:r>
    </w:p>
    <w:p w14:paraId="020EA6C9" w14:textId="77777777" w:rsidR="007B3EE0" w:rsidRDefault="007B3EE0" w:rsidP="007B3EE0">
      <w:pPr>
        <w:pStyle w:val="Caption"/>
      </w:pPr>
      <w:bookmarkStart w:id="3" w:name="_Ref153138955"/>
      <w:r>
        <w:t xml:space="preserve">Supplementary Figure </w:t>
      </w:r>
      <w:r w:rsidR="007142CD">
        <w:fldChar w:fldCharType="begin"/>
      </w:r>
      <w:r w:rsidR="007142CD">
        <w:instrText xml:space="preserve"> SEQ Supplementary_Figure \* ARABIC </w:instrText>
      </w:r>
      <w:r w:rsidR="007142CD">
        <w:fldChar w:fldCharType="separate"/>
      </w:r>
      <w:r>
        <w:rPr>
          <w:noProof/>
        </w:rPr>
        <w:t>4</w:t>
      </w:r>
      <w:r w:rsidR="007142CD">
        <w:rPr>
          <w:noProof/>
        </w:rPr>
        <w:fldChar w:fldCharType="end"/>
      </w:r>
      <w:bookmarkEnd w:id="3"/>
      <w:r>
        <w:t>:</w:t>
      </w:r>
      <w:r w:rsidRPr="00352059">
        <w:t xml:space="preserve"> </w:t>
      </w:r>
      <w:r>
        <w:t xml:space="preserve">Timeseries plots of </w:t>
      </w:r>
      <w:r w:rsidRPr="00546CEA">
        <w:t xml:space="preserve">energy load, production, and storage during </w:t>
      </w:r>
      <w:r>
        <w:t>30-day winter energy drought windows (EDWs) that occur once in 10 years or less</w:t>
      </w:r>
      <w:r w:rsidRPr="00546CEA">
        <w:t xml:space="preserve"> across six European countries: Norway, Sweden, Switzerland, France, Spain, and Italy, arranged from top to bottom. </w:t>
      </w:r>
      <w:r w:rsidRPr="001057EF">
        <w:t>From left to right,</w:t>
      </w:r>
      <w:r>
        <w:t xml:space="preserve"> residual load (demand minus renewable production), demand, hydropower production, wind power production, photovoltaic (</w:t>
      </w:r>
      <w:proofErr w:type="spellStart"/>
      <w:r>
        <w:t>pv</w:t>
      </w:r>
      <w:proofErr w:type="spellEnd"/>
      <w:r>
        <w:t xml:space="preserve">) solar production and the storage levels in the hydropower reservoirs. </w:t>
      </w:r>
      <w:r w:rsidRPr="00175F1F">
        <w:t>The grey areas show the 10</w:t>
      </w:r>
      <w:r w:rsidRPr="00175F1F">
        <w:rPr>
          <w:vertAlign w:val="superscript"/>
        </w:rPr>
        <w:t>th</w:t>
      </w:r>
      <w:r w:rsidRPr="00175F1F">
        <w:t>-90</w:t>
      </w:r>
      <w:r w:rsidRPr="00175F1F">
        <w:rPr>
          <w:vertAlign w:val="superscript"/>
        </w:rPr>
        <w:t>th</w:t>
      </w:r>
      <w:r w:rsidRPr="00175F1F">
        <w:t xml:space="preserve"> and the 25</w:t>
      </w:r>
      <w:r w:rsidRPr="00175F1F">
        <w:rPr>
          <w:vertAlign w:val="superscript"/>
        </w:rPr>
        <w:t>th</w:t>
      </w:r>
      <w:r w:rsidRPr="00175F1F">
        <w:t>-75</w:t>
      </w:r>
      <w:r w:rsidRPr="00175F1F">
        <w:rPr>
          <w:vertAlign w:val="superscript"/>
        </w:rPr>
        <w:t>th</w:t>
      </w:r>
      <w:r w:rsidRPr="00175F1F">
        <w:t xml:space="preserve"> percentiles and the </w:t>
      </w:r>
      <w:r>
        <w:t>black</w:t>
      </w:r>
      <w:r w:rsidRPr="00175F1F">
        <w:t xml:space="preserve"> line the composite mean over all events. The blue section shows the </w:t>
      </w:r>
      <w:r>
        <w:t>energy drought window.</w:t>
      </w:r>
    </w:p>
    <w:p w14:paraId="07212F2F" w14:textId="77777777" w:rsidR="007B3EE0" w:rsidRDefault="007B3EE0" w:rsidP="007B3EE0">
      <w:pPr>
        <w:widowControl w:val="0"/>
        <w:autoSpaceDE w:val="0"/>
        <w:autoSpaceDN w:val="0"/>
        <w:adjustRightInd w:val="0"/>
      </w:pPr>
    </w:p>
    <w:p w14:paraId="1F1BE077" w14:textId="7B684D90" w:rsidR="007B3EE0" w:rsidRPr="00996CDF" w:rsidRDefault="007707D4" w:rsidP="007B3EE0">
      <w:pPr>
        <w:widowControl w:val="0"/>
        <w:autoSpaceDE w:val="0"/>
        <w:autoSpaceDN w:val="0"/>
        <w:adjustRightInd w:val="0"/>
        <w:rPr>
          <w:b/>
        </w:rPr>
      </w:pPr>
      <w:r>
        <w:rPr>
          <w:b/>
        </w:rPr>
        <w:br w:type="column"/>
      </w:r>
      <w:r w:rsidR="007B3EE0" w:rsidRPr="00996CDF">
        <w:rPr>
          <w:b/>
        </w:rPr>
        <w:lastRenderedPageBreak/>
        <w:t xml:space="preserve">Inflow into reservoirs during high demand and low wind and PV production events </w:t>
      </w:r>
    </w:p>
    <w:p w14:paraId="0B7EFD28" w14:textId="1E336FF9" w:rsidR="007B3EE0" w:rsidRDefault="007B3EE0" w:rsidP="007B3EE0">
      <w:pPr>
        <w:widowControl w:val="0"/>
        <w:autoSpaceDE w:val="0"/>
        <w:autoSpaceDN w:val="0"/>
        <w:adjustRightInd w:val="0"/>
      </w:pPr>
      <w:r>
        <w:fldChar w:fldCharType="begin"/>
      </w:r>
      <w:r>
        <w:instrText xml:space="preserve"> REF _Ref153138991 \h </w:instrText>
      </w:r>
      <w:r>
        <w:fldChar w:fldCharType="separate"/>
      </w:r>
      <w:r>
        <w:t xml:space="preserve">Supplementary Figure </w:t>
      </w:r>
      <w:r>
        <w:rPr>
          <w:noProof/>
        </w:rPr>
        <w:t>5</w:t>
      </w:r>
      <w:r>
        <w:fldChar w:fldCharType="end"/>
      </w:r>
      <w:r>
        <w:t xml:space="preserve"> shows the inflow into reservoirs during instantaneous high residual loads, where </w:t>
      </w:r>
      <w:r w:rsidR="007707D4">
        <w:t>instantaneous</w:t>
      </w:r>
      <w:r>
        <w:t xml:space="preserve"> residual loads are defined as the difference between demand and non-dispatchable renewable energy production (photovoltaic solar and wind). It can be seen that especially in Southern Europe, periods of high demand and low non-dispatchable production coincide with reduced reservoir inflows.</w:t>
      </w:r>
    </w:p>
    <w:p w14:paraId="21C29A26" w14:textId="77777777" w:rsidR="007B3EE0" w:rsidRDefault="007B3EE0" w:rsidP="007B3EE0">
      <w:pPr>
        <w:keepNext/>
        <w:widowControl w:val="0"/>
        <w:autoSpaceDE w:val="0"/>
        <w:autoSpaceDN w:val="0"/>
        <w:adjustRightInd w:val="0"/>
      </w:pPr>
      <w:r>
        <w:rPr>
          <w:noProof/>
        </w:rPr>
        <w:drawing>
          <wp:inline distT="0" distB="0" distL="0" distR="0" wp14:anchorId="5FBC6885" wp14:editId="5A02B17F">
            <wp:extent cx="5727560" cy="1887854"/>
            <wp:effectExtent l="0" t="0" r="635"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bfig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560" cy="1887854"/>
                    </a:xfrm>
                    <a:prstGeom prst="rect">
                      <a:avLst/>
                    </a:prstGeom>
                  </pic:spPr>
                </pic:pic>
              </a:graphicData>
            </a:graphic>
          </wp:inline>
        </w:drawing>
      </w:r>
    </w:p>
    <w:p w14:paraId="41A05EE3" w14:textId="6B0DCFC8" w:rsidR="007B3EE0" w:rsidRDefault="007B3EE0" w:rsidP="007B3EE0">
      <w:pPr>
        <w:pStyle w:val="Caption"/>
      </w:pPr>
      <w:bookmarkStart w:id="4" w:name="_Ref153138991"/>
      <w:r>
        <w:t xml:space="preserve">Supplementary Figure </w:t>
      </w:r>
      <w:r w:rsidR="007142CD">
        <w:fldChar w:fldCharType="begin"/>
      </w:r>
      <w:r w:rsidR="007142CD">
        <w:instrText xml:space="preserve"> SEQ Supplementary_Figure \* ARABIC </w:instrText>
      </w:r>
      <w:r w:rsidR="007142CD">
        <w:fldChar w:fldCharType="separate"/>
      </w:r>
      <w:r>
        <w:rPr>
          <w:noProof/>
        </w:rPr>
        <w:t>5</w:t>
      </w:r>
      <w:r w:rsidR="007142CD">
        <w:rPr>
          <w:noProof/>
        </w:rPr>
        <w:fldChar w:fldCharType="end"/>
      </w:r>
      <w:bookmarkEnd w:id="4"/>
      <w:r>
        <w:t xml:space="preserve">: Timeseries of daily inflow into </w:t>
      </w:r>
      <w:r w:rsidR="007707D4">
        <w:t xml:space="preserve">hydropower </w:t>
      </w:r>
      <w:r>
        <w:t xml:space="preserve">reservoirs around once in 10 years or less high demand and low wind and photovoltaic solar production events for Norway, Sweden, Switzerland, Italy, France and Spain. </w:t>
      </w:r>
      <w:r w:rsidRPr="00175F1F">
        <w:t>The grey areas show the 10</w:t>
      </w:r>
      <w:r w:rsidRPr="00175F1F">
        <w:rPr>
          <w:vertAlign w:val="superscript"/>
        </w:rPr>
        <w:t>th</w:t>
      </w:r>
      <w:r w:rsidRPr="00175F1F">
        <w:t>-90</w:t>
      </w:r>
      <w:r w:rsidRPr="00175F1F">
        <w:rPr>
          <w:vertAlign w:val="superscript"/>
        </w:rPr>
        <w:t>th</w:t>
      </w:r>
      <w:r w:rsidRPr="00175F1F">
        <w:t xml:space="preserve"> and the 25</w:t>
      </w:r>
      <w:r w:rsidRPr="00175F1F">
        <w:rPr>
          <w:vertAlign w:val="superscript"/>
        </w:rPr>
        <w:t>th</w:t>
      </w:r>
      <w:r w:rsidRPr="00175F1F">
        <w:t>-75</w:t>
      </w:r>
      <w:r w:rsidRPr="00175F1F">
        <w:rPr>
          <w:vertAlign w:val="superscript"/>
        </w:rPr>
        <w:t>th</w:t>
      </w:r>
      <w:r w:rsidRPr="00175F1F">
        <w:t xml:space="preserve"> percentiles and the </w:t>
      </w:r>
      <w:r>
        <w:t>black</w:t>
      </w:r>
      <w:r w:rsidRPr="00175F1F">
        <w:t xml:space="preserve"> line the composite mean over all events. The blue section shows the </w:t>
      </w:r>
      <w:r>
        <w:t>episodes of high demand and low wind and photovoltaic production.</w:t>
      </w:r>
    </w:p>
    <w:p w14:paraId="4064F9B4" w14:textId="220835CF" w:rsidR="007B3EE0" w:rsidRPr="00E1101B" w:rsidRDefault="007142CD" w:rsidP="007B3EE0">
      <w:pPr>
        <w:widowControl w:val="0"/>
        <w:autoSpaceDE w:val="0"/>
        <w:autoSpaceDN w:val="0"/>
        <w:adjustRightInd w:val="0"/>
        <w:rPr>
          <w:b/>
        </w:rPr>
      </w:pPr>
      <w:r>
        <w:rPr>
          <w:b/>
        </w:rPr>
        <w:br w:type="column"/>
      </w:r>
      <w:r w:rsidR="007B3EE0" w:rsidRPr="00E1101B">
        <w:rPr>
          <w:b/>
        </w:rPr>
        <w:lastRenderedPageBreak/>
        <w:t>Timeline analysis of low inflow during spring in Italy</w:t>
      </w:r>
    </w:p>
    <w:p w14:paraId="7CCC3844" w14:textId="0B55A7E5" w:rsidR="007B3EE0" w:rsidRDefault="007B3EE0" w:rsidP="007B3EE0">
      <w:pPr>
        <w:widowControl w:val="0"/>
        <w:autoSpaceDE w:val="0"/>
        <w:autoSpaceDN w:val="0"/>
        <w:adjustRightInd w:val="0"/>
      </w:pPr>
      <w:r>
        <w:fldChar w:fldCharType="begin"/>
      </w:r>
      <w:r>
        <w:instrText xml:space="preserve"> REF _Ref153139021 \h </w:instrText>
      </w:r>
      <w:r>
        <w:fldChar w:fldCharType="separate"/>
      </w:r>
      <w:r>
        <w:t xml:space="preserve">Supplementary Figure </w:t>
      </w:r>
      <w:r>
        <w:rPr>
          <w:noProof/>
        </w:rPr>
        <w:t>6</w:t>
      </w:r>
      <w:r>
        <w:fldChar w:fldCharType="end"/>
      </w:r>
      <w:r>
        <w:t xml:space="preserve"> shows a </w:t>
      </w:r>
      <w:r w:rsidRPr="00E1101B">
        <w:t>timeline overview of the development of low runoff in May and June in Italy</w:t>
      </w:r>
      <w:r>
        <w:t xml:space="preserve"> preceding summer energy droughts</w:t>
      </w:r>
      <w:r w:rsidRPr="00E1101B">
        <w:t xml:space="preserve">. </w:t>
      </w:r>
      <w:r>
        <w:t xml:space="preserve">The low runoff is a combined result of low surface snowmelt and low </w:t>
      </w:r>
      <w:r w:rsidR="007707D4">
        <w:t>p</w:t>
      </w:r>
      <w:r>
        <w:t xml:space="preserve">recipitation. The low surface snowmelt is caused by low snowfall in winter (DJFM) and consequent anomalously low snow deck in April. This is coincided with low soil moisture content, and compounded with low precipitation, all contribution to anomalously low runoff in reservoir filling season. </w:t>
      </w:r>
    </w:p>
    <w:p w14:paraId="41978CA7" w14:textId="77777777" w:rsidR="007B3EE0" w:rsidRDefault="007B3EE0" w:rsidP="007B3EE0">
      <w:pPr>
        <w:widowControl w:val="0"/>
        <w:autoSpaceDE w:val="0"/>
        <w:autoSpaceDN w:val="0"/>
        <w:adjustRightInd w:val="0"/>
      </w:pPr>
      <w:r>
        <w:br/>
      </w:r>
    </w:p>
    <w:p w14:paraId="6DFBB78F" w14:textId="77777777" w:rsidR="007B3EE0" w:rsidRDefault="007B3EE0" w:rsidP="007B3EE0">
      <w:pPr>
        <w:keepNext/>
        <w:widowControl w:val="0"/>
        <w:autoSpaceDE w:val="0"/>
        <w:autoSpaceDN w:val="0"/>
        <w:adjustRightInd w:val="0"/>
      </w:pPr>
      <w:r>
        <w:rPr>
          <w:noProof/>
        </w:rPr>
        <w:drawing>
          <wp:inline distT="0" distB="0" distL="0" distR="0" wp14:anchorId="346046A7" wp14:editId="6C83559F">
            <wp:extent cx="5727700" cy="3562985"/>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imelin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27700" cy="3562985"/>
                    </a:xfrm>
                    <a:prstGeom prst="rect">
                      <a:avLst/>
                    </a:prstGeom>
                  </pic:spPr>
                </pic:pic>
              </a:graphicData>
            </a:graphic>
          </wp:inline>
        </w:drawing>
      </w:r>
    </w:p>
    <w:p w14:paraId="6CBDE16E" w14:textId="77777777" w:rsidR="007B3EE0" w:rsidRDefault="007B3EE0" w:rsidP="007B3EE0">
      <w:pPr>
        <w:pStyle w:val="Caption"/>
      </w:pPr>
      <w:bookmarkStart w:id="5" w:name="_Ref153139021"/>
      <w:r>
        <w:t xml:space="preserve">Supplementary Figure </w:t>
      </w:r>
      <w:r w:rsidR="007142CD">
        <w:fldChar w:fldCharType="begin"/>
      </w:r>
      <w:r w:rsidR="007142CD">
        <w:instrText xml:space="preserve"> SEQ Supplementary_Figure \* ARABIC </w:instrText>
      </w:r>
      <w:r w:rsidR="007142CD">
        <w:fldChar w:fldCharType="separate"/>
      </w:r>
      <w:r>
        <w:rPr>
          <w:noProof/>
        </w:rPr>
        <w:t>6</w:t>
      </w:r>
      <w:r w:rsidR="007142CD">
        <w:rPr>
          <w:noProof/>
        </w:rPr>
        <w:fldChar w:fldCharType="end"/>
      </w:r>
      <w:bookmarkEnd w:id="5"/>
      <w:r>
        <w:t>: A timeline overview of the development of low runoff in May and June in Italy. With the z-scores depicted for six meteorological variables during the months preceding a summer energy drought. From left to right the composite means of periods leading up to summer energy droughts of snowfall flux and near-surface air temperature from December until April, Surface snowmelt and Total Soil Moisture content from April until May, and Surface Snow Melt and Precipitation from May until June.</w:t>
      </w:r>
    </w:p>
    <w:p w14:paraId="44D6CCD5" w14:textId="77777777" w:rsidR="007B3EE0" w:rsidRDefault="007B3EE0" w:rsidP="007B3EE0">
      <w:pPr>
        <w:widowControl w:val="0"/>
        <w:autoSpaceDE w:val="0"/>
        <w:autoSpaceDN w:val="0"/>
        <w:adjustRightInd w:val="0"/>
      </w:pPr>
    </w:p>
    <w:p w14:paraId="7F7CDC58" w14:textId="30050165" w:rsidR="007B3EE0" w:rsidRPr="00305F7A" w:rsidRDefault="007142CD" w:rsidP="007B3EE0">
      <w:pPr>
        <w:rPr>
          <w:b/>
        </w:rPr>
      </w:pPr>
      <w:r>
        <w:rPr>
          <w:b/>
        </w:rPr>
        <w:br w:type="column"/>
      </w:r>
      <w:r w:rsidR="007B3EE0" w:rsidRPr="00C4504C">
        <w:rPr>
          <w:b/>
        </w:rPr>
        <w:lastRenderedPageBreak/>
        <w:t>Comparison of the KNMI-LENTIS data to ERA5 data</w:t>
      </w:r>
      <w:r w:rsidR="007B3EE0">
        <w:br/>
      </w:r>
      <w:r w:rsidR="007B3EE0" w:rsidRPr="00943C57">
        <w:t xml:space="preserve">Given that our energy modelling framework underwent validation using </w:t>
      </w:r>
      <w:r w:rsidR="007B3EE0" w:rsidRPr="00305F7A">
        <w:t>ERA5 data, we</w:t>
      </w:r>
      <w:r w:rsidR="007B3EE0" w:rsidRPr="00943C57">
        <w:t xml:space="preserve"> conduct a comparative analysis </w:t>
      </w:r>
      <w:r w:rsidR="007B3EE0">
        <w:t xml:space="preserve">of meteorological variables </w:t>
      </w:r>
      <w:r w:rsidR="007B3EE0" w:rsidRPr="00943C57">
        <w:t xml:space="preserve">between the KNMI-LENTIS </w:t>
      </w:r>
      <w:r w:rsidR="007B3EE0">
        <w:t xml:space="preserve">model </w:t>
      </w:r>
      <w:r w:rsidR="007B3EE0" w:rsidRPr="00943C57">
        <w:t>ensemble and ERA5 data. This comparison ensures that the insights gained from our examination of the distribution of energy production and demand modelled with the KNMI-LENTIS ensemble remain consistent and reliable within the context of the model</w:t>
      </w:r>
      <w:r w:rsidR="007B3EE0">
        <w:t>’</w:t>
      </w:r>
      <w:r w:rsidR="007B3EE0" w:rsidRPr="00943C57">
        <w:t>s established accuracy.</w:t>
      </w:r>
    </w:p>
    <w:p w14:paraId="741E1B6B" w14:textId="77777777" w:rsidR="007B3EE0" w:rsidRPr="00943C57" w:rsidRDefault="007B3EE0" w:rsidP="007B3EE0"/>
    <w:p w14:paraId="420ED706" w14:textId="7016C3D2" w:rsidR="007B3EE0" w:rsidRDefault="007B3EE0" w:rsidP="007B3EE0">
      <w:r w:rsidRPr="00943C57">
        <w:t xml:space="preserve">The mean and variance of the </w:t>
      </w:r>
      <w:r>
        <w:t xml:space="preserve">climate </w:t>
      </w:r>
      <w:r w:rsidRPr="00943C57">
        <w:t xml:space="preserve">model are </w:t>
      </w:r>
      <w:r>
        <w:t xml:space="preserve">generally </w:t>
      </w:r>
      <w:r w:rsidRPr="00943C57">
        <w:t xml:space="preserve">well-aligned with the ERA5 reanalysis data. However, as indicated in Supplementary Figure </w:t>
      </w:r>
      <w:r>
        <w:t>7,</w:t>
      </w:r>
      <w:r w:rsidRPr="00943C57">
        <w:t xml:space="preserve"> </w:t>
      </w:r>
      <w:r>
        <w:t>on average</w:t>
      </w:r>
      <w:r w:rsidR="007707D4">
        <w:t>,</w:t>
      </w:r>
      <w:r>
        <w:t xml:space="preserve"> </w:t>
      </w:r>
      <w:r w:rsidRPr="00943C57">
        <w:t>peak discharges in Norway, Sweden, and Switzerland tend to occur slightly earlier in the KNMI-LENTIS dataset</w:t>
      </w:r>
      <w:r>
        <w:t xml:space="preserve"> </w:t>
      </w:r>
      <w:r w:rsidRPr="00943C57">
        <w:t>compared to ERA5. Additionally, lower discharge levels in Italy are consistently recorded in the KNMI-LENTIS dataset relative to ERA5.</w:t>
      </w:r>
      <w:r>
        <w:t xml:space="preserve"> </w:t>
      </w:r>
      <w:r w:rsidRPr="00F8664A">
        <w:t>Furthermore, Supplementary Figure 7 illustrates that the LENTIS dataset presents a higher temperature variance during the autumn in Southern Europe. In contrast, in Northern Europe, the LENTIS dataset reveals a greater variance in wind speed and runoff when set against ERA5 data.</w:t>
      </w:r>
    </w:p>
    <w:p w14:paraId="4E5BE476" w14:textId="77777777" w:rsidR="007B3EE0" w:rsidRPr="00943C57" w:rsidRDefault="007B3EE0" w:rsidP="007B3EE0"/>
    <w:p w14:paraId="36585032" w14:textId="77777777" w:rsidR="007B3EE0" w:rsidRDefault="007B3EE0" w:rsidP="007B3EE0">
      <w:pPr>
        <w:keepNext/>
        <w:widowControl w:val="0"/>
        <w:autoSpaceDE w:val="0"/>
        <w:autoSpaceDN w:val="0"/>
        <w:adjustRightInd w:val="0"/>
      </w:pPr>
      <w:r>
        <w:rPr>
          <w:noProof/>
        </w:rPr>
        <w:drawing>
          <wp:inline distT="0" distB="0" distL="0" distR="0" wp14:anchorId="0578B69E" wp14:editId="030276A3">
            <wp:extent cx="5727700" cy="385064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ubfig7.png"/>
                    <pic:cNvPicPr/>
                  </pic:nvPicPr>
                  <pic:blipFill>
                    <a:blip r:embed="rId10">
                      <a:extLst>
                        <a:ext uri="{28A0092B-C50C-407E-A947-70E740481C1C}">
                          <a14:useLocalDpi xmlns:a14="http://schemas.microsoft.com/office/drawing/2010/main" val="0"/>
                        </a:ext>
                      </a:extLst>
                    </a:blip>
                    <a:stretch>
                      <a:fillRect/>
                    </a:stretch>
                  </pic:blipFill>
                  <pic:spPr>
                    <a:xfrm>
                      <a:off x="0" y="0"/>
                      <a:ext cx="5727700" cy="3850640"/>
                    </a:xfrm>
                    <a:prstGeom prst="rect">
                      <a:avLst/>
                    </a:prstGeom>
                  </pic:spPr>
                </pic:pic>
              </a:graphicData>
            </a:graphic>
          </wp:inline>
        </w:drawing>
      </w:r>
    </w:p>
    <w:p w14:paraId="75095305" w14:textId="77777777" w:rsidR="007B3EE0" w:rsidRDefault="007B3EE0" w:rsidP="007B3EE0">
      <w:pPr>
        <w:pStyle w:val="Caption"/>
      </w:pPr>
      <w:bookmarkStart w:id="6" w:name="_Ref153139225"/>
      <w:r>
        <w:t xml:space="preserve">Supplementary Figure </w:t>
      </w:r>
      <w:r w:rsidR="007142CD">
        <w:fldChar w:fldCharType="begin"/>
      </w:r>
      <w:r w:rsidR="007142CD">
        <w:instrText xml:space="preserve"> SEQ Supplementary_Figure \* ARABIC </w:instrText>
      </w:r>
      <w:r w:rsidR="007142CD">
        <w:fldChar w:fldCharType="separate"/>
      </w:r>
      <w:r>
        <w:rPr>
          <w:noProof/>
        </w:rPr>
        <w:t>7</w:t>
      </w:r>
      <w:r w:rsidR="007142CD">
        <w:rPr>
          <w:noProof/>
        </w:rPr>
        <w:fldChar w:fldCharType="end"/>
      </w:r>
      <w:bookmarkEnd w:id="6"/>
      <w:r>
        <w:t xml:space="preserve">: The daily </w:t>
      </w:r>
      <w:r w:rsidRPr="00D744A1">
        <w:t>14-day rolling climatological mean</w:t>
      </w:r>
      <w:r>
        <w:t xml:space="preserve">s of </w:t>
      </w:r>
      <w:r w:rsidRPr="00D744A1">
        <w:t>the 1600 years of the KNMI-LENTIS dataset (in orange) and the 1990-2021 ERA5 data (in blue)</w:t>
      </w:r>
      <w:r>
        <w:t xml:space="preserve">, </w:t>
      </w:r>
      <w:r w:rsidRPr="00D744A1">
        <w:t xml:space="preserve">categorized by country. </w:t>
      </w:r>
      <w:r>
        <w:t xml:space="preserve">The meteorological variables from top to bottom are </w:t>
      </w:r>
      <w:r w:rsidRPr="00D744A1">
        <w:t>near-surface air temperature, near-surface wind speed, and total runoff. The countries depicted, from left to right, are Norway, Sweden, Switzerland, France, Spain, and Italy.</w:t>
      </w:r>
    </w:p>
    <w:p w14:paraId="01C2E440" w14:textId="77777777" w:rsidR="007B3EE0" w:rsidRDefault="007B3EE0" w:rsidP="007B3EE0">
      <w:pPr>
        <w:keepNext/>
        <w:widowControl w:val="0"/>
        <w:autoSpaceDE w:val="0"/>
        <w:autoSpaceDN w:val="0"/>
        <w:adjustRightInd w:val="0"/>
      </w:pPr>
      <w:r>
        <w:rPr>
          <w:noProof/>
        </w:rPr>
        <w:lastRenderedPageBreak/>
        <w:drawing>
          <wp:inline distT="0" distB="0" distL="0" distR="0" wp14:anchorId="108DF747" wp14:editId="31540AC8">
            <wp:extent cx="5727700" cy="388683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ubfig8.png"/>
                    <pic:cNvPicPr/>
                  </pic:nvPicPr>
                  <pic:blipFill>
                    <a:blip r:embed="rId11">
                      <a:extLst>
                        <a:ext uri="{28A0092B-C50C-407E-A947-70E740481C1C}">
                          <a14:useLocalDpi xmlns:a14="http://schemas.microsoft.com/office/drawing/2010/main" val="0"/>
                        </a:ext>
                      </a:extLst>
                    </a:blip>
                    <a:stretch>
                      <a:fillRect/>
                    </a:stretch>
                  </pic:blipFill>
                  <pic:spPr>
                    <a:xfrm>
                      <a:off x="0" y="0"/>
                      <a:ext cx="5727700" cy="3886835"/>
                    </a:xfrm>
                    <a:prstGeom prst="rect">
                      <a:avLst/>
                    </a:prstGeom>
                  </pic:spPr>
                </pic:pic>
              </a:graphicData>
            </a:graphic>
          </wp:inline>
        </w:drawing>
      </w:r>
    </w:p>
    <w:p w14:paraId="2CBB216D" w14:textId="77777777" w:rsidR="007B3EE0" w:rsidRPr="00175F1F" w:rsidRDefault="007B3EE0" w:rsidP="007B3EE0">
      <w:pPr>
        <w:pStyle w:val="Caption"/>
      </w:pPr>
      <w:bookmarkStart w:id="7" w:name="_Ref153139250"/>
      <w:r>
        <w:t xml:space="preserve">Supplementary Figure </w:t>
      </w:r>
      <w:r w:rsidR="007142CD">
        <w:fldChar w:fldCharType="begin"/>
      </w:r>
      <w:r w:rsidR="007142CD">
        <w:instrText xml:space="preserve"> SEQ Supplementary_Figure \* ARABIC </w:instrText>
      </w:r>
      <w:r w:rsidR="007142CD">
        <w:fldChar w:fldCharType="separate"/>
      </w:r>
      <w:r>
        <w:rPr>
          <w:noProof/>
        </w:rPr>
        <w:t>8</w:t>
      </w:r>
      <w:r w:rsidR="007142CD">
        <w:rPr>
          <w:noProof/>
        </w:rPr>
        <w:fldChar w:fldCharType="end"/>
      </w:r>
      <w:bookmarkEnd w:id="7"/>
      <w:r>
        <w:t xml:space="preserve">: The daily </w:t>
      </w:r>
      <w:r w:rsidRPr="00D744A1">
        <w:t xml:space="preserve">14-day rolling climatological </w:t>
      </w:r>
      <w:r>
        <w:t xml:space="preserve">variance of </w:t>
      </w:r>
      <w:r w:rsidRPr="00D744A1">
        <w:t>the 1600 years of the KNMI-LENTIS dataset (in orange) and the 1990-2021 ERA5 data (in blue)</w:t>
      </w:r>
      <w:r>
        <w:t xml:space="preserve">, </w:t>
      </w:r>
      <w:r w:rsidRPr="00D744A1">
        <w:t xml:space="preserve">categorized by country. </w:t>
      </w:r>
      <w:r>
        <w:t xml:space="preserve">The meteorological variables from top to bottom are </w:t>
      </w:r>
      <w:r w:rsidRPr="00D744A1">
        <w:t>near-surface air temperature, near-surface wind speed, and total runoff. The countries depicted, from left to right, are Norway, Sweden, Switzerland, France, Spain, and Italy.</w:t>
      </w:r>
    </w:p>
    <w:p w14:paraId="6983F9C8" w14:textId="77777777" w:rsidR="00321ECF" w:rsidRDefault="00321ECF">
      <w:bookmarkStart w:id="8" w:name="_GoBack"/>
      <w:bookmarkEnd w:id="8"/>
    </w:p>
    <w:sectPr w:rsidR="00321ECF" w:rsidSect="00414FC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EE0"/>
    <w:rsid w:val="000466C7"/>
    <w:rsid w:val="00321ECF"/>
    <w:rsid w:val="00414FC6"/>
    <w:rsid w:val="006D010F"/>
    <w:rsid w:val="007142CD"/>
    <w:rsid w:val="007707D4"/>
    <w:rsid w:val="007B3EE0"/>
    <w:rsid w:val="00906FEA"/>
    <w:rsid w:val="00DA2010"/>
    <w:rsid w:val="00EB55CE"/>
    <w:rsid w:val="00F12C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913BC"/>
  <w15:chartTrackingRefBased/>
  <w15:docId w15:val="{A25D12F7-5F7B-C245-B6FF-CCD0BC251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3EE0"/>
    <w:rPr>
      <w:rFonts w:ascii="Times New Roman" w:eastAsia="Times New Roman" w:hAnsi="Times New Roman" w:cs="Times New Roman"/>
    </w:rPr>
  </w:style>
  <w:style w:type="paragraph" w:styleId="Heading2">
    <w:name w:val="heading 2"/>
    <w:basedOn w:val="Normal"/>
    <w:link w:val="Heading2Char"/>
    <w:uiPriority w:val="9"/>
    <w:qFormat/>
    <w:rsid w:val="007B3EE0"/>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B3EE0"/>
    <w:rPr>
      <w:rFonts w:ascii="Times New Roman" w:eastAsia="Times New Roman" w:hAnsi="Times New Roman" w:cs="Times New Roman"/>
      <w:b/>
      <w:bCs/>
      <w:sz w:val="36"/>
      <w:szCs w:val="36"/>
    </w:rPr>
  </w:style>
  <w:style w:type="paragraph" w:styleId="Caption">
    <w:name w:val="caption"/>
    <w:basedOn w:val="Normal"/>
    <w:next w:val="Normal"/>
    <w:uiPriority w:val="35"/>
    <w:unhideWhenUsed/>
    <w:qFormat/>
    <w:rsid w:val="007B3EE0"/>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1159</Words>
  <Characters>6693</Characters>
  <Application>Microsoft Office Word</Application>
  <DocSecurity>0</DocSecurity>
  <Lines>113</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Lieke</dc:creator>
  <cp:keywords/>
  <dc:description/>
  <cp:lastModifiedBy>Lieke</cp:lastModifiedBy>
  <cp:revision>3</cp:revision>
  <dcterms:created xsi:type="dcterms:W3CDTF">2023-12-22T15:32:00Z</dcterms:created>
  <dcterms:modified xsi:type="dcterms:W3CDTF">2023-12-23T09:54:00Z</dcterms:modified>
</cp:coreProperties>
</file>