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B7626D" w14:textId="5F1C1598" w:rsidR="00DC3FDE" w:rsidRDefault="00DC3FDE" w:rsidP="00DC3FDE">
      <w:pPr>
        <w:jc w:val="center"/>
      </w:pPr>
      <w:r>
        <w:rPr>
          <w:noProof/>
        </w:rPr>
        <w:drawing>
          <wp:inline distT="0" distB="0" distL="0" distR="0" wp14:anchorId="68AF9967" wp14:editId="6D2C7F49">
            <wp:extent cx="4893945" cy="6824980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945" cy="682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38043" w14:textId="607926DF" w:rsidR="00DC3FDE" w:rsidRDefault="00DC3FDE">
      <w:r w:rsidRPr="00DC3FDE">
        <w:t>Figure S1. Infiltrating immunocytes differences. (A) The volcano-plot demonstrates the fold changes of 22 immunocytes in chronic periodontitis compared with aggressive. (B) Compositional differences of 22 immunocytes between chronic and aggressive periodontitis presented by violin-plot (blue means aggressive and red means chronic). (C) The volcano-plot demonstrates the fold changes of 22 immunocytes in male periodontitis compared with female. (D) Compositional differences of 22 immunocytes between male and female periodontitis presented by violin-plot (blue means male and red means female). (E) Correlations between infiltrating immunocyte fractions and patient ages were presented by bar-plot. (F-G) The two significantly age-related immunocytes were presented by scatter plot.</w:t>
      </w:r>
    </w:p>
    <w:p w14:paraId="552D795E" w14:textId="78C3441A" w:rsidR="00DC3FDE" w:rsidRDefault="00DC3FDE" w:rsidP="00DC3FDE">
      <w:pPr>
        <w:jc w:val="center"/>
      </w:pPr>
      <w:r>
        <w:rPr>
          <w:noProof/>
        </w:rPr>
        <w:lastRenderedPageBreak/>
        <w:drawing>
          <wp:inline distT="0" distB="0" distL="0" distR="0" wp14:anchorId="0A28934A" wp14:editId="2ED9DF49">
            <wp:extent cx="5274310" cy="483171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3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3DD59" w14:textId="54CE63EC" w:rsidR="00DC3FDE" w:rsidRDefault="00DC3FDE">
      <w:r w:rsidRPr="00DC3FDE">
        <w:t>Figure S2. Supplementary information for immune subtype analysis. (A) Estimation of the rank: Quality measures computed from 200 runs for each value of r. (B) Estimation of the rank: Consensus matrices computed from 10 runs for each value of r. (C-D) Heatmap of the mixture coefficient and the basis matrices for all immune genes.</w:t>
      </w:r>
    </w:p>
    <w:p w14:paraId="598F8921" w14:textId="693803B9" w:rsidR="00DC3FDE" w:rsidRDefault="00DC3FDE" w:rsidP="00DC3FDE">
      <w:pPr>
        <w:jc w:val="center"/>
      </w:pPr>
      <w:r>
        <w:rPr>
          <w:noProof/>
        </w:rPr>
        <w:lastRenderedPageBreak/>
        <w:drawing>
          <wp:inline distT="0" distB="0" distL="0" distR="0" wp14:anchorId="252AB8CC" wp14:editId="5E58987C">
            <wp:extent cx="5274310" cy="424180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3990A" w14:textId="4A6726D1" w:rsidR="00DC3FDE" w:rsidRDefault="00DC3FDE">
      <w:r w:rsidRPr="00DC3FDE">
        <w:t xml:space="preserve">Figure S3. Transcriptome differences between healthy and periodontitis. (A) The protein-protein interaction network of significantly differentially expressed genes between healthy and periodontitis. The node size means absolute value of </w:t>
      </w:r>
      <w:proofErr w:type="spellStart"/>
      <w:r w:rsidRPr="00DC3FDE">
        <w:t>logFC</w:t>
      </w:r>
      <w:proofErr w:type="spellEnd"/>
      <w:r w:rsidRPr="00DC3FDE">
        <w:t>, the node with yellow frame means the hub genes with high connective degree in the network, the red nodes mean the genes up-regulated in periodontitis and blue nodes mean the genes down-regulated in periodontitis. (B-E) Gene-set enrichment analysis from four aspects (including immunologic signatures, hallmark gene sets, GO biological processes and canonical pathways) revealed the underlying biomolecular differences between healthy and periodontitis.</w:t>
      </w:r>
    </w:p>
    <w:p w14:paraId="3F0B2730" w14:textId="1B2DA57F" w:rsidR="00DC3FDE" w:rsidRDefault="00DC3FDE" w:rsidP="00DC3FDE">
      <w:pPr>
        <w:jc w:val="center"/>
      </w:pPr>
      <w:r>
        <w:rPr>
          <w:noProof/>
        </w:rPr>
        <w:lastRenderedPageBreak/>
        <w:drawing>
          <wp:inline distT="0" distB="0" distL="0" distR="0" wp14:anchorId="681266DD" wp14:editId="346B64B2">
            <wp:extent cx="5274310" cy="2873375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0F563" w14:textId="77777777" w:rsidR="00DC3FDE" w:rsidRPr="00DC3FDE" w:rsidRDefault="00DC3FDE" w:rsidP="00DC3FDE">
      <w:r w:rsidRPr="00DC3FDE">
        <w:rPr>
          <w:rFonts w:hint="eastAsia"/>
        </w:rPr>
        <w:t xml:space="preserve">Figure S4. Supplementary information for WGCNA analysis. (A) analysis of the scale-free ft index for various soft-thresholding powers beta. (B) Analysis of the mean connectivity for various soft-thresholding powers. (C) The protein-protein interaction network of hub genes in turquoise module. (C) The top ten positive and negative plasma cell fraction related genes, calculated by </w:t>
      </w:r>
      <w:proofErr w:type="spellStart"/>
      <w:r w:rsidRPr="00DC3FDE">
        <w:rPr>
          <w:rFonts w:hint="eastAsia"/>
        </w:rPr>
        <w:t>pearson</w:t>
      </w:r>
      <w:proofErr w:type="spellEnd"/>
      <w:r w:rsidRPr="00DC3FDE">
        <w:rPr>
          <w:rFonts w:hint="eastAsia"/>
        </w:rPr>
        <w:t xml:space="preserve"> correlation analysis.</w:t>
      </w:r>
    </w:p>
    <w:p w14:paraId="40404B72" w14:textId="77777777" w:rsidR="00DC3FDE" w:rsidRPr="00DC3FDE" w:rsidRDefault="00DC3FDE">
      <w:pPr>
        <w:rPr>
          <w:rFonts w:hint="eastAsia"/>
        </w:rPr>
      </w:pPr>
      <w:bookmarkStart w:id="0" w:name="_GoBack"/>
      <w:bookmarkEnd w:id="0"/>
    </w:p>
    <w:sectPr w:rsidR="00DC3FDE" w:rsidRPr="00DC3F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DA0CC8" w14:textId="77777777" w:rsidR="00736194" w:rsidRDefault="00736194" w:rsidP="00DC3FDE">
      <w:r>
        <w:separator/>
      </w:r>
    </w:p>
  </w:endnote>
  <w:endnote w:type="continuationSeparator" w:id="0">
    <w:p w14:paraId="61E3790C" w14:textId="77777777" w:rsidR="00736194" w:rsidRDefault="00736194" w:rsidP="00DC3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B35C1B" w14:textId="77777777" w:rsidR="00736194" w:rsidRDefault="00736194" w:rsidP="00DC3FDE">
      <w:r>
        <w:separator/>
      </w:r>
    </w:p>
  </w:footnote>
  <w:footnote w:type="continuationSeparator" w:id="0">
    <w:p w14:paraId="4E67AF12" w14:textId="77777777" w:rsidR="00736194" w:rsidRDefault="00736194" w:rsidP="00DC3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rA0MjQytDQ3MTI2MTBU0lEKTi0uzszPAykwrAUAYAiUoiwAAAA="/>
  </w:docVars>
  <w:rsids>
    <w:rsidRoot w:val="000C6A63"/>
    <w:rsid w:val="000C6A63"/>
    <w:rsid w:val="0030399C"/>
    <w:rsid w:val="00736194"/>
    <w:rsid w:val="00DC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CEA6F2"/>
  <w15:chartTrackingRefBased/>
  <w15:docId w15:val="{3B5D942A-F49D-44C1-A7E2-70EE6B638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3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3F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3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3F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06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晓奇</dc:creator>
  <cp:keywords/>
  <dc:description/>
  <cp:lastModifiedBy>张 晓奇</cp:lastModifiedBy>
  <cp:revision>2</cp:revision>
  <dcterms:created xsi:type="dcterms:W3CDTF">2020-03-17T12:20:00Z</dcterms:created>
  <dcterms:modified xsi:type="dcterms:W3CDTF">2020-03-17T12:22:00Z</dcterms:modified>
</cp:coreProperties>
</file>