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47A27" w14:textId="77777777" w:rsidR="00DB021E" w:rsidRPr="00DB021E" w:rsidRDefault="00DB021E" w:rsidP="00DB021E">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t>Project summary</w:t>
      </w:r>
    </w:p>
    <w:p w14:paraId="48BBF0DF" w14:textId="39FC0BDC" w:rsidR="00DF7D10" w:rsidRPr="00DF7D10" w:rsidRDefault="00DF7D10" w:rsidP="00DF7D10">
      <w:pPr>
        <w:rPr>
          <w:rFonts w:ascii="Times New Roman" w:hAnsi="Times New Roman" w:cs="Times New Roman"/>
        </w:rPr>
      </w:pPr>
      <w:r w:rsidRPr="00DF7D10">
        <w:rPr>
          <w:rFonts w:ascii="Times New Roman" w:hAnsi="Times New Roman" w:cs="Times New Roman"/>
        </w:rPr>
        <w:t>Our study, "</w:t>
      </w:r>
      <w:r w:rsidR="003437EF" w:rsidRPr="003437EF">
        <w:rPr>
          <w:rFonts w:ascii="Times New Roman" w:hAnsi="Times New Roman" w:cs="Times New Roman"/>
          <w:b/>
          <w:bCs/>
        </w:rPr>
        <w:t xml:space="preserve"> </w:t>
      </w:r>
      <w:r w:rsidR="003437EF">
        <w:rPr>
          <w:rFonts w:ascii="Times New Roman" w:hAnsi="Times New Roman" w:cs="Times New Roman"/>
          <w:b/>
          <w:bCs/>
        </w:rPr>
        <w:t>E</w:t>
      </w:r>
      <w:r w:rsidR="003437EF" w:rsidRPr="00175C62">
        <w:rPr>
          <w:rFonts w:ascii="Times New Roman" w:hAnsi="Times New Roman" w:cs="Times New Roman"/>
          <w:b/>
          <w:bCs/>
        </w:rPr>
        <w:t xml:space="preserve">pidural </w:t>
      </w:r>
      <w:r w:rsidR="003437EF">
        <w:rPr>
          <w:rFonts w:ascii="Times New Roman" w:hAnsi="Times New Roman" w:cs="Times New Roman"/>
          <w:b/>
          <w:bCs/>
        </w:rPr>
        <w:t>I</w:t>
      </w:r>
      <w:r w:rsidR="003437EF" w:rsidRPr="00175C62">
        <w:rPr>
          <w:rFonts w:ascii="Times New Roman" w:hAnsi="Times New Roman" w:cs="Times New Roman"/>
          <w:b/>
          <w:bCs/>
        </w:rPr>
        <w:t xml:space="preserve">nfusion of </w:t>
      </w:r>
      <w:r w:rsidR="003437EF">
        <w:rPr>
          <w:rFonts w:ascii="Times New Roman" w:hAnsi="Times New Roman" w:cs="Times New Roman"/>
          <w:b/>
          <w:bCs/>
        </w:rPr>
        <w:t>D</w:t>
      </w:r>
      <w:r w:rsidR="003437EF" w:rsidRPr="00175C62">
        <w:rPr>
          <w:rFonts w:ascii="Times New Roman" w:hAnsi="Times New Roman" w:cs="Times New Roman"/>
          <w:b/>
          <w:bCs/>
        </w:rPr>
        <w:t xml:space="preserve">exmedetomidine </w:t>
      </w:r>
      <w:r w:rsidR="003437EF">
        <w:rPr>
          <w:rFonts w:ascii="Times New Roman" w:hAnsi="Times New Roman" w:cs="Times New Roman"/>
          <w:b/>
          <w:bCs/>
        </w:rPr>
        <w:t>I</w:t>
      </w:r>
      <w:r w:rsidR="003437EF" w:rsidRPr="00175C62">
        <w:rPr>
          <w:rFonts w:ascii="Times New Roman" w:hAnsi="Times New Roman" w:cs="Times New Roman"/>
          <w:b/>
          <w:bCs/>
        </w:rPr>
        <w:t xml:space="preserve">mproves the </w:t>
      </w:r>
      <w:r w:rsidR="003437EF">
        <w:rPr>
          <w:rFonts w:ascii="Times New Roman" w:hAnsi="Times New Roman" w:cs="Times New Roman"/>
          <w:b/>
          <w:bCs/>
        </w:rPr>
        <w:t>E</w:t>
      </w:r>
      <w:r w:rsidR="003437EF" w:rsidRPr="00175C62">
        <w:rPr>
          <w:rFonts w:ascii="Times New Roman" w:hAnsi="Times New Roman" w:cs="Times New Roman"/>
          <w:b/>
          <w:bCs/>
        </w:rPr>
        <w:t xml:space="preserve">xperience of </w:t>
      </w:r>
      <w:r w:rsidR="003437EF">
        <w:rPr>
          <w:rFonts w:ascii="Times New Roman" w:hAnsi="Times New Roman" w:cs="Times New Roman"/>
          <w:b/>
          <w:bCs/>
        </w:rPr>
        <w:t>P</w:t>
      </w:r>
      <w:r w:rsidR="003437EF" w:rsidRPr="00175C62">
        <w:rPr>
          <w:rFonts w:ascii="Times New Roman" w:hAnsi="Times New Roman" w:cs="Times New Roman"/>
          <w:b/>
          <w:bCs/>
        </w:rPr>
        <w:t xml:space="preserve">rimiparas </w:t>
      </w:r>
      <w:r w:rsidR="003437EF">
        <w:rPr>
          <w:rFonts w:ascii="Times New Roman" w:hAnsi="Times New Roman" w:cs="Times New Roman"/>
          <w:b/>
          <w:bCs/>
        </w:rPr>
        <w:t>U</w:t>
      </w:r>
      <w:r w:rsidR="003437EF" w:rsidRPr="00175C62">
        <w:rPr>
          <w:rFonts w:ascii="Times New Roman" w:hAnsi="Times New Roman" w:cs="Times New Roman"/>
          <w:b/>
          <w:bCs/>
        </w:rPr>
        <w:t xml:space="preserve">ndergoing </w:t>
      </w:r>
      <w:bookmarkStart w:id="0" w:name="OLE_LINK4"/>
      <w:bookmarkStart w:id="1" w:name="OLE_LINK9"/>
      <w:r w:rsidR="003437EF">
        <w:rPr>
          <w:rFonts w:ascii="Times New Roman" w:hAnsi="Times New Roman" w:cs="Times New Roman"/>
          <w:b/>
          <w:bCs/>
        </w:rPr>
        <w:t>C</w:t>
      </w:r>
      <w:r w:rsidR="003437EF" w:rsidRPr="00175C62">
        <w:rPr>
          <w:rFonts w:ascii="Times New Roman" w:hAnsi="Times New Roman" w:cs="Times New Roman"/>
          <w:b/>
          <w:bCs/>
        </w:rPr>
        <w:t xml:space="preserve">esarean </w:t>
      </w:r>
      <w:r w:rsidR="003437EF">
        <w:rPr>
          <w:rFonts w:ascii="Times New Roman" w:hAnsi="Times New Roman" w:cs="Times New Roman"/>
          <w:b/>
          <w:bCs/>
        </w:rPr>
        <w:t>S</w:t>
      </w:r>
      <w:r w:rsidR="003437EF" w:rsidRPr="00175C62">
        <w:rPr>
          <w:rFonts w:ascii="Times New Roman" w:hAnsi="Times New Roman" w:cs="Times New Roman"/>
          <w:b/>
          <w:bCs/>
        </w:rPr>
        <w:t>ection</w:t>
      </w:r>
      <w:bookmarkEnd w:id="0"/>
      <w:r w:rsidR="003437EF" w:rsidRPr="00175C62">
        <w:rPr>
          <w:rFonts w:ascii="Times New Roman" w:hAnsi="Times New Roman" w:cs="Times New Roman"/>
          <w:b/>
          <w:bCs/>
        </w:rPr>
        <w:t xml:space="preserve"> </w:t>
      </w:r>
      <w:bookmarkEnd w:id="1"/>
      <w:r w:rsidR="003437EF" w:rsidRPr="00175C62">
        <w:rPr>
          <w:rFonts w:ascii="Times New Roman" w:hAnsi="Times New Roman" w:cs="Times New Roman"/>
          <w:b/>
          <w:bCs/>
        </w:rPr>
        <w:t xml:space="preserve">with </w:t>
      </w:r>
      <w:r w:rsidR="003437EF">
        <w:rPr>
          <w:rFonts w:ascii="Times New Roman" w:hAnsi="Times New Roman" w:cs="Times New Roman"/>
          <w:b/>
          <w:bCs/>
        </w:rPr>
        <w:t>E</w:t>
      </w:r>
      <w:r w:rsidR="003437EF" w:rsidRPr="00175C62">
        <w:rPr>
          <w:rFonts w:ascii="Times New Roman" w:hAnsi="Times New Roman" w:cs="Times New Roman"/>
          <w:b/>
          <w:bCs/>
        </w:rPr>
        <w:t xml:space="preserve">pidural </w:t>
      </w:r>
      <w:r w:rsidR="003437EF">
        <w:rPr>
          <w:rFonts w:ascii="Times New Roman" w:hAnsi="Times New Roman" w:cs="Times New Roman"/>
          <w:b/>
          <w:bCs/>
        </w:rPr>
        <w:t>A</w:t>
      </w:r>
      <w:r w:rsidR="003437EF" w:rsidRPr="00175C62">
        <w:rPr>
          <w:rFonts w:ascii="Times New Roman" w:hAnsi="Times New Roman" w:cs="Times New Roman"/>
          <w:b/>
          <w:bCs/>
        </w:rPr>
        <w:t>nesthesia</w:t>
      </w:r>
      <w:r w:rsidR="00705D93">
        <w:rPr>
          <w:rFonts w:ascii="Times New Roman" w:hAnsi="Times New Roman" w:cs="Times New Roman"/>
          <w:b/>
          <w:bCs/>
        </w:rPr>
        <w:t>:</w:t>
      </w:r>
      <w:r w:rsidR="00705D93" w:rsidRPr="00705D93">
        <w:rPr>
          <w:rFonts w:ascii="Times New Roman" w:hAnsi="Times New Roman" w:cs="Times New Roman"/>
          <w:b/>
          <w:bCs/>
        </w:rPr>
        <w:t xml:space="preserve"> </w:t>
      </w:r>
      <w:r w:rsidR="00705D93">
        <w:rPr>
          <w:rFonts w:ascii="Times New Roman" w:hAnsi="Times New Roman" w:cs="Times New Roman"/>
          <w:b/>
          <w:bCs/>
        </w:rPr>
        <w:t>A</w:t>
      </w:r>
      <w:r w:rsidR="00705D93" w:rsidRPr="00175C62">
        <w:rPr>
          <w:rFonts w:ascii="Times New Roman" w:hAnsi="Times New Roman" w:cs="Times New Roman"/>
          <w:b/>
          <w:bCs/>
        </w:rPr>
        <w:t xml:space="preserve"> </w:t>
      </w:r>
      <w:r w:rsidR="00705D93">
        <w:rPr>
          <w:rFonts w:ascii="Times New Roman" w:hAnsi="Times New Roman" w:cs="Times New Roman"/>
          <w:b/>
          <w:bCs/>
        </w:rPr>
        <w:t>R</w:t>
      </w:r>
      <w:r w:rsidR="00705D93" w:rsidRPr="00175C62">
        <w:rPr>
          <w:rFonts w:ascii="Times New Roman" w:hAnsi="Times New Roman" w:cs="Times New Roman"/>
          <w:b/>
          <w:bCs/>
        </w:rPr>
        <w:t xml:space="preserve">andomized </w:t>
      </w:r>
      <w:r w:rsidR="00705D93">
        <w:rPr>
          <w:rFonts w:ascii="Times New Roman" w:hAnsi="Times New Roman" w:cs="Times New Roman"/>
          <w:b/>
          <w:bCs/>
        </w:rPr>
        <w:t>D</w:t>
      </w:r>
      <w:r w:rsidR="00705D93" w:rsidRPr="00175C62">
        <w:rPr>
          <w:rFonts w:ascii="Times New Roman" w:hAnsi="Times New Roman" w:cs="Times New Roman"/>
          <w:b/>
          <w:bCs/>
        </w:rPr>
        <w:t>ouble</w:t>
      </w:r>
      <w:r w:rsidR="00705D93" w:rsidRPr="00175C62">
        <w:rPr>
          <w:rFonts w:ascii="Times New Roman" w:eastAsia="MS Gothic" w:hAnsi="Times New Roman" w:cs="Times New Roman"/>
          <w:b/>
          <w:bCs/>
        </w:rPr>
        <w:t>‑</w:t>
      </w:r>
      <w:r w:rsidR="00705D93">
        <w:rPr>
          <w:rFonts w:ascii="Times New Roman" w:eastAsia="MS Gothic" w:hAnsi="Times New Roman" w:cs="Times New Roman"/>
          <w:b/>
          <w:bCs/>
        </w:rPr>
        <w:t>B</w:t>
      </w:r>
      <w:r w:rsidR="00705D93" w:rsidRPr="00175C62">
        <w:rPr>
          <w:rFonts w:ascii="Times New Roman" w:hAnsi="Times New Roman" w:cs="Times New Roman"/>
          <w:b/>
          <w:bCs/>
        </w:rPr>
        <w:t xml:space="preserve">linded </w:t>
      </w:r>
      <w:r w:rsidR="00705D93">
        <w:rPr>
          <w:rFonts w:ascii="Times New Roman" w:hAnsi="Times New Roman" w:cs="Times New Roman"/>
          <w:b/>
          <w:bCs/>
        </w:rPr>
        <w:t>C</w:t>
      </w:r>
      <w:r w:rsidR="00705D93" w:rsidRPr="00175C62">
        <w:rPr>
          <w:rFonts w:ascii="Times New Roman" w:hAnsi="Times New Roman" w:cs="Times New Roman"/>
          <w:b/>
          <w:bCs/>
        </w:rPr>
        <w:t xml:space="preserve">ontrolled </w:t>
      </w:r>
      <w:r w:rsidR="00705D93">
        <w:rPr>
          <w:rFonts w:ascii="Times New Roman" w:hAnsi="Times New Roman" w:cs="Times New Roman"/>
          <w:b/>
          <w:bCs/>
        </w:rPr>
        <w:t>S</w:t>
      </w:r>
      <w:r w:rsidR="00705D93" w:rsidRPr="00175C62">
        <w:rPr>
          <w:rFonts w:ascii="Times New Roman" w:hAnsi="Times New Roman" w:cs="Times New Roman"/>
          <w:b/>
          <w:bCs/>
        </w:rPr>
        <w:t>tudy</w:t>
      </w:r>
      <w:r w:rsidR="00705D93" w:rsidRPr="00DF7D10">
        <w:rPr>
          <w:rFonts w:ascii="Times New Roman" w:hAnsi="Times New Roman" w:cs="Times New Roman"/>
        </w:rPr>
        <w:t xml:space="preserve"> </w:t>
      </w:r>
      <w:r w:rsidRPr="00DF7D10">
        <w:rPr>
          <w:rFonts w:ascii="Times New Roman" w:hAnsi="Times New Roman" w:cs="Times New Roman"/>
        </w:rPr>
        <w:t xml:space="preserve">" aims to explore the effects of 0.5μg/kg epidural dexmedetomidine combined with epidural anesthesia on </w:t>
      </w:r>
      <w:proofErr w:type="spellStart"/>
      <w:r w:rsidRPr="00DF7D10">
        <w:rPr>
          <w:rFonts w:ascii="Times New Roman" w:hAnsi="Times New Roman" w:cs="Times New Roman"/>
        </w:rPr>
        <w:t>parturients</w:t>
      </w:r>
      <w:proofErr w:type="spellEnd"/>
      <w:r w:rsidRPr="00DF7D10">
        <w:rPr>
          <w:rFonts w:ascii="Times New Roman" w:hAnsi="Times New Roman" w:cs="Times New Roman"/>
        </w:rPr>
        <w:t xml:space="preserve"> undergoing cesarean section. This research seeks to contribute valuable insights to the field of obstetric anesthesia by evaluating the analgesic and sedative properties of dexmedetomidine.</w:t>
      </w:r>
    </w:p>
    <w:p w14:paraId="4657AF68" w14:textId="77777777" w:rsidR="00DF7D10" w:rsidRPr="00705D93" w:rsidRDefault="00DF7D10" w:rsidP="00DF7D10">
      <w:pPr>
        <w:rPr>
          <w:rFonts w:ascii="Times New Roman" w:hAnsi="Times New Roman" w:cs="Times New Roman"/>
          <w:b/>
          <w:bCs/>
        </w:rPr>
      </w:pPr>
      <w:r w:rsidRPr="00705D93">
        <w:rPr>
          <w:rFonts w:ascii="Times New Roman" w:hAnsi="Times New Roman" w:cs="Times New Roman"/>
          <w:b/>
          <w:bCs/>
        </w:rPr>
        <w:t>Rationale:</w:t>
      </w:r>
    </w:p>
    <w:p w14:paraId="2CF1155B" w14:textId="77777777" w:rsidR="00DF7D10" w:rsidRPr="00DF7D10" w:rsidRDefault="00DF7D10" w:rsidP="00DF7D10">
      <w:pPr>
        <w:rPr>
          <w:rFonts w:ascii="Times New Roman" w:hAnsi="Times New Roman" w:cs="Times New Roman"/>
        </w:rPr>
      </w:pPr>
      <w:r w:rsidRPr="00DF7D10">
        <w:rPr>
          <w:rFonts w:ascii="Times New Roman" w:hAnsi="Times New Roman" w:cs="Times New Roman"/>
        </w:rPr>
        <w:t>Current literature emphasizes the arousal sedation and analgesic effects of dexmedetomidine. This project addresses a critical research gap by specifically investigating the application of 0.5μg/kg epidural dexmedetomidine in combination with EA for cesarean section. The goal is to enhance analgesic efficacy without compromising maternal satisfaction or causing adverse effects.</w:t>
      </w:r>
    </w:p>
    <w:p w14:paraId="4E636761" w14:textId="77777777" w:rsidR="00DF7D10" w:rsidRPr="00775FE5" w:rsidRDefault="00DF7D10" w:rsidP="00DF7D10">
      <w:pPr>
        <w:rPr>
          <w:rFonts w:ascii="Times New Roman" w:hAnsi="Times New Roman" w:cs="Times New Roman"/>
          <w:b/>
          <w:bCs/>
        </w:rPr>
      </w:pPr>
      <w:r w:rsidRPr="00775FE5">
        <w:rPr>
          <w:rFonts w:ascii="Times New Roman" w:hAnsi="Times New Roman" w:cs="Times New Roman"/>
          <w:b/>
          <w:bCs/>
        </w:rPr>
        <w:t>Objectives:</w:t>
      </w:r>
    </w:p>
    <w:p w14:paraId="245C2064" w14:textId="55386389" w:rsidR="00DF7D10" w:rsidRPr="00DF7D10" w:rsidRDefault="00DF7D10" w:rsidP="00DF7D10">
      <w:pPr>
        <w:rPr>
          <w:rFonts w:ascii="Times New Roman" w:hAnsi="Times New Roman" w:cs="Times New Roman"/>
        </w:rPr>
      </w:pPr>
      <w:r w:rsidRPr="00DF7D10">
        <w:rPr>
          <w:rFonts w:ascii="Times New Roman" w:hAnsi="Times New Roman" w:cs="Times New Roman"/>
        </w:rPr>
        <w:t>Evaluate the additional analgesic effect of 0.5μg/kg epidural dexmedetomidine when combined with epidural ropivacaine during cesarean section.</w:t>
      </w:r>
      <w:r w:rsidR="002D5E27">
        <w:rPr>
          <w:rFonts w:ascii="Times New Roman" w:hAnsi="Times New Roman" w:cs="Times New Roman"/>
        </w:rPr>
        <w:t xml:space="preserve"> </w:t>
      </w:r>
      <w:r w:rsidRPr="00DF7D10">
        <w:rPr>
          <w:rFonts w:ascii="Times New Roman" w:hAnsi="Times New Roman" w:cs="Times New Roman"/>
        </w:rPr>
        <w:t>Examine the sedative impact of 0.5μg/kg epidural dexmedetomidine using the Ramsay Sedation Scale.</w:t>
      </w:r>
      <w:r w:rsidR="002D5E27">
        <w:rPr>
          <w:rFonts w:ascii="Times New Roman" w:hAnsi="Times New Roman" w:cs="Times New Roman"/>
        </w:rPr>
        <w:t xml:space="preserve"> </w:t>
      </w:r>
      <w:r w:rsidRPr="00DF7D10">
        <w:rPr>
          <w:rFonts w:ascii="Times New Roman" w:hAnsi="Times New Roman" w:cs="Times New Roman"/>
        </w:rPr>
        <w:t>Assess maternal satisfaction, incidence of adverse effects, and the potential for larger doses of epidural dexmedetomidine.</w:t>
      </w:r>
    </w:p>
    <w:p w14:paraId="7D535439" w14:textId="77777777" w:rsidR="00DF7D10" w:rsidRPr="00C62798" w:rsidRDefault="00DF7D10" w:rsidP="00DF7D10">
      <w:pPr>
        <w:rPr>
          <w:rFonts w:ascii="Times New Roman" w:hAnsi="Times New Roman" w:cs="Times New Roman"/>
          <w:b/>
          <w:bCs/>
        </w:rPr>
      </w:pPr>
      <w:r w:rsidRPr="00C62798">
        <w:rPr>
          <w:rFonts w:ascii="Times New Roman" w:hAnsi="Times New Roman" w:cs="Times New Roman"/>
          <w:b/>
          <w:bCs/>
        </w:rPr>
        <w:t>Methods:</w:t>
      </w:r>
    </w:p>
    <w:p w14:paraId="00D2FBE2" w14:textId="77777777" w:rsidR="00DF7D10" w:rsidRPr="00DF7D10" w:rsidRDefault="00DF7D10" w:rsidP="00DF7D10">
      <w:pPr>
        <w:rPr>
          <w:rFonts w:ascii="Times New Roman" w:hAnsi="Times New Roman" w:cs="Times New Roman"/>
        </w:rPr>
      </w:pPr>
      <w:r w:rsidRPr="00DF7D10">
        <w:rPr>
          <w:rFonts w:ascii="Times New Roman" w:hAnsi="Times New Roman" w:cs="Times New Roman"/>
        </w:rPr>
        <w:t xml:space="preserve">Conducted as a randomized control trial, the study involves 92 </w:t>
      </w:r>
      <w:proofErr w:type="spellStart"/>
      <w:r w:rsidRPr="00DF7D10">
        <w:rPr>
          <w:rFonts w:ascii="Times New Roman" w:hAnsi="Times New Roman" w:cs="Times New Roman"/>
        </w:rPr>
        <w:t>parturients</w:t>
      </w:r>
      <w:proofErr w:type="spellEnd"/>
      <w:r w:rsidRPr="00DF7D10">
        <w:rPr>
          <w:rFonts w:ascii="Times New Roman" w:hAnsi="Times New Roman" w:cs="Times New Roman"/>
        </w:rPr>
        <w:t>, randomly assigned to Group R (receiving epidural ropivacaine alone) or Group RD (receiving epidural ropivacaine with 0.5μg/kg dexmedetomidine). Primary outcomes include intraoperative NRS pain scores and Ramsay Sedation Scale assessments. Rigorous data collection includes comprehensive pre- and post-assessments, surveys, and meticulous observation.</w:t>
      </w:r>
    </w:p>
    <w:p w14:paraId="108A1676" w14:textId="77777777" w:rsidR="00DF7D10" w:rsidRPr="00824417" w:rsidRDefault="00DF7D10" w:rsidP="00DF7D10">
      <w:pPr>
        <w:rPr>
          <w:rFonts w:ascii="Times New Roman" w:hAnsi="Times New Roman" w:cs="Times New Roman"/>
          <w:b/>
          <w:bCs/>
        </w:rPr>
      </w:pPr>
      <w:r w:rsidRPr="00824417">
        <w:rPr>
          <w:rFonts w:ascii="Times New Roman" w:hAnsi="Times New Roman" w:cs="Times New Roman"/>
          <w:b/>
          <w:bCs/>
        </w:rPr>
        <w:t>Populations:</w:t>
      </w:r>
    </w:p>
    <w:p w14:paraId="52B1A69C" w14:textId="030D011B" w:rsidR="00DF7D10" w:rsidRPr="00DF7D10" w:rsidRDefault="00CF63CC" w:rsidP="00DF7D10">
      <w:pPr>
        <w:rPr>
          <w:rFonts w:ascii="Times New Roman" w:hAnsi="Times New Roman" w:cs="Times New Roman"/>
        </w:rPr>
      </w:pPr>
      <w:r w:rsidRPr="00CF63CC">
        <w:rPr>
          <w:rFonts w:ascii="Times New Roman" w:hAnsi="Times New Roman" w:cs="Times New Roman"/>
        </w:rPr>
        <w:t xml:space="preserve">This study exclusively includes </w:t>
      </w:r>
      <w:r w:rsidR="0033090F" w:rsidRPr="0033090F">
        <w:rPr>
          <w:rFonts w:ascii="Times New Roman" w:hAnsi="Times New Roman" w:cs="Times New Roman"/>
        </w:rPr>
        <w:t>primiparas</w:t>
      </w:r>
      <w:r w:rsidRPr="00CF63CC">
        <w:rPr>
          <w:rFonts w:ascii="Times New Roman" w:hAnsi="Times New Roman" w:cs="Times New Roman"/>
        </w:rPr>
        <w:t xml:space="preserve"> undergoing cesarean section, eliminating variability from previous </w:t>
      </w:r>
      <w:r w:rsidR="002C7824">
        <w:rPr>
          <w:rFonts w:ascii="Times New Roman" w:hAnsi="Times New Roman" w:cs="Times New Roman"/>
        </w:rPr>
        <w:t>epidural</w:t>
      </w:r>
      <w:r w:rsidRPr="00CF63CC">
        <w:rPr>
          <w:rFonts w:ascii="Times New Roman" w:hAnsi="Times New Roman" w:cs="Times New Roman"/>
        </w:rPr>
        <w:t xml:space="preserve"> anesthesia experiences for a more precise evaluation of current outcomes.</w:t>
      </w:r>
    </w:p>
    <w:p w14:paraId="04519D1F" w14:textId="77777777" w:rsidR="00DF7D10" w:rsidRPr="00536077" w:rsidRDefault="00DF7D10" w:rsidP="00DF7D10">
      <w:pPr>
        <w:rPr>
          <w:rFonts w:ascii="Times New Roman" w:hAnsi="Times New Roman" w:cs="Times New Roman"/>
          <w:b/>
          <w:bCs/>
        </w:rPr>
      </w:pPr>
      <w:r w:rsidRPr="00536077">
        <w:rPr>
          <w:rFonts w:ascii="Times New Roman" w:hAnsi="Times New Roman" w:cs="Times New Roman"/>
          <w:b/>
          <w:bCs/>
        </w:rPr>
        <w:t>Time Frame:</w:t>
      </w:r>
    </w:p>
    <w:p w14:paraId="4A0557B2" w14:textId="77777777" w:rsidR="00DF7D10" w:rsidRPr="00DF7D10" w:rsidRDefault="00DF7D10" w:rsidP="00DF7D10">
      <w:pPr>
        <w:rPr>
          <w:rFonts w:ascii="Times New Roman" w:hAnsi="Times New Roman" w:cs="Times New Roman"/>
        </w:rPr>
      </w:pPr>
      <w:r w:rsidRPr="00DF7D10">
        <w:rPr>
          <w:rFonts w:ascii="Times New Roman" w:hAnsi="Times New Roman" w:cs="Times New Roman"/>
        </w:rPr>
        <w:t>The research spans two academic semesters, allowing for an extensive analysis of immediate and sustained effects. A systematic timeline governs data collection, analysis, and result dissemination.</w:t>
      </w:r>
    </w:p>
    <w:p w14:paraId="515E65EB" w14:textId="77777777" w:rsidR="00DF7D10" w:rsidRPr="0031385B" w:rsidRDefault="00DF7D10" w:rsidP="00DF7D10">
      <w:pPr>
        <w:rPr>
          <w:rFonts w:ascii="Times New Roman" w:hAnsi="Times New Roman" w:cs="Times New Roman"/>
          <w:b/>
          <w:bCs/>
        </w:rPr>
      </w:pPr>
      <w:r w:rsidRPr="0031385B">
        <w:rPr>
          <w:rFonts w:ascii="Times New Roman" w:hAnsi="Times New Roman" w:cs="Times New Roman"/>
          <w:b/>
          <w:bCs/>
        </w:rPr>
        <w:t>Expected Outcomes:</w:t>
      </w:r>
    </w:p>
    <w:p w14:paraId="2D78D11F" w14:textId="77777777" w:rsidR="00DF7D10" w:rsidRPr="00DF7D10" w:rsidRDefault="00DF7D10" w:rsidP="00DF7D10">
      <w:pPr>
        <w:rPr>
          <w:rFonts w:ascii="Times New Roman" w:hAnsi="Times New Roman" w:cs="Times New Roman"/>
        </w:rPr>
      </w:pPr>
      <w:r w:rsidRPr="00DF7D10">
        <w:rPr>
          <w:rFonts w:ascii="Times New Roman" w:hAnsi="Times New Roman" w:cs="Times New Roman"/>
        </w:rPr>
        <w:t>Anticipated outcomes involve the identification of the incremental analgesic benefits of 0.5µg/kg epidural dexmedetomidine in combination with ropivacaine for EA during cesarean section. Our findings demonstrate that this sedative dosage does not adversely affect mother-baby bonding or overall satisfaction. While satisfaction with anesthesia remains unaltered, the absence of significant side effects supports potential exploration of larger doses of epidural dexmedetomidine in future studies.</w:t>
      </w:r>
    </w:p>
    <w:p w14:paraId="24F22175" w14:textId="77777777" w:rsidR="00DB021E" w:rsidRPr="00DB021E" w:rsidRDefault="00DB021E" w:rsidP="00DB021E">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t>General information</w:t>
      </w:r>
    </w:p>
    <w:p w14:paraId="71119219" w14:textId="20D4469B" w:rsidR="00B24FDD" w:rsidRPr="006051FC" w:rsidRDefault="00DB021E" w:rsidP="006051FC">
      <w:pPr>
        <w:widowControl/>
        <w:numPr>
          <w:ilvl w:val="0"/>
          <w:numId w:val="1"/>
        </w:numPr>
        <w:spacing w:before="100" w:beforeAutospacing="1" w:after="100" w:afterAutospacing="1"/>
        <w:ind w:left="45"/>
        <w:jc w:val="left"/>
        <w:rPr>
          <w:rFonts w:ascii="宋体" w:eastAsia="宋体" w:hAnsi="宋体" w:cs="宋体"/>
          <w:kern w:val="0"/>
          <w:sz w:val="24"/>
          <w:szCs w:val="24"/>
        </w:rPr>
      </w:pPr>
      <w:r w:rsidRPr="00DB021E">
        <w:rPr>
          <w:rFonts w:ascii="Times New Roman" w:hAnsi="Times New Roman" w:cs="Times New Roman"/>
        </w:rPr>
        <w:t>Protocol title</w:t>
      </w:r>
      <w:r w:rsidR="00B24FDD" w:rsidRPr="003535CD">
        <w:rPr>
          <w:rFonts w:ascii="Times New Roman" w:hAnsi="Times New Roman" w:cs="Times New Roman"/>
        </w:rPr>
        <w:t>:</w:t>
      </w:r>
      <w:r w:rsidR="006051FC" w:rsidRPr="006051FC">
        <w:rPr>
          <w:rFonts w:ascii="Times New Roman" w:hAnsi="Times New Roman" w:cs="Times New Roman"/>
          <w:b/>
          <w:bCs/>
        </w:rPr>
        <w:t xml:space="preserve"> Epidural Infusion of Dexmedetomidine Improves the Experience of Primiparas Undergoing Cesarean Section with Epidural Anesthesia: A Randomized Double</w:t>
      </w:r>
      <w:r w:rsidR="006051FC" w:rsidRPr="006051FC">
        <w:rPr>
          <w:rFonts w:ascii="Times New Roman" w:eastAsia="MS Gothic" w:hAnsi="Times New Roman" w:cs="Times New Roman"/>
          <w:b/>
          <w:bCs/>
        </w:rPr>
        <w:t>‑B</w:t>
      </w:r>
      <w:r w:rsidR="006051FC" w:rsidRPr="006051FC">
        <w:rPr>
          <w:rFonts w:ascii="Times New Roman" w:hAnsi="Times New Roman" w:cs="Times New Roman"/>
          <w:b/>
          <w:bCs/>
        </w:rPr>
        <w:t>linded Controlled Study</w:t>
      </w:r>
    </w:p>
    <w:p w14:paraId="77FA5C1E" w14:textId="764D3C27" w:rsidR="00DB021E" w:rsidRPr="00DB021E" w:rsidRDefault="008719DB" w:rsidP="00DB021E">
      <w:pPr>
        <w:widowControl/>
        <w:numPr>
          <w:ilvl w:val="0"/>
          <w:numId w:val="1"/>
        </w:numPr>
        <w:spacing w:before="100" w:beforeAutospacing="1" w:after="100" w:afterAutospacing="1"/>
        <w:ind w:left="45"/>
        <w:jc w:val="left"/>
        <w:rPr>
          <w:rFonts w:ascii="Times New Roman" w:hAnsi="Times New Roman" w:cs="Times New Roman"/>
          <w:b/>
          <w:bCs/>
        </w:rPr>
      </w:pPr>
      <w:r>
        <w:rPr>
          <w:rFonts w:ascii="Times New Roman" w:hAnsi="Times New Roman" w:cs="Times New Roman"/>
        </w:rPr>
        <w:lastRenderedPageBreak/>
        <w:t>P</w:t>
      </w:r>
      <w:r w:rsidR="00DB021E" w:rsidRPr="00DB021E">
        <w:rPr>
          <w:rFonts w:ascii="Times New Roman" w:hAnsi="Times New Roman" w:cs="Times New Roman"/>
        </w:rPr>
        <w:t>rotocol identifying number (if any), and date</w:t>
      </w:r>
      <w:r w:rsidR="006051FC" w:rsidRPr="003535CD">
        <w:rPr>
          <w:rFonts w:ascii="Times New Roman" w:hAnsi="Times New Roman" w:cs="Times New Roman"/>
        </w:rPr>
        <w:t>:</w:t>
      </w:r>
      <w:r w:rsidR="00510D81" w:rsidRPr="003535CD">
        <w:rPr>
          <w:rFonts w:ascii="Times New Roman" w:hAnsi="Times New Roman" w:cs="Times New Roman"/>
          <w:b/>
          <w:bCs/>
        </w:rPr>
        <w:t>2020-555</w:t>
      </w:r>
      <w:r w:rsidR="00154BED" w:rsidRPr="003535CD">
        <w:rPr>
          <w:rFonts w:ascii="Times New Roman" w:hAnsi="Times New Roman" w:cs="Times New Roman"/>
          <w:b/>
          <w:bCs/>
        </w:rPr>
        <w:t>, 2020/10/14</w:t>
      </w:r>
    </w:p>
    <w:p w14:paraId="5AACEA33" w14:textId="6E93F224" w:rsidR="00DB021E" w:rsidRPr="00DB021E" w:rsidRDefault="00DB021E" w:rsidP="00DB021E">
      <w:pPr>
        <w:widowControl/>
        <w:numPr>
          <w:ilvl w:val="0"/>
          <w:numId w:val="1"/>
        </w:numPr>
        <w:spacing w:before="100" w:beforeAutospacing="1" w:after="100" w:afterAutospacing="1"/>
        <w:ind w:left="45"/>
        <w:jc w:val="left"/>
        <w:rPr>
          <w:rFonts w:ascii="Times New Roman" w:hAnsi="Times New Roman" w:cs="Times New Roman"/>
          <w:b/>
          <w:bCs/>
        </w:rPr>
      </w:pPr>
      <w:r w:rsidRPr="00DB021E">
        <w:rPr>
          <w:rFonts w:ascii="Times New Roman" w:hAnsi="Times New Roman" w:cs="Times New Roman"/>
        </w:rPr>
        <w:t>Name and address of the sponsor/funder</w:t>
      </w:r>
      <w:r w:rsidR="002E6768" w:rsidRPr="003535CD">
        <w:rPr>
          <w:rFonts w:ascii="Times New Roman" w:hAnsi="Times New Roman" w:cs="Times New Roman"/>
        </w:rPr>
        <w:t xml:space="preserve">: </w:t>
      </w:r>
      <w:r w:rsidR="002E6768" w:rsidRPr="003535CD">
        <w:rPr>
          <w:rFonts w:ascii="Times New Roman" w:hAnsi="Times New Roman" w:cs="Times New Roman"/>
          <w:b/>
          <w:bCs/>
        </w:rPr>
        <w:t>Funding Chongqing Science and Technology Bureau (cstc2018jscx-msybx002) and Chongqing Health Bureau (2018GDRC009, 2018 jstg011, 2019jstg003, 2021jstg045).</w:t>
      </w:r>
    </w:p>
    <w:p w14:paraId="36A197BF" w14:textId="0AAEF89E" w:rsidR="00DB021E" w:rsidRPr="00DB021E" w:rsidRDefault="002F5B3F" w:rsidP="00DB021E">
      <w:pPr>
        <w:widowControl/>
        <w:numPr>
          <w:ilvl w:val="0"/>
          <w:numId w:val="1"/>
        </w:numPr>
        <w:spacing w:before="100" w:beforeAutospacing="1" w:after="100" w:afterAutospacing="1"/>
        <w:ind w:left="45"/>
        <w:jc w:val="left"/>
        <w:rPr>
          <w:rFonts w:ascii="Times New Roman" w:hAnsi="Times New Roman" w:cs="Times New Roman"/>
          <w:b/>
          <w:bCs/>
        </w:rPr>
      </w:pPr>
      <w:r w:rsidRPr="00E23255">
        <w:rPr>
          <w:rFonts w:ascii="Times New Roman" w:hAnsi="Times New Roman" w:cs="Times New Roman" w:hint="eastAsia"/>
          <w:b/>
          <w:bCs/>
          <w:szCs w:val="21"/>
        </w:rPr>
        <w:t>M</w:t>
      </w:r>
      <w:r>
        <w:rPr>
          <w:rFonts w:ascii="Times New Roman" w:hAnsi="Times New Roman" w:cs="Times New Roman" w:hint="eastAsia"/>
          <w:b/>
          <w:bCs/>
          <w:szCs w:val="21"/>
        </w:rPr>
        <w:t>inghao</w:t>
      </w:r>
      <w:r w:rsidRPr="00E23255">
        <w:rPr>
          <w:rFonts w:ascii="Times New Roman" w:hAnsi="Times New Roman" w:cs="Times New Roman"/>
          <w:b/>
          <w:bCs/>
          <w:szCs w:val="21"/>
        </w:rPr>
        <w:t xml:space="preserve"> L</w:t>
      </w:r>
      <w:r w:rsidRPr="00E23255">
        <w:rPr>
          <w:rFonts w:ascii="Times New Roman" w:hAnsi="Times New Roman" w:cs="Times New Roman" w:hint="eastAsia"/>
          <w:b/>
          <w:bCs/>
          <w:szCs w:val="21"/>
        </w:rPr>
        <w:t>iu</w:t>
      </w:r>
      <w:r w:rsidR="00297F1D">
        <w:rPr>
          <w:rFonts w:ascii="Times New Roman" w:hAnsi="Times New Roman" w:cs="Times New Roman"/>
          <w:b/>
          <w:bCs/>
          <w:szCs w:val="21"/>
        </w:rPr>
        <w:t xml:space="preserve">, </w:t>
      </w:r>
      <w:r w:rsidR="00746285">
        <w:rPr>
          <w:rFonts w:ascii="Times New Roman" w:hAnsi="Times New Roman" w:cs="Times New Roman"/>
          <w:b/>
          <w:bCs/>
          <w:szCs w:val="21"/>
        </w:rPr>
        <w:t>(</w:t>
      </w:r>
      <w:r w:rsidR="00297F1D" w:rsidRPr="00297F1D">
        <w:rPr>
          <w:rFonts w:ascii="Times New Roman" w:hAnsi="Times New Roman" w:cs="Times New Roman"/>
          <w:b/>
          <w:bCs/>
          <w:szCs w:val="21"/>
        </w:rPr>
        <w:t>resident</w:t>
      </w:r>
      <w:r w:rsidR="00746285">
        <w:rPr>
          <w:rFonts w:ascii="Times New Roman" w:hAnsi="Times New Roman" w:cs="Times New Roman"/>
          <w:b/>
          <w:bCs/>
          <w:szCs w:val="21"/>
        </w:rPr>
        <w:t>)</w:t>
      </w:r>
      <w:r w:rsidR="002A0C27" w:rsidRPr="001A0B89">
        <w:rPr>
          <w:rFonts w:ascii="Times New Roman" w:hAnsi="Times New Roman" w:cs="Times New Roman"/>
        </w:rPr>
        <w:t xml:space="preserve"> </w:t>
      </w:r>
      <w:r w:rsidR="00746285" w:rsidRPr="00DB021E">
        <w:rPr>
          <w:rFonts w:ascii="Times New Roman" w:hAnsi="Times New Roman" w:cs="Times New Roman"/>
        </w:rPr>
        <w:t>is responsible for conducting the research</w:t>
      </w:r>
      <w:r w:rsidR="00746285" w:rsidRPr="001A0B89">
        <w:rPr>
          <w:rFonts w:ascii="Times New Roman" w:hAnsi="Times New Roman" w:cs="Times New Roman"/>
        </w:rPr>
        <w:t xml:space="preserve">, and the </w:t>
      </w:r>
      <w:r w:rsidR="00746285" w:rsidRPr="00DB021E">
        <w:rPr>
          <w:rFonts w:ascii="Times New Roman" w:hAnsi="Times New Roman" w:cs="Times New Roman"/>
        </w:rPr>
        <w:t>address and telephone number of the research site</w:t>
      </w:r>
      <w:r w:rsidR="003F33F5" w:rsidRPr="001A0B89">
        <w:rPr>
          <w:rFonts w:ascii="Times New Roman" w:hAnsi="Times New Roman" w:cs="Times New Roman"/>
        </w:rPr>
        <w:t xml:space="preserve"> are: </w:t>
      </w:r>
      <w:r w:rsidR="003F33F5" w:rsidRPr="003D79D7">
        <w:rPr>
          <w:rFonts w:ascii="Times New Roman" w:hAnsi="Times New Roman" w:cs="Times New Roman"/>
          <w:b/>
          <w:bCs/>
          <w:szCs w:val="21"/>
        </w:rPr>
        <w:t>D</w:t>
      </w:r>
      <w:r w:rsidR="003F33F5" w:rsidRPr="001A0B89">
        <w:rPr>
          <w:rFonts w:ascii="Times New Roman" w:hAnsi="Times New Roman" w:cs="Times New Roman"/>
          <w:b/>
          <w:bCs/>
        </w:rPr>
        <w:t>epartment of Anesthesiology, the First Affiliated Hospital of Chongqing Medical University, Chongqing, PR China</w:t>
      </w:r>
      <w:r w:rsidR="00D85CC5" w:rsidRPr="001A0B89">
        <w:rPr>
          <w:rFonts w:ascii="Times New Roman" w:hAnsi="Times New Roman" w:cs="Times New Roman"/>
          <w:b/>
          <w:bCs/>
        </w:rPr>
        <w:t>, 023-68811360</w:t>
      </w:r>
    </w:p>
    <w:p w14:paraId="785ACA90" w14:textId="77777777" w:rsidR="00DB021E" w:rsidRPr="00DB021E" w:rsidRDefault="00DB021E" w:rsidP="00DB021E">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t>Rationale &amp; background information</w:t>
      </w:r>
    </w:p>
    <w:p w14:paraId="7E59D373" w14:textId="6AEAB531" w:rsidR="005C14FB" w:rsidRDefault="00B42277" w:rsidP="00545B60">
      <w:pPr>
        <w:widowControl/>
        <w:spacing w:before="100" w:beforeAutospacing="1" w:after="100" w:afterAutospacing="1"/>
        <w:jc w:val="left"/>
        <w:rPr>
          <w:rFonts w:ascii="Times New Roman" w:hAnsi="Times New Roman" w:cs="Times New Roman"/>
        </w:rPr>
      </w:pPr>
      <w:r w:rsidRPr="00B42277">
        <w:rPr>
          <w:rFonts w:ascii="Times New Roman" w:hAnsi="Times New Roman" w:cs="Times New Roman"/>
        </w:rPr>
        <w:t>Cesarean sections are commonly performed under general anesthesia (GA) or neuraxial anesthesia, with epidural anesthesia (EA) being a preferred technique. EA mitigates risks associated with GA, maintains positive early mother-child bonding, and has a more favorable impact on hemodynamics than spinal anesthesia</w:t>
      </w:r>
      <w:r w:rsidR="00CE4DB7">
        <w:rPr>
          <w:rFonts w:ascii="Times New Roman" w:hAnsi="Times New Roman" w:cs="Times New Roman"/>
          <w:sz w:val="24"/>
          <w:szCs w:val="28"/>
        </w:rPr>
        <w:fldChar w:fldCharType="begin" w:fldLock="1"/>
      </w:r>
      <w:r w:rsidR="00CE4DB7">
        <w:rPr>
          <w:rFonts w:ascii="Times New Roman" w:hAnsi="Times New Roman" w:cs="Times New Roman"/>
          <w:sz w:val="24"/>
          <w:szCs w:val="28"/>
        </w:rPr>
        <w:instrText>ADDIN CSL_CITATION {"citationItems":[{"id":"ITEM-1","itemData":{"DOI":"10.1097/aln.0000000000000935","ISBN":"0000000000000","ISSN":"05440440","PMID":"18942244","author":[{"dropping-particle":"","family":"Siddik-Sayyid","given":"Sahar","non-dropping-particle":"","parse-names":false,"suffix":""},{"dropping-particle":"","family":"Zbeidy","given":"Reine","non-dropping-particle":"","parse-names":false,"suffix":""}],"container-title":"Middle East Journal of Anesthesiology","id":"ITEM-1","issue":"6","issued":{"date-parts":[["2008"]]},"number-of-pages":"1291-1303","title":"Practice guidelines for obstetric anesthesia","type":"book","volume":"19"},"uris":["http://www.mendeley.com/documents/?uuid=cc8f169f-e33a-4826-a717-bf1eb7e6beef"]},{"id":"ITEM-2","itemData":{"DOI":"10.1093/bja/66.4.528-a","ISSN":"00070912","author":[{"dropping-particle":"","family":"Carrie","given":"L. E.S.","non-dropping-particle":"","parse-names":false,"suffix":""}],"container-title":"British Journal of Anaesthesia","id":"ITEM-2","issue":"4","issued":{"date-parts":[["1991"]]},"page":"528","title":"Extradural, spinal or combined block for obstetric surgical anaesthesia","type":"article-journal","volume":"66"},"uris":["http://www.mendeley.com/documents/?uuid=653c486d-b1d1-4137-baf1-730ddf079560"]},{"id":"ITEM-3","itemData":{"ISSN":"19438141","abstract":"Objective: To investigate the impact of propofol epidural anesthesia on indexes such as T lymphocytes, NK cells and inflammatory factors in patients undergoing gastric cancer surgery. Methods: Eighty patients undergoing laparoscopic radical gastrectomy were randomly divided into the control group and the observation group, with 40 cases in each group. The control group was given propofol intravenous anesthesia, while the observation group was given propofol epidural anesthesia. The anesthetic indexes, mean arterial pressure (MAP), bispectral index (BIS), level of serum inflammatory mediators, level of T lymphocytes, level of NK cells and safety analysis were observed during anesthesia. Results: The anesthesia onset time, complete block time, time to resume spontaneous breathing and orientation recovery time in the observation group were reduced, and there was a difference compared with the control group (P&lt;0.05). MAP before anesthesia (T0), after tracheal intubation (T1), at 30 min during operation (T2), at 60 min during operation (T3) and at the end of the operation (T4) all had a relatively small overall fluctuation. MAP at T2 and T3 in the observation group was lower than that in the control group (P&lt;0.05). BIS value at T2 and T3 in the observation group was lower than that in the control group (P&lt;0.05). Compared with the control group, the expression of IL-6 and TNF-a in the observation group decreased after tracheal intubation (S1), 1 d after the operation (S2), 3 d after the operation (S3), 5 min after extubation (S4) (P&lt;0.05), while there was no significant difference at other time points (P&gt;0.05). For pairwise comparison within each group, IL-1β, IL-6 and TNF-a level at S1 and S2 were upregulated compared with those at S0, and IL-1β, IL-6 and TNF-a level at S3 and S4 were downregulated compared with those at S2 (P&lt;0.05). CD3+ T cells levels at S1, S2, S3 showed a downward trend compared to S0 (P&lt;0.05). Compared with the control group, CD4+ T cells level at S4 increased (P&lt;0.05). CD4+ T cells levels at S3 in the two groups both increased compared with those at S1 and S2, and CD4+ T cells levels at S4 in the two groups both increased compared with those at S1, S2 and S3 (P&lt;0.05). Compared with the control group, CD8+ T cells levels at S3 and S4 in the observation group decreased. CD8+ T cells levels at S1, S2, S3 showed a downward trend compared to S0 (P&lt;0.05), while those at S4 showed an upward trend compared to S1 (P&lt;0.05). Compared with the con…","author":[{"dropping-particle":"","family":"Zhou","given":"Min","non-dropping-particle":"","parse-names":false,"suffix":""},{"dropping-particle":"","family":"Liu","given":"Wufei","non-dropping-particle":"","parse-names":false,"suffix":""},{"dropping-particle":"","family":"Peng","given":"Jing","non-dropping-particle":"","parse-names":false,"suffix":""},{"dropping-particle":"","family":"Wang","given":"Yahong","non-dropping-particle":"","parse-names":false,"suffix":""}],"container-title":"American Journal of Translational Research","id":"ITEM-3","issue":"4","issued":{"date-parts":[["2021"]]},"page":"3064-3073","title":"Impact of propofol epidural anesthesia on immune function and inflammatory factors in patients undergoing gastric cancer surgery","type":"article-journal","volume":"13"},"uris":["http://www.mendeley.com/documents/?uuid=81a774db-7863-4fcd-9cb2-e371c1cb4c49"]},{"id":"ITEM-4","itemData":{"DOI":"10.3389/fphar.2021.691809","ISSN":"16639812","abstract":"Background: Hypotension commonly occurs with spinal anesthesia during cesarean delivery. Norepinephrine is an alternative to phenylephrine which can be used to prevent or treat hypotension, with better maintained cardiac output and less bradycardia. However, an appropriate initial prophylactic infusion dose of norepinephrine remains unclear. The aim of this study was to describe the dose-response relationship of prophylactic norepinephrine infusion during cesarean delivery under combined spinal-epidural anesthesia. Methods: We performed a prospective, randomized, double-blinded dose-finding study. One hundred patients undergoing elective cesarean delivery were randomly assigned to receive an infusion of norepinephrine at 0, 0.025, 0.05, 0.075 or 0.1 μg/kg/min initiated immediately after intrathecal injection of 10 mg bupivacaine combined with 5 µg sufentanil. An effective dose was considered when there was no hypotension (systolic blood pressure &lt; 90 mm Hg or &lt; 80% of baseline) during the time period from injection of intrathecal local anesthetic to delivery of the neonate. The primary aim was to determine the dose-response relationship of norepinephrine to prevent spinal anesthesia-induced hypotension. The median effective dose (ED50) and 95% effective dose (ED95) for norepinephrine were calculated utilizing probit analysis. Results: The proportion of patients with hypotension was 80, 70, 40, 15 and 5% at norepinephrine doses of 0, 0.025, 0.05, 0.075 and 0.1 μg/kg/min, respectively. The ED50 and ED95 were 0.042 (95% CI, 0.025–0.053) µg/kg/min and 0.097 (95% CI, 0.081–0.134) µg/kg/min, respectively. There were no differences in the Apgar scores (p = 0.685) or umbilical arterial pH (p = 0.485) measurements of the newborns among the treatment groups. Conclusion: A norepinephrine infusion of 0.1 μg/kg/min as an initial starting dose was effective for the prevention of spinal-induced hypotension.","author":[{"dropping-particle":"","family":"Xu","given":"Wenping","non-dropping-particle":"","parse-names":false,"suffix":""},{"dropping-particle":"","family":"Drzymalski","given":"Dan Michael","non-dropping-particle":"","parse-names":false,"suffix":""},{"dropping-particle":"","family":"Ai","given":"Ling","non-dropping-particle":"","parse-names":false,"suffix":""},{"dropping-particle":"","family":"Yao","given":"Hanqing","non-dropping-particle":"","parse-names":false,"suffix":""},{"dropping-particle":"","family":"Liu","given":"Lin","non-dropping-particle":"","parse-names":false,"suffix":""},{"dropping-particle":"","family":"Xiao","given":"Fei","non-dropping-particle":"","parse-names":false,"suffix":""}],"container-title":"Frontiers in Pharmacology","id":"ITEM-4","issue":"July","issued":{"date-parts":[["2021"]]},"page":"1-7","title":"The ED50 and ED95 of Prophylactic Norepinephrine for Preventing Post-Spinal Hypotension During Cesarean Delivery Under Combined Spinal-Epidural Anesthesia: A Prospective Dose-Finding Study","type":"article-journal","volume":"12"},"uris":["http://www.mendeley.com/documents/?uuid=e9c68cf1-013c-4cd4-bf32-42f0eb947e6e"]}],"mendeley":{"formattedCitation":"(1–4)","plainTextFormattedCitation":"(1–4)","previouslyFormattedCitation":"(1–4)"},"properties":{"noteIndex":0},"schema":"https://github.com/citation-style-language/schema/raw/master/csl-citation.json"}</w:instrText>
      </w:r>
      <w:r w:rsidR="00CE4DB7">
        <w:rPr>
          <w:rFonts w:ascii="Times New Roman" w:hAnsi="Times New Roman" w:cs="Times New Roman"/>
          <w:sz w:val="24"/>
          <w:szCs w:val="28"/>
        </w:rPr>
        <w:fldChar w:fldCharType="separate"/>
      </w:r>
      <w:r w:rsidR="00CE4DB7" w:rsidRPr="007B4E49">
        <w:rPr>
          <w:rFonts w:ascii="Times New Roman" w:hAnsi="Times New Roman" w:cs="Times New Roman"/>
          <w:noProof/>
          <w:sz w:val="24"/>
          <w:szCs w:val="28"/>
        </w:rPr>
        <w:t>(1–4)</w:t>
      </w:r>
      <w:r w:rsidR="00CE4DB7">
        <w:rPr>
          <w:rFonts w:ascii="Times New Roman" w:hAnsi="Times New Roman" w:cs="Times New Roman"/>
          <w:sz w:val="24"/>
          <w:szCs w:val="28"/>
        </w:rPr>
        <w:fldChar w:fldCharType="end"/>
      </w:r>
      <w:r w:rsidRPr="00B42277">
        <w:rPr>
          <w:rFonts w:ascii="Times New Roman" w:hAnsi="Times New Roman" w:cs="Times New Roman"/>
        </w:rPr>
        <w:t>. Despite these advantages, EA has limitations in providing sufficient visceral pain relief during surgery</w:t>
      </w:r>
      <w:r w:rsidR="00096E92" w:rsidRPr="0029766F">
        <w:rPr>
          <w:rFonts w:ascii="Times New Roman" w:hAnsi="Times New Roman" w:cs="Times New Roman"/>
          <w:sz w:val="24"/>
          <w:szCs w:val="28"/>
        </w:rPr>
        <w:fldChar w:fldCharType="begin" w:fldLock="1"/>
      </w:r>
      <w:r w:rsidR="00096E92">
        <w:rPr>
          <w:rFonts w:ascii="Times New Roman" w:hAnsi="Times New Roman" w:cs="Times New Roman"/>
          <w:sz w:val="24"/>
          <w:szCs w:val="28"/>
        </w:rPr>
        <w:instrText xml:space="preserve">ADDIN CSL_CITATION {"citationItems":[{"id":"ITEM-1","itemData":{"DOI":"10.1111/j.1399-6576.1990.tb03050.x","ISSN":"13996576","PMID":"2407045","abstract":"In a randomized study, the incidence of visceral pain was evaluated in 46 patients undergoing elective caesarean section under spinal or epidural anaesthesia with 0.5% bupivacaine. If the patient experienced pain during the operation, a standard visual analogue scale ranging from 0 to 10 was used to assess the degree of pain Visceral pain occurred in 12/23 patients in the spinal group and in 13/23 patients in the epidural group. In neither group was a correlation found between the cephalad level of analgesia or the intensity of cutaneous analgesia in the sacral region, and the presence of visceral pain. </w:instrText>
      </w:r>
      <w:r w:rsidR="00096E92">
        <w:rPr>
          <w:rFonts w:ascii="Times New Roman" w:hAnsi="Times New Roman" w:cs="Times New Roman" w:hint="eastAsia"/>
          <w:sz w:val="24"/>
          <w:szCs w:val="28"/>
        </w:rPr>
        <w:instrText>© 1990 Acta Anaesthesiologica Scandinavica Fonden","author":[{"dropping-particle":"","family":"Alahuhta","given":"S","non-dropping-particle":"","parse-names":false,"suffix":""},{"dropping-particle":"","family":"Kangas</w:instrText>
      </w:r>
      <w:r w:rsidR="00096E92">
        <w:rPr>
          <w:rFonts w:ascii="Times New Roman" w:hAnsi="Times New Roman" w:cs="Times New Roman" w:hint="eastAsia"/>
          <w:sz w:val="24"/>
          <w:szCs w:val="28"/>
        </w:rPr>
        <w:instrText>‐</w:instrText>
      </w:r>
      <w:r w:rsidR="00096E92">
        <w:rPr>
          <w:rFonts w:ascii="Times New Roman" w:hAnsi="Times New Roman" w:cs="Times New Roman" w:hint="eastAsia"/>
          <w:sz w:val="24"/>
          <w:szCs w:val="28"/>
        </w:rPr>
        <w:instrText>Saarela","given":"T","non-dropping-pa</w:instrText>
      </w:r>
      <w:r w:rsidR="00096E92">
        <w:rPr>
          <w:rFonts w:ascii="Times New Roman" w:hAnsi="Times New Roman" w:cs="Times New Roman"/>
          <w:sz w:val="24"/>
          <w:szCs w:val="28"/>
        </w:rPr>
        <w:instrText>rticle":"","parse-names":false,"suffix":""},{"dropping-particle":"","family":"Hollmén","given":"A I","non-dropping-particle":"","parse-names":false,"suffix":""},{"dropping-particle":"","family":"Edström","given":"H H","non-dropping-particle":"","parse-names":false,"suffix":""}],"container-title":"Acta Anaesthesiologica Scandinavica","id":"ITEM-1","issue":"2","issued":{"date-parts":[["1990"]]},"page":"95-98","title":"Visceral pain during caesarean section under spinal and epidural anaesthesia with bupivacaine","type":"article-journal","volume":"34"},"uris":["http://www.mendeley.com/documents/?uuid=91535acd-6db7-4d4f-ba7f-37b2127262da"]}],"mendeley":{"formattedCitation":"(5)","plainTextFormattedCitation":"(5)","previouslyFormattedCitation":"(5)"},"properties":{"noteIndex":0},"schema":"https://github.com/citation-style-language/schema/raw/master/csl-citation.json"}</w:instrText>
      </w:r>
      <w:r w:rsidR="00096E92" w:rsidRPr="0029766F">
        <w:rPr>
          <w:rFonts w:ascii="Times New Roman" w:hAnsi="Times New Roman" w:cs="Times New Roman"/>
          <w:sz w:val="24"/>
          <w:szCs w:val="28"/>
        </w:rPr>
        <w:fldChar w:fldCharType="separate"/>
      </w:r>
      <w:r w:rsidR="00096E92" w:rsidRPr="007B4E49">
        <w:rPr>
          <w:rFonts w:ascii="Times New Roman" w:hAnsi="Times New Roman" w:cs="Times New Roman"/>
          <w:noProof/>
          <w:sz w:val="24"/>
          <w:szCs w:val="28"/>
        </w:rPr>
        <w:t>(5)</w:t>
      </w:r>
      <w:r w:rsidR="00096E92" w:rsidRPr="0029766F">
        <w:rPr>
          <w:rFonts w:ascii="Times New Roman" w:hAnsi="Times New Roman" w:cs="Times New Roman"/>
          <w:sz w:val="24"/>
          <w:szCs w:val="28"/>
        </w:rPr>
        <w:fldChar w:fldCharType="end"/>
      </w:r>
      <w:r w:rsidR="002719DF">
        <w:rPr>
          <w:rFonts w:ascii="Times New Roman" w:hAnsi="Times New Roman" w:cs="Times New Roman"/>
        </w:rPr>
        <w:t xml:space="preserve"> </w:t>
      </w:r>
      <w:r w:rsidRPr="00B42277">
        <w:rPr>
          <w:rFonts w:ascii="Times New Roman" w:hAnsi="Times New Roman" w:cs="Times New Roman"/>
        </w:rPr>
        <w:t xml:space="preserve">and exhibits a slow onset of action. Combining adjuvants, such as </w:t>
      </w:r>
      <w:proofErr w:type="spellStart"/>
      <w:r w:rsidRPr="00B42277">
        <w:rPr>
          <w:rFonts w:ascii="Times New Roman" w:hAnsi="Times New Roman" w:cs="Times New Roman"/>
        </w:rPr>
        <w:t>sufentanil</w:t>
      </w:r>
      <w:proofErr w:type="spellEnd"/>
      <w:r w:rsidRPr="00B42277">
        <w:rPr>
          <w:rFonts w:ascii="Times New Roman" w:hAnsi="Times New Roman" w:cs="Times New Roman"/>
        </w:rPr>
        <w:t>, with local anesthetics has become a common approach to enhance EA</w:t>
      </w:r>
      <w:r w:rsidR="00096E92" w:rsidRPr="0029766F">
        <w:rPr>
          <w:rFonts w:ascii="Times New Roman" w:hAnsi="Times New Roman" w:cs="Times New Roman"/>
          <w:sz w:val="24"/>
          <w:szCs w:val="28"/>
        </w:rPr>
        <w:fldChar w:fldCharType="begin" w:fldLock="1"/>
      </w:r>
      <w:r w:rsidR="00096E92">
        <w:rPr>
          <w:rFonts w:ascii="Times New Roman" w:hAnsi="Times New Roman" w:cs="Times New Roman"/>
          <w:sz w:val="24"/>
          <w:szCs w:val="28"/>
        </w:rPr>
        <w:instrText>ADDIN CSL_CITATION {"citationItems":[{"id":"ITEM-1","itemData":{"DOI":"10.1097/MD.0000000000012404","ISSN":"15365964","PMID":"30235712","abstract":"Visceral pain is common during epidural anesthesia with mini dose local anesthetics in parturients during cesarean section. To reduce or avoid this complication caused by traction on the abdominal viscera, this study aimed to determine the 50% effective dose (ED50) and 95% effective dose (ED95) of epidural sufentanil as an adjuvant combination with local anesthetics for relief visceral pain in parturients with scarred uterus undergoing elective cesarean section. One hundred parturients with scarred uterus undergoing elective cesarean section under epidural anesthesia were enrolled in this randomized, double-blinded, dose-ranging study. Parturients received 5, 10, 15, 20, and 25μg epidural sufentanil as an adjuvant with 10mL of 0.65% ropivacaine. Successful epidural anesthesia was defined as a sixth thoracic vertebra (T6) sensory level achieved within 20minutes after epidural drugs administration and/or no visceral pain by traction on the abdominal viscera during the cesarean section. The ED50 and ED95 were calculated with a logistic regression model. ED50 and ED95 of epidural sufentanil for successful of the pain-free from visceral pain were 10.7μg [95% confidence interval (CI): 2.4-14.4μg) and 28.1μg (95% CI: 19.4-44.0μg), respectively. The onset time to sensory block, maximum Bromage scale and duration of motor block were significant different with dose of sufentanil &gt;20μg (P&lt;.05, compared with the other dose groups). With the dose of epidural sufentanil &gt;20μg could result in an increase of incidence of maternals' adverse effects. Compared with a different dose of sufentanil, epidural administed sufentanil between 15μg and 20μg can maximize parturients' satisfaction. Our study showed that sufentanil could be used in combination with ropivacaine for relief from somato-visceral pain in patients with scarred uterus during elective cesarean section during epidural anesthesia, and that maximized parturients' satisfaction could be achieved when the use of sufentanil with the dose between 15μg and 20μg for epidural anesthesia.","author":[{"dropping-particle":"","family":"Lu","given":"Qiang","non-dropping-particle":"","parse-names":false,"suffix":""},{"dropping-particle":"","family":"Dong","given":"Chun Shan","non-dropping-particle":"","parse-names":false,"suffix":""},{"dropping-particle":"","family":"Yu","given":"Jun Ma","non-dropping-particle":"","parse-names":false,"suffix":""},{"dropping-particle":"","family":"Sun","given":"Hao","non-dropping-particle":"","parse-names":false,"suffix":""},{"dropping-particle":"","family":"Sun","given":"Peng","non-dropping-particle":"","parse-names":false,"suffix":""},{"dropping-particle":"","family":"Ma","given":"Xiang","non-dropping-particle":"","parse-names":false,"suffix":""},{"dropping-particle":"","family":"Luo","given":"Chun","non-dropping-particle":"","parse-names":false,"suffix":""}],"container-title":"Medicine (United States)","edition":"2018/09/22","id":"ITEM-1","issue":"38","issued":{"date-parts":[["2018"]]},"language":"eng","note":"1536-5964 Lu, Qiang Dong, Chun-Shan Yu, Jun-Ma Sun, Hao Sun, Peng Ma, Xiang Luo, Chun Journal Article Randomized Controlled Trial Medicine (Baltimore). 2018 Sep;97(38):e12404. doi: 10.1097/MD.0000000000012404.","page":"e12404","title":"The dose response of sufentanil as an adjuvant to ropivacaine in cesarean section for relief from somato-visceral pain under epidural anesthesia in parturients with scarred uterus","type":"article-journal","volume":"97"},"uris":["http://www.mendeley.com/documents/?uuid=28138219-c6e5-439c-bd10-ca9c37e9d119"]}],"mendeley":{"formattedCitation":"(6)","plainTextFormattedCitation":"(6)","previouslyFormattedCitation":"(6)"},"properties":{"noteIndex":0},"schema":"https://github.com/citation-style-language/schema/raw/master/csl-citation.json"}</w:instrText>
      </w:r>
      <w:r w:rsidR="00096E92" w:rsidRPr="0029766F">
        <w:rPr>
          <w:rFonts w:ascii="Times New Roman" w:hAnsi="Times New Roman" w:cs="Times New Roman"/>
          <w:sz w:val="24"/>
          <w:szCs w:val="28"/>
        </w:rPr>
        <w:fldChar w:fldCharType="separate"/>
      </w:r>
      <w:r w:rsidR="00096E92" w:rsidRPr="007B4E49">
        <w:rPr>
          <w:rFonts w:ascii="Times New Roman" w:hAnsi="Times New Roman" w:cs="Times New Roman"/>
          <w:noProof/>
          <w:sz w:val="24"/>
          <w:szCs w:val="28"/>
        </w:rPr>
        <w:t>(6)</w:t>
      </w:r>
      <w:r w:rsidR="00096E92" w:rsidRPr="0029766F">
        <w:rPr>
          <w:rFonts w:ascii="Times New Roman" w:hAnsi="Times New Roman" w:cs="Times New Roman"/>
          <w:sz w:val="24"/>
          <w:szCs w:val="28"/>
        </w:rPr>
        <w:fldChar w:fldCharType="end"/>
      </w:r>
      <w:r w:rsidRPr="00B42277">
        <w:rPr>
          <w:rFonts w:ascii="Times New Roman" w:hAnsi="Times New Roman" w:cs="Times New Roman"/>
        </w:rPr>
        <w:t>. However, neuraxial opioids present side effects, including pruritus, nausea, vomiting, and potentially life-threatening respiratory depression</w:t>
      </w:r>
      <w:r w:rsidR="00B256D2">
        <w:rPr>
          <w:rFonts w:ascii="Times New Roman" w:hAnsi="Times New Roman" w:cs="Times New Roman"/>
          <w:sz w:val="24"/>
          <w:szCs w:val="28"/>
        </w:rPr>
        <w:fldChar w:fldCharType="begin" w:fldLock="1"/>
      </w:r>
      <w:r w:rsidR="00B256D2">
        <w:rPr>
          <w:rFonts w:ascii="Times New Roman" w:hAnsi="Times New Roman" w:cs="Times New Roman"/>
          <w:sz w:val="24"/>
          <w:szCs w:val="28"/>
        </w:rPr>
        <w:instrText>ADDIN CSL_CITATION {"citationItems":[{"id":"ITEM-1","itemData":{"DOI":"10.1007/s40264-015-0386-5","ISSN":"0114-5916","PMID":"26832926","abstract":"Neuraxial opioids are an integral part of obstetric anaesthesia and have contributed to greatly improved analgesia for labour and caesarean delivery, both intraoperatively and postoperatively. Despite these advantages, neuraxial opioids may be associated with a number of side effects, some of which (such as respiratory depression), although rare, may be associated with significant morbidity and mortality. The risk of respiratory depression appears to be increased with less lipophilic opioids such as morphine but can be reduced with careful patient selection and monitoring. Other side effects such as pruritus and nausea and vomiting appear to be dose-related and so can be limited by choosing the appropriate dose to optimise analgesia whilst limiting the adverse effects. Urinary retention, the potential neurotoxic effects of neuraxial opioids and the postulated effects on the foetus are also considered but currently it is felt there is not enough evidence to make strong recommendations with regard to specific drugs or dosage. This review aims to discuss the mechanism and incidence of these side effects as well as, where possible, their prevention.","author":[{"dropping-particle":"","family":"Armstrong","given":"S","non-dropping-particle":"","parse-names":false,"suffix":""},{"dropping-particle":"","family":"Fernando","given":"R","non-dropping-particle":"","parse-names":false,"suffix":""}],"container-title":"Drug Saf","edition":"2016/02/03","id":"ITEM-1","issue":"5","issued":{"date-parts":[["2016"]]},"language":"eng","note":"1179-1942 Armstrong, Sarah Fernando, Roshan Journal Article Review New Zealand Drug Saf. 2016 May;39(5):381-99. doi: 10.1007/s40264-015-0386-5.","page":"381-399","title":"Side Effects and Efficacy of Neuraxial Opioids in Pregnant Patients at Delivery: A Comprehensive Review","type":"article-journal","volume":"39"},"uris":["http://www.mendeley.com/documents/?uuid=02cf5c92-fdec-3905-9ff9-8eac86fb4186"]},{"id":"ITEM-2","itemData":{"DOI":"10.1038/s41598-018-33620-7","ISSN":"20452322","PMID":"30341332","abstract":"Opioids remain the gold standard for the treatment of moderate to severe pain. However, their analgesic properties come with important side effects, including pruritus, which occurs frequently after systemic or neuraxial administration. Although part of the opioid-induced itch is mediated centrally, recent evidence shows that the opioid receptor system in the skin also modulates itch. The goal of our study was to identify the peripherally located transducer mechanisms involved in opioid-induced pruritus. Scratching behaviors in response to an intradermal injection of the mu-opioid receptor (MOR) agonist [D-Ala2, N-MePhe4, Gly-ol]-enkephalin (DAMGO) was quantified in mast cell-, PAR2- and TRPV1-deficient mice or following ablation of TRPV1+ sensory neurons. We found that mast cells−/−, PAR-2−/−, or TRPV1−/− mice still exhibit DAMGO-induced itch responses. However, we show that ablation of TRPV1+ neurons or acute TRPV1 activation by capsaicin abolishes DAMGO-induced itch. Overall, our work shows that peripheral DAMGO-induced itch is dependent on the presence of TRPV1-expressing pruriceptors, but not the TRPV1 channel itself. Activation of these fibers by capsaicin prevents the opioid-induced itch.","author":[{"dropping-particle":"","family":"Melo","given":"Helvira","non-dropping-particle":"","parse-names":false,"suffix":""},{"dropping-particle":"","family":"Basso","given":"Lilian","non-dropping-particle":"","parse-names":false,"suffix":""},{"dropping-particle":"","family":"Iftinca","given":"Mircea","non-dropping-particle":"","parse-names":false,"suffix":""},{"dropping-particle":"","family":"MacNaughton","given":"Wallace K.","non-dropping-particle":"","parse-names":false,"suffix":""},{"dropping-particle":"","family":"Hollenberg","given":"Morley D.","non-dropping-particle":"","parse-names":false,"suffix":""},{"dropping-particle":"","family":"McKay","given":"Derek M.","non-dropping-particle":"","parse-names":false,"suffix":""},{"dropping-particle":"","family":"Altier","given":"Christophe","non-dropping-particle":"","parse-names":false,"suffix":""}],"container-title":"Scientific Reports","id":"ITEM-2","issue":"1","issued":{"date-parts":[["2018"]]},"page":"1-9","publisher":"Springer US","title":"Itch induced by peripheral mu opioid receptors is dependent on TRPV1-expressing neurons and alleviated by channel activation","type":"article-journal","volume":"8"},"uris":["http://www.mendeley.com/documents/?uuid=16e8c439-ff73-4750-b551-f4b35c5bd9be"]}],"mendeley":{"formattedCitation":"(7,8)","plainTextFormattedCitation":"(7,8)","previouslyFormattedCitation":"(7,8)"},"properties":{"noteIndex":0},"schema":"https://github.com/citation-style-language/schema/raw/master/csl-citation.json"}</w:instrText>
      </w:r>
      <w:r w:rsidR="00B256D2">
        <w:rPr>
          <w:rFonts w:ascii="Times New Roman" w:hAnsi="Times New Roman" w:cs="Times New Roman"/>
          <w:sz w:val="24"/>
          <w:szCs w:val="28"/>
        </w:rPr>
        <w:fldChar w:fldCharType="separate"/>
      </w:r>
      <w:r w:rsidR="00B256D2" w:rsidRPr="00E060B9">
        <w:rPr>
          <w:rFonts w:ascii="Times New Roman" w:hAnsi="Times New Roman" w:cs="Times New Roman"/>
          <w:noProof/>
          <w:sz w:val="24"/>
          <w:szCs w:val="28"/>
        </w:rPr>
        <w:t>(7,8)</w:t>
      </w:r>
      <w:r w:rsidR="00B256D2">
        <w:rPr>
          <w:rFonts w:ascii="Times New Roman" w:hAnsi="Times New Roman" w:cs="Times New Roman"/>
          <w:sz w:val="24"/>
          <w:szCs w:val="28"/>
        </w:rPr>
        <w:fldChar w:fldCharType="end"/>
      </w:r>
      <w:r w:rsidRPr="00B42277">
        <w:rPr>
          <w:rFonts w:ascii="Times New Roman" w:hAnsi="Times New Roman" w:cs="Times New Roman"/>
        </w:rPr>
        <w:t>.</w:t>
      </w:r>
    </w:p>
    <w:p w14:paraId="3843368D" w14:textId="34D400D2" w:rsidR="00B42277" w:rsidRPr="00B42277" w:rsidRDefault="00B42277" w:rsidP="00545B60">
      <w:pPr>
        <w:widowControl/>
        <w:spacing w:before="100" w:beforeAutospacing="1" w:after="100" w:afterAutospacing="1"/>
        <w:jc w:val="left"/>
        <w:rPr>
          <w:rFonts w:ascii="Times New Roman" w:hAnsi="Times New Roman" w:cs="Times New Roman"/>
        </w:rPr>
      </w:pPr>
      <w:r w:rsidRPr="00B42277">
        <w:rPr>
          <w:rFonts w:ascii="Times New Roman" w:hAnsi="Times New Roman" w:cs="Times New Roman"/>
        </w:rPr>
        <w:t>Sedation offers a promising avenue to reduce opioid reliance during regional anesthesia, lowering the incidence of postoperative nausea and vomiting</w:t>
      </w:r>
      <w:r w:rsidR="00FB5745" w:rsidRPr="0029766F">
        <w:rPr>
          <w:rFonts w:ascii="Times New Roman" w:hAnsi="Times New Roman" w:cs="Times New Roman"/>
          <w:sz w:val="24"/>
          <w:szCs w:val="28"/>
        </w:rPr>
        <w:fldChar w:fldCharType="begin" w:fldLock="1"/>
      </w:r>
      <w:r w:rsidR="00FB5745">
        <w:rPr>
          <w:rFonts w:ascii="Times New Roman" w:hAnsi="Times New Roman" w:cs="Times New Roman"/>
          <w:sz w:val="24"/>
          <w:szCs w:val="28"/>
        </w:rPr>
        <w:instrText>ADDIN CSL_CITATION {"citationItems":[{"id":"ITEM-1","itemData":{"DOI":"10.1097/00000539-199709000-00015","ISSN":"00032999","PMID":"9296410","abstract":"Propofol and alfentanil are both rapid and short-acting drugs that can be used for sedation and analgesia during monitored anesthesia care (MAC). This study was designed to determine the optimal infusion rates of propofol and alfentanil when administered during local anesthesia. In this randomized, double-blind study, we evaluated the effects of different propofol infusion rates on the alfentanil requirement, level of sedation, intraoperative recall, respiratory and cardiovascular variables, and recovery. Seventy-two consenting ASA physical status I or II female outpatients undergoing breast biopsy procedures with local anesthesia were randomly assigned to one of four treatment groups. All patients received midazolam, 2 mg intravenously (IV) for premedication. Propofol was infused at 0, 25, 50, or 75 μg · kg-1 · min-1 during the operation. Sedation was evaluated using the Observer's Assessment of Alertness/Sedation (OAA/S) scale at 5-min intervals by a blinded observer. Two minutes before the infiltration of the local anesthetic solution, a bolus of alfentanil, 2.5 μg/kg IV, was administered, followed by a maintenance infusion of 0.5 μg · kg-1 · min-1. The alfentanil infusion rate was subsequently varied to maintain patient comfort and stable cardiovascular and respiratory function. Pictures were shown at the start of the propofol infusion, upon initiating the alfentanil infusion, and at 45 min after the skin incision to evaluate recall of intraoperative events. Propofol produced dose-dependent increases in the level of sedation (with median OAA/S scores of 2-4, P &lt; 0.05). Higher infusion rates of propofol (50-75 μg · kg-1 · min-1) produced significant amnesia, opioid-sparing effects (alfentanil 0.3 ± 0.2 vs 0.6 ± 0.2 μg · kg-1 · min-1), and less postoperative nausea and vomiting (P &lt; 0.05). However, episodes of transient hemoglobin oxygen desaturation were more common in the deeply sedated patients. Thus, in healthy outpatients premedicated with midazolam, 2 mg IV, a propofol infusion of 25-50 μg · kg-1 · min-1 in combination with an alfentanil infusion of 0.2-0.4 μg · kg-1 · min-1 is recommended for sedation and analgesia during MAC in the ambulatory setting. Implications: Sedation is often given during local anesthesia. This study demonstrated that administration of an intravenous anesthetic, propofol, in combination with an opioid infusion (i.e., alfentanil) to provide sedation analgesia and amnesia with a low incidence of side effects, such as naus…","author":[{"dropping-particle":"","family":"Avramov","given":"Michail N.","non-dropping-particle":"","parse-names":false,"suffix":""},{"dropping-particle":"","family":"White","given":"Paul F.","non-dropping-particle":"","parse-names":false,"suffix":""}],"container-title":"Anesthesia and Analgesia","id":"ITEM-1","issue":"3","issued":{"date-parts":[["1997"]]},"page":"566-572","title":"Use of alfentanil and propofol for outpatient monitored anesthesia care: Determining the optimal dosing regimen","type":"article-journal","volume":"85"},"uris":["http://www.mendeley.com/documents/?uuid=676363af-4797-46cd-ac0e-355c865bcd9f"]}],"mendeley":{"formattedCitation":"(9)","plainTextFormattedCitation":"(9)","previouslyFormattedCitation":"(9)"},"properties":{"noteIndex":0},"schema":"https://github.com/citation-style-language/schema/raw/master/csl-citation.json"}</w:instrText>
      </w:r>
      <w:r w:rsidR="00FB5745" w:rsidRPr="0029766F">
        <w:rPr>
          <w:rFonts w:ascii="Times New Roman" w:hAnsi="Times New Roman" w:cs="Times New Roman"/>
          <w:sz w:val="24"/>
          <w:szCs w:val="28"/>
        </w:rPr>
        <w:fldChar w:fldCharType="separate"/>
      </w:r>
      <w:r w:rsidR="00FB5745" w:rsidRPr="007B4E49">
        <w:rPr>
          <w:rFonts w:ascii="Times New Roman" w:hAnsi="Times New Roman" w:cs="Times New Roman"/>
          <w:noProof/>
          <w:sz w:val="24"/>
          <w:szCs w:val="28"/>
        </w:rPr>
        <w:t>(9)</w:t>
      </w:r>
      <w:r w:rsidR="00FB5745" w:rsidRPr="0029766F">
        <w:rPr>
          <w:rFonts w:ascii="Times New Roman" w:hAnsi="Times New Roman" w:cs="Times New Roman"/>
          <w:sz w:val="24"/>
          <w:szCs w:val="28"/>
        </w:rPr>
        <w:fldChar w:fldCharType="end"/>
      </w:r>
      <w:r w:rsidRPr="00B42277">
        <w:rPr>
          <w:rFonts w:ascii="Times New Roman" w:hAnsi="Times New Roman" w:cs="Times New Roman"/>
        </w:rPr>
        <w:t>. Additionally, sedation contributes to higher patient satisfaction and increased acceptance of regional anesthesia</w:t>
      </w:r>
      <w:r w:rsidR="00C9444A">
        <w:rPr>
          <w:rFonts w:ascii="Times New Roman" w:hAnsi="Times New Roman" w:cs="Times New Roman"/>
          <w:sz w:val="24"/>
          <w:szCs w:val="28"/>
        </w:rPr>
        <w:fldChar w:fldCharType="begin" w:fldLock="1"/>
      </w:r>
      <w:r w:rsidR="00C9444A">
        <w:rPr>
          <w:rFonts w:ascii="Times New Roman" w:hAnsi="Times New Roman" w:cs="Times New Roman"/>
          <w:sz w:val="24"/>
          <w:szCs w:val="28"/>
        </w:rPr>
        <w:instrText>ADDIN CSL_CITATION {"citationItems":[{"id":"ITEM-1","itemData":{"DOI":"10.1093/bja/aem342","ISSN":"14716771","PMID":"18070783","abstract":"This review discusses sedation for regional anaesthesia in the adult population. The first section deals with general aspects of sedation and shows that the majority of patients receiving sedation for regional anaesthesia are satisfied and would choose it again. Methods of assessing the level of sedation are discussed with emphasis on clinical measures. The pharmacology of the drugs involved in sedation is discussed, with propofol and remifentanil appearing to be the combination of choice for sedation in regional anaesthesia. The techniques for administering sedation are discussed and replacement of the traditional repeated boluses or continuous infusion with pharmacokinetic and patient-controlled systems is supported. Patient satisfaction studies suggest that patient-controlled systems are preferred. © The Board of Management and Trustees of the British Journal of Anaesthesia 2008. All rights reserved.","author":[{"dropping-particle":"","family":"Höhener","given":"D","non-dropping-particle":"","parse-names":false,"suffix":""},{"dropping-particle":"","family":"Blumenthal","given":"S","non-dropping-particle":"","parse-names":false,"suffix":""},{"dropping-particle":"","family":"Borgeat","given":"A","non-dropping-particle":"","parse-names":false,"suffix":""}],"container-title":"British Journal of Anaesthesia","edition":"2007/12/12","id":"ITEM-1","issue":"1","issued":{"date-parts":[["2008"]]},"language":"eng","note":"1471-6771 Höhener, D Blumenthal, S Borgeat, A Journal Article Review England Br J Anaesth. 2008 Jan;100(1):8-16. doi: 10.1093/bja/aem342.","page":"8-16","title":"Sedation and regional anaesthesia in the adult patient","type":"article","volume":"100"},"uris":["http://www.mendeley.com/documents/?uuid=2fbf7328-b1cb-43a8-bd8c-e808fd162e75"]},{"id":"ITEM-2","itemData":{"DOI":"10.1186/s12871-017-0447-7","ISBN":"1287101704","ISSN":"14712253","PMID":"29197338","abstract":"Background: The sympathetic block of upper limb leading to increased blood flow has important clinical implication in microvascular surgery. However, little is known regarding the relationship between concentration of local anesthetic and blood flow of upper limb. The aim of this dose-response study was to determine the ED50 and ED95 of ropivacaine in blood flow after supraclavicular block (SB). Methods: Patients undergoing upper limb surgery and supraclavicular block were randomly assigned to receive 30ml ropivacaine in concentrations of 0.125%(A Group), 0.2%(B Group), 0.25%(C Group), 0.375%(D Group), 0.5%(E Group), or 0.75%(F Group) (n=13 per group). All patients received supraclavicular block (SB). Time average maximum velocity (TAMAX), cross-sectional area (CSA) of brachial artery and skin temperatures (Ts) were measured repeatedly at the same marked points, they were taken at baseline (before block, t0) and at 30min after SB (t1). Blood flow(BF) = TAMAX× CSA×60 sec.. Relative blood flow (δBF) = BFt1/ BFt0. Success of SB was assessed simultaneously. Supplementary anesthesia and other adverse events (AE) were recorded. Results: Significant increase in TAMAX, CSA, BF and Ts were seen in all concentration groups at t1 comparing with t0 (P&lt;0.001). There was an upward trend of TAMAX, CSA, BF with the increasing concentration of ropivacaine except Ts. There was no significant different of Ts at t1 among different concentration group. The dose-response formula of ropivacaine on δBF was Y=1+3.188/(1+10((-2.451-X) × 1.730)) and ED50/ED95 (95%CI) were 0.35/1.94%(0.25-0.45/0.83-4.52), and R2 (coefficient of determination) =0.85. ED50/ED95 (95%CI) values of sensory block were 0.18/0.33% (0.15-0.21/0.27-0.51), R2=0.904. Conclusions: The dose-response curve between SB ropivacaine and the changes of BF was determined. The ED50/ED95 of ropivacaine of δBF are 0.35/1.94% (0.25-0.45/0.83-4.52). TAMAX, CSA and BF consistently increased with ropivacaine concentration. The maximal sympathetic block needs higher concentration than that complete sensation block needs which may benefit for microvascular surgery. Trial registration:Clinicaltrials.govNCT02139982. Retrospectively registered (Date of registration: May, 2014).","author":[{"dropping-particle":"","family":"Li","given":"Ting","non-dropping-particle":"","parse-names":false,"suffix":""},{"dropping-particle":"","family":"Ye","given":"Qiguang","non-dropping-particle":"","parse-names":false,"suffix":""},{"dropping-particle":"","family":"Wu","given":"Daozhu","non-dropping-particle":"","parse-names":false,"suffix":""},{"dropping-particle":"","family":"Li","given":"Jun","non-dropping-particle":"","parse-names":false,"suffix":""},{"dropping-particle":"","family":"Yu","given":"Jingui","non-dropping-particle":"","parse-names":false,"suffix":""}],"container-title":"BMC Anesthesiology","id":"ITEM-2","issue":"1","issued":{"date-parts":[["2017"]]},"page":"1-7","publisher":"BMC Anesthesiology","title":"Dose-response studies of Ropivacaine in blood flow of upper extremity after supraclavicular block: A double-blind randomized controlled study","type":"article-journal","volume":"17"},"uris":["http://www.mendeley.com/documents/?uuid=e2700273-0ba7-49a9-ada7-4e98845f35ac"]}],"mendeley":{"formattedCitation":"(10,11)","plainTextFormattedCitation":"(10,11)","previouslyFormattedCitation":"(10,11)"},"properties":{"noteIndex":0},"schema":"https://github.com/citation-style-language/schema/raw/master/csl-citation.json"}</w:instrText>
      </w:r>
      <w:r w:rsidR="00C9444A">
        <w:rPr>
          <w:rFonts w:ascii="Times New Roman" w:hAnsi="Times New Roman" w:cs="Times New Roman"/>
          <w:sz w:val="24"/>
          <w:szCs w:val="28"/>
        </w:rPr>
        <w:fldChar w:fldCharType="separate"/>
      </w:r>
      <w:r w:rsidR="00C9444A" w:rsidRPr="00E060B9">
        <w:rPr>
          <w:rFonts w:ascii="Times New Roman" w:hAnsi="Times New Roman" w:cs="Times New Roman"/>
          <w:noProof/>
          <w:sz w:val="24"/>
          <w:szCs w:val="28"/>
        </w:rPr>
        <w:t>(10,11)</w:t>
      </w:r>
      <w:r w:rsidR="00C9444A">
        <w:rPr>
          <w:rFonts w:ascii="Times New Roman" w:hAnsi="Times New Roman" w:cs="Times New Roman"/>
          <w:sz w:val="24"/>
          <w:szCs w:val="28"/>
        </w:rPr>
        <w:fldChar w:fldCharType="end"/>
      </w:r>
      <w:r w:rsidR="000C1877">
        <w:rPr>
          <w:rFonts w:ascii="Times New Roman" w:hAnsi="Times New Roman" w:cs="Times New Roman"/>
        </w:rPr>
        <w:t>.</w:t>
      </w:r>
      <w:r w:rsidRPr="00B42277">
        <w:rPr>
          <w:rFonts w:ascii="Times New Roman" w:hAnsi="Times New Roman" w:cs="Times New Roman"/>
        </w:rPr>
        <w:t xml:space="preserve"> In obstetric settings, early skin-to-skin contact between mother and newborn has numerous benefits, including a reduction in postpartum bleeding rates</w:t>
      </w:r>
      <w:r w:rsidR="00C9444A" w:rsidRPr="0029766F">
        <w:rPr>
          <w:rFonts w:ascii="Times New Roman" w:hAnsi="Times New Roman" w:cs="Times New Roman"/>
          <w:sz w:val="24"/>
          <w:szCs w:val="28"/>
        </w:rPr>
        <w:fldChar w:fldCharType="begin" w:fldLock="1"/>
      </w:r>
      <w:r w:rsidR="00C9444A">
        <w:rPr>
          <w:rFonts w:ascii="Times New Roman" w:hAnsi="Times New Roman" w:cs="Times New Roman"/>
          <w:sz w:val="24"/>
          <w:szCs w:val="28"/>
        </w:rPr>
        <w:instrText>ADDIN CSL_CITATION {"citationItems":[{"id":"ITEM-1","itemData":{"DOI":"https://doi.org/10.1016/j.midw.2015.07.008","ISSN":"0266-6138","abstract":"Objective\nto examine the effect of skin-to-skin contact and breast feeding within 30 minutes of birth, on the rate of primary postpartum haemorrhage (PPH) in a sample of women who were at mixed-risk of PPH.\nDesign\nretrospective cohort study.\nSetting\ntwo obstetric units plus a freestanding birth centre in New South Wales (NSW) Australia.\nParticipants\nafter excluding women (n=3671) who did not have opportunity for skin to skin and breast feeding, I analysed birth records (n=7548) for the calendar years 2009 and 2010. Records were accessed via the electronic data base ObstetriX.\nIntervention\nskin to skin contact and breast feeding within 30 minutes of birth.\nMeasures\noutcome measure was PPH i.e. blood loss of 500ml or more estimated at birth. Data was analysed using descriptive statistics and logistic regression (unadjusted and adjusted).\nFindings\nafter adjustment for covariates, women who did not have skin to skin and breast feeding were almost twice as likely to have a PPH compared to women who had both skin to skin contact and breast feeding (aOR 0.55, 95% CI 0.41–0.72, p&lt;0.001). This apparently protective effect of skin to skin and breast feeding on PPH held true in sub-analyses for both women at ‘lower’ (OR 0.22, 95% CI 0.17–0.30, p&lt;0.001) and ‘higher’ risk (OR 0.37 95% CI 0.24–0.57), p&lt;0.001.\nKey conclusions and implication for practice\nthis study suggests that skin to skin contact and breastfeeding immediately after birth may be effective in reducing PPH rates for women at any level of risk of PPH. The greatest effect was for women at lower risk of PPH. The explanation is that pronurturance promotes endogenous oxytocin release. Childbearing women should be educated and supported to have pronurturance during third and fourth stages of labour.","author":[{"dropping-particle":"","family":"Saxton","given":"A","non-dropping-particle":"","parse-names":false,"suffix":""},{"dropping-particle":"","family":"Fahy","given":"K","non-dropping-particle":"","parse-names":false,"suffix":""},{"dropping-particle":"","family":"Rolfe","given":"M","non-dropping-particle":"","parse-names":false,"suffix":""},{"dropping-particle":"","family":"Skinner","given":"V","non-dropping-particle":"","parse-names":false,"suffix":""},{"dropping-particle":"","family":"Hastie","given":"C","non-dropping-particle":"","parse-names":false,"suffix":""}],"container-title":"Midwifery","id":"ITEM-1","issue":"11","issued":{"date-parts":[["2015"]]},"page":"1110-1117","title":"Does skin-to-skin contact and breast feeding at birth affect the rate of primary postpartum haemorrhage: Results of a cohort study","type":"article-journal","volume":"31"},"uris":["http://www.mendeley.com/documents/?uuid=08d4f6c8-461b-4fb1-bd24-105ea677e958"]}],"mendeley":{"formattedCitation":"(12)","plainTextFormattedCitation":"(12)","previouslyFormattedCitation":"(12)"},"properties":{"noteIndex":0},"schema":"https://github.com/citation-style-language/schema/raw/master/csl-citation.json"}</w:instrText>
      </w:r>
      <w:r w:rsidR="00C9444A" w:rsidRPr="0029766F">
        <w:rPr>
          <w:rFonts w:ascii="Times New Roman" w:hAnsi="Times New Roman" w:cs="Times New Roman"/>
          <w:sz w:val="24"/>
          <w:szCs w:val="28"/>
        </w:rPr>
        <w:fldChar w:fldCharType="separate"/>
      </w:r>
      <w:r w:rsidR="00C9444A" w:rsidRPr="007B4E49">
        <w:rPr>
          <w:rFonts w:ascii="Times New Roman" w:hAnsi="Times New Roman" w:cs="Times New Roman"/>
          <w:noProof/>
          <w:sz w:val="24"/>
          <w:szCs w:val="28"/>
        </w:rPr>
        <w:t>(12)</w:t>
      </w:r>
      <w:r w:rsidR="00C9444A" w:rsidRPr="0029766F">
        <w:rPr>
          <w:rFonts w:ascii="Times New Roman" w:hAnsi="Times New Roman" w:cs="Times New Roman"/>
          <w:sz w:val="24"/>
          <w:szCs w:val="28"/>
        </w:rPr>
        <w:fldChar w:fldCharType="end"/>
      </w:r>
      <w:r w:rsidRPr="00B42277">
        <w:rPr>
          <w:rFonts w:ascii="Times New Roman" w:hAnsi="Times New Roman" w:cs="Times New Roman"/>
        </w:rPr>
        <w:t>, the promotion of oxytocin and endorphin release</w:t>
      </w:r>
      <w:r w:rsidR="00C9444A">
        <w:rPr>
          <w:rFonts w:ascii="Times New Roman" w:hAnsi="Times New Roman" w:cs="Times New Roman"/>
          <w:sz w:val="24"/>
          <w:szCs w:val="28"/>
        </w:rPr>
        <w:fldChar w:fldCharType="begin" w:fldLock="1"/>
      </w:r>
      <w:r w:rsidR="00C9444A">
        <w:rPr>
          <w:rFonts w:ascii="Times New Roman" w:hAnsi="Times New Roman" w:cs="Times New Roman"/>
          <w:sz w:val="24"/>
          <w:szCs w:val="28"/>
        </w:rPr>
        <w:instrText>ADDIN CSL_CITATION {"citationItems":[{"id":"ITEM-1","itemData":{"DOI":"10.23750/abm.v90i4-S.8240","ISSN":"25316745","PMID":"30977749","abstract":"Background and aim of the study: Breastfeeding is essential for the health of mothers and newborns, and it is recommended by WHO-UNICEF as the sole source of nutrition and protection for the first 6 months of life and beyond. In order to fully promote this practice, it is important to recognize early conditions that can lead to pathological breastfeeding. Aim: The study aims to analyze the prevalence and the possible risk or protective factors concerning the pathology of breastfeeding. Methods: For this observational study were consulted the medical records and the files of the Breastfeeding clinic of 1065 puerperal women, of the University Hospital of Modena, from January to August 2016. The data were processed with the SPSS Software. Results: In our study population, 532 (50%) puerperal women presented a breastfeeding-related disease, of which 330 (31%) had a disease affecting the mother (breast engorgement, fissures, a-/hypo-galactia, discontinuation of breastfeeding, galactocele, mastitis and candidiasis), 105 (9.9%) of the newborn (inadequate suction, neonatal jaundice, pathological weight loss, need for admission to NICU) and 97 (9.1%) of both the mother and the newborn. Discussions: It is evident from the results that the predicting factors of pathology in breastfeeding are present in pregnant women who give birth in an early gestational age and with high age, birth rate and nationality. Conclusions: Staff training courses are essential to respond to WHO-UNICEF recommendations and to improve the continuity of care for the mother-child dyad.","author":[{"dropping-particle":"","family":"Govoni","given":"Laura","non-dropping-particle":"","parse-names":false,"suffix":""},{"dropping-particle":"","family":"Ricchi","given":"Alba","non-dropping-particle":"","parse-names":false,"suffix":""},{"dropping-particle":"","family":"Molinazzi","given":"Maria Teresa","non-dropping-particle":"","parse-names":false,"suffix":""},{"dropping-particle":"","family":"Galli","given":"Maria Cristina","non-dropping-particle":"","parse-names":false,"suffix":""},{"dropping-particle":"","family":"Putignano","given":"Angela","non-dropping-particle":"","parse-names":false,"suffix":""},{"dropping-particle":"","family":"Artioli","given":"Giovanna","non-dropping-particle":"","parse-names":false,"suffix":""},{"dropping-particle":"","family":"Foà","given":"Chiara","non-dropping-particle":"","parse-names":false,"suffix":""},{"dropping-particle":"","family":"Palmieri","given":"Elisabetta","non-dropping-particle":"","parse-names":false,"suffix":""},{"dropping-particle":"","family":"Neri","given":"Isabella","non-dropping-particle":"","parse-names":false,"suffix":""}],"container-title":"Acta Biomedica","id":"ITEM-1","issued":{"date-parts":[["2019"]]},"page":"56-62","title":"Breastfeeding pathologies: Analysis of prevalence, risk and protective factors","type":"article-journal","volume":"90"},"uris":["http://www.mendeley.com/documents/?uuid=7ed28390-b2f2-4167-8af6-ed8f9718a212"]},{"id":"ITEM-2","itemData":{"DOI":"10.1002/14651858.CD003519.pub4.www.cochranelibrary.com","author":[{"dropping-particle":"","family":"Er","given":"Moore","non-dropping-particle":"","parse-names":false,"suffix":""},{"dropping-particle":"","family":"Bergman","given":"N","non-dropping-particle":"","parse-names":false,"suffix":""},{"dropping-particle":"","family":"Gc","given":"Anderson","non-dropping-particle":"","parse-names":false,"suffix":""},{"dropping-particle":"","family":"Medley","given":"N","non-dropping-particle":"","parse-names":false,"suffix":""}],"container-title":"Cochrane Database of Systematic Reviews","id":"ITEM-2","issue":"11","issued":{"date-parts":[["2016"]]},"title":"Moore ER et al. Early skin-to-skin contact formothers and their healthy newborn infants. Cochrane Database of Systematic Reviews 2016, Issue 11. Art. No.: CD003519. DOI: 10.1002/14651858.CD003519.pub4","type":"article-journal"},"uris":["http://www.mendeley.com/documents/?uuid=8f6da8f4-542f-4754-a259-5b85f2d98f5e"]}],"mendeley":{"formattedCitation":"(13,14)","plainTextFormattedCitation":"(13,14)","previouslyFormattedCitation":"(13,14)"},"properties":{"noteIndex":0},"schema":"https://github.com/citation-style-language/schema/raw/master/csl-citation.json"}</w:instrText>
      </w:r>
      <w:r w:rsidR="00C9444A">
        <w:rPr>
          <w:rFonts w:ascii="Times New Roman" w:hAnsi="Times New Roman" w:cs="Times New Roman"/>
          <w:sz w:val="24"/>
          <w:szCs w:val="28"/>
        </w:rPr>
        <w:fldChar w:fldCharType="separate"/>
      </w:r>
      <w:r w:rsidR="00C9444A" w:rsidRPr="00E060B9">
        <w:rPr>
          <w:rFonts w:ascii="Times New Roman" w:hAnsi="Times New Roman" w:cs="Times New Roman"/>
          <w:noProof/>
          <w:sz w:val="24"/>
          <w:szCs w:val="28"/>
        </w:rPr>
        <w:t>(13,14)</w:t>
      </w:r>
      <w:r w:rsidR="00C9444A">
        <w:rPr>
          <w:rFonts w:ascii="Times New Roman" w:hAnsi="Times New Roman" w:cs="Times New Roman"/>
          <w:sz w:val="24"/>
          <w:szCs w:val="28"/>
        </w:rPr>
        <w:fldChar w:fldCharType="end"/>
      </w:r>
      <w:r w:rsidRPr="00B42277">
        <w:rPr>
          <w:rFonts w:ascii="Times New Roman" w:hAnsi="Times New Roman" w:cs="Times New Roman"/>
        </w:rPr>
        <w:t>, enhancing maternal mood</w:t>
      </w:r>
      <w:r w:rsidR="00C9444A" w:rsidRPr="0029766F">
        <w:rPr>
          <w:rFonts w:ascii="Times New Roman" w:hAnsi="Times New Roman" w:cs="Times New Roman"/>
          <w:sz w:val="24"/>
          <w:szCs w:val="28"/>
        </w:rPr>
        <w:fldChar w:fldCharType="begin" w:fldLock="1"/>
      </w:r>
      <w:r w:rsidR="00C9444A">
        <w:rPr>
          <w:rFonts w:ascii="Times New Roman" w:hAnsi="Times New Roman" w:cs="Times New Roman"/>
          <w:sz w:val="24"/>
          <w:szCs w:val="28"/>
        </w:rPr>
        <w:instrText>ADDIN CSL_CITATION {"citationItems":[{"id":"ITEM-1","itemData":{"DOI":"10.1002/14651858.CD003519.pub4.www.cochranelibrary.com","author":[{"dropping-particle":"","family":"Er","given":"Moore","non-dropping-particle":"","parse-names":false,"suffix":""},{"dropping-particle":"","family":"Bergman","given":"N","non-dropping-particle":"","parse-names":false,"suffix":""},{"dropping-particle":"","family":"Gc","given":"Anderson","non-dropping-particle":"","parse-names":false,"suffix":""},{"dropping-particle":"","family":"Medley","given":"N","non-dropping-particle":"","parse-names":false,"suffix":""}],"container-title":"Cochrane Database of Systematic Reviews","id":"ITEM-1","issue":"11","issued":{"date-parts":[["2016"]]},"title":"Moore ER et al. Early skin-to-skin contact formothers and their healthy newborn infants. Cochrane Database of Systematic Reviews 2016, Issue 11. Art. No.: CD003519. DOI: 10.1002/14651858.CD003519.pub4","type":"article-journal"},"uris":["http://www.mendeley.com/documents/?uuid=8f6da8f4-542f-4754-a259-5b85f2d98f5e"]}],"mendeley":{"formattedCitation":"(14)","plainTextFormattedCitation":"(14)","previouslyFormattedCitation":"(14)"},"properties":{"noteIndex":0},"schema":"https://github.com/citation-style-language/schema/raw/master/csl-citation.json"}</w:instrText>
      </w:r>
      <w:r w:rsidR="00C9444A" w:rsidRPr="0029766F">
        <w:rPr>
          <w:rFonts w:ascii="Times New Roman" w:hAnsi="Times New Roman" w:cs="Times New Roman"/>
          <w:sz w:val="24"/>
          <w:szCs w:val="28"/>
        </w:rPr>
        <w:fldChar w:fldCharType="separate"/>
      </w:r>
      <w:r w:rsidR="00C9444A" w:rsidRPr="007B4E49">
        <w:rPr>
          <w:rFonts w:ascii="Times New Roman" w:hAnsi="Times New Roman" w:cs="Times New Roman"/>
          <w:noProof/>
          <w:sz w:val="24"/>
          <w:szCs w:val="28"/>
        </w:rPr>
        <w:t>(14)</w:t>
      </w:r>
      <w:r w:rsidR="00C9444A" w:rsidRPr="0029766F">
        <w:rPr>
          <w:rFonts w:ascii="Times New Roman" w:hAnsi="Times New Roman" w:cs="Times New Roman"/>
          <w:sz w:val="24"/>
          <w:szCs w:val="28"/>
        </w:rPr>
        <w:fldChar w:fldCharType="end"/>
      </w:r>
      <w:r w:rsidRPr="00B42277">
        <w:rPr>
          <w:rFonts w:ascii="Times New Roman" w:hAnsi="Times New Roman" w:cs="Times New Roman"/>
        </w:rPr>
        <w:t>. However, inappropriate sedation may impact this critical skin-to-skin contact</w:t>
      </w:r>
      <w:r w:rsidR="00C9444A" w:rsidRPr="0029766F">
        <w:rPr>
          <w:rFonts w:ascii="Times New Roman" w:hAnsi="Times New Roman" w:cs="Times New Roman"/>
          <w:sz w:val="24"/>
          <w:szCs w:val="28"/>
        </w:rPr>
        <w:fldChar w:fldCharType="begin" w:fldLock="1"/>
      </w:r>
      <w:r w:rsidR="00C9444A">
        <w:rPr>
          <w:rFonts w:ascii="Times New Roman" w:hAnsi="Times New Roman" w:cs="Times New Roman"/>
          <w:sz w:val="24"/>
          <w:szCs w:val="28"/>
        </w:rPr>
        <w:instrText>ADDIN CSL_CITATION {"citationItems":[{"id":"ITEM-1","itemData":{"DOI":"10.2147/DDDT.S287512","ISSN":"11778881","PMID":"33628014","abstract":"Purpose: The present study aimed to determine the effectiveness of intravenous dexmedetomidine of different concentrations and to evaluate its maternal and neonatal safety when combined with butorphanol in parturients undergoing cesarean section. Patients and Methods: A total of 114 parturients between 24 and 43 years of age, with singleton pregnancy who underwent elective cesarean section under epidural anesthesia, were randomly allocated to four groups: group C received 0.9% sodium chloride after delivery, followed by butorphanol (3 μg·kg−1·h−1 ); patients in groups D1, D2, and D3 received 0.5 μg·kg−1·h−1 dexmedetomidine after delivery, followed by butorphanol (3 μg·kg−1·h−1) combined with dexmedetomidine 0.03, 0.05, and 0.08 μg·kg−1·h−1, respectively. The primary outcome was the visual analogue scale (VAS) score at 6 h after delivery when patients were at rest. Secondary outcome measures included VAS after delivery when patients were on movement and uterine cramping, Ramsay sedation scale (RSS), relative infant dose (RID) of dexmedetomidine, satisfaction with analgesia after surgery and symptoms of CNS depression in neonates. Results: There were no significant differences in patient characteristics among the groups (P &gt; 0.05). The VAS at all timepoints after delivery in groups D2 and D3 were significantly lower than in groups C and D1 (P &lt; 0.001). RSS scores were clearly higher in group D3 than in the other three groups at 6 h and 12 h (P &lt; 0.0001). RID in groups D1, D2, and D3 was 0.171%, 0.197%, and 0.370%, respectively. Compared with group D1, RID was higher in group D3 (P = 0.0079). Degree of satisfaction with analgesia was higher in groups D2 and D3 (P &lt; 0.005). Conclusion: Continuous intravenous infusion of 0.05 μg·kg−1·h−1 dexmedetomidine combined with 3 μg·kg−1·h−1 butorphanol could be safely applied in healthy parturients with satisfactory analgesia after cesarean section without changes in sedation.","author":[{"dropping-particle":"","family":"Liu","given":"Shijiang","non-dropping-particle":"","parse-names":false,"suffix":""},{"dropping-particle":"","family":"Peng","given":"Peipei","non-dropping-particle":"","parse-names":false,"suffix":""},{"dropping-particle":"","family":"Hu","given":"Youli","non-dropping-particle":"","parse-names":false,"suffix":""},{"dropping-particle":"","family":"Liu","given":"Cunming","non-dropping-particle":"","parse-names":false,"suffix":""},{"dropping-particle":"","family":"Cao","given":"Xiaofei","non-dropping-particle":"","parse-names":false,"suffix":""},{"dropping-particle":"","family":"Yang","given":"Chun","non-dropping-particle":"","parse-names":false,"suffix":""},{"dropping-particle":"","family":"Gao","given":"Mei","non-dropping-particle":"","parse-names":false,"suffix":""}],"container-title":"Drug Design, Development and Therapy","id":"ITEM-1","issued":{"date-parts":[["2021"]]},"page":"689-698","title":"The effectiveness and safety of intravenous dexmedetomidine of different concentrations combined with butorphanol for post-caesarean section analgesia: A randomized controlled trial","type":"article-journal","volume":"15"},"uris":["http://www.mendeley.com/documents/?uuid=3149f686-62df-4c0d-b513-3a169bf0edfd"]}],"mendeley":{"formattedCitation":"(15)","plainTextFormattedCitation":"(15)","previouslyFormattedCitation":"(15)"},"properties":{"noteIndex":0},"schema":"https://github.com/citation-style-language/schema/raw/master/csl-citation.json"}</w:instrText>
      </w:r>
      <w:r w:rsidR="00C9444A" w:rsidRPr="0029766F">
        <w:rPr>
          <w:rFonts w:ascii="Times New Roman" w:hAnsi="Times New Roman" w:cs="Times New Roman"/>
          <w:sz w:val="24"/>
          <w:szCs w:val="28"/>
        </w:rPr>
        <w:fldChar w:fldCharType="separate"/>
      </w:r>
      <w:r w:rsidR="00C9444A" w:rsidRPr="007B4E49">
        <w:rPr>
          <w:rFonts w:ascii="Times New Roman" w:hAnsi="Times New Roman" w:cs="Times New Roman"/>
          <w:noProof/>
          <w:sz w:val="24"/>
          <w:szCs w:val="28"/>
        </w:rPr>
        <w:t>(15)</w:t>
      </w:r>
      <w:r w:rsidR="00C9444A" w:rsidRPr="0029766F">
        <w:rPr>
          <w:rFonts w:ascii="Times New Roman" w:hAnsi="Times New Roman" w:cs="Times New Roman"/>
          <w:sz w:val="24"/>
          <w:szCs w:val="28"/>
        </w:rPr>
        <w:fldChar w:fldCharType="end"/>
      </w:r>
      <w:r w:rsidRPr="00B42277">
        <w:rPr>
          <w:rFonts w:ascii="Times New Roman" w:hAnsi="Times New Roman" w:cs="Times New Roman"/>
        </w:rPr>
        <w:t>.</w:t>
      </w:r>
    </w:p>
    <w:p w14:paraId="189FFD3A" w14:textId="3A80A744" w:rsidR="00B42277" w:rsidRPr="00B42277" w:rsidRDefault="00B42277" w:rsidP="00B42277">
      <w:pPr>
        <w:widowControl/>
        <w:spacing w:before="100" w:beforeAutospacing="1" w:after="100" w:afterAutospacing="1"/>
        <w:jc w:val="left"/>
        <w:rPr>
          <w:rFonts w:ascii="Times New Roman" w:hAnsi="Times New Roman" w:cs="Times New Roman"/>
        </w:rPr>
      </w:pPr>
      <w:r w:rsidRPr="00B42277">
        <w:rPr>
          <w:rFonts w:ascii="Times New Roman" w:hAnsi="Times New Roman" w:cs="Times New Roman"/>
        </w:rPr>
        <w:t>Dexmedetomidine, a highly selective α2 agonist, exhibits arousal sedation, analgesic, and anti-sympathetic effects without causing respiratory depression or other opioid-associated drawbacks</w:t>
      </w:r>
      <w:r w:rsidR="00C9444A">
        <w:rPr>
          <w:rFonts w:ascii="Times New Roman" w:hAnsi="Times New Roman" w:cs="Times New Roman"/>
          <w:sz w:val="24"/>
          <w:szCs w:val="28"/>
        </w:rPr>
        <w:fldChar w:fldCharType="begin" w:fldLock="1"/>
      </w:r>
      <w:r w:rsidR="00C9444A">
        <w:rPr>
          <w:rFonts w:ascii="Times New Roman" w:hAnsi="Times New Roman" w:cs="Times New Roman"/>
          <w:sz w:val="24"/>
          <w:szCs w:val="28"/>
        </w:rPr>
        <w:instrText>ADDIN CSL_CITATION {"citationItems":[{"id":"ITEM-1","itemData":{"DOI":"10.1097/aln.0000000000000935","ISBN":"0000000000000","ISSN":"05440440","PMID":"18942244","author":[{"dropping-particle":"","family":"Siddik-Sayyid","given":"Sahar","non-dropping-particle":"","parse-names":false,"suffix":""},{"dropping-particle":"","family":"Zbeidy","given":"Reine","non-dropping-particle":"","parse-names":false,"suffix":""}],"container-title":"Middle East Journal of Anesthesiology","id":"ITEM-1","issue":"6","issued":{"date-parts":[["2008"]]},"number-of-pages":"1291-1303","title":"Practice guidelines for obstetric anesthesia","type":"book","volume":"19"},"uris":["http://www.mendeley.com/documents/?uuid=cc8f169f-e33a-4826-a717-bf1eb7e6beef"]},{"id":"ITEM-2","itemData":{"DOI":"10.1186/s13054-016-1386-2","ISSN":"1466609X","PMID":"27368279","abstract":"Background: Dexmedetomidine can be used for sedation of mechanically ventilated patients and has minor respiratory effects. The aim of this study was to compare the incidence of patient-ventilator dyssynchronies during sedation with dexmedetomidine or propofol. Methods: We conducted a multicentre, prospective, open-label, randomised clinical trial, comparing dexmedetomidine with standard propofol sedation at three intensive care units of university hospitals in Italy. Twenty difficult-to-wean patients for whom the first weaning trial had failed and who were on pressure support ventilation were randomised to receive sedation with either dexmedetomidine or propofol at a similar level of sedation (Richmond Agitation-Sedation Scale [RASS] score +1 to -2). The asynchrony index (AI) was calculated using tracings of airflow, airway pressure and electrical activity of the diaphragm sampled at 0, 0.5, 1, 2, 6, 12, 18 and 24 h. Results: The mean AI was lower with dexmedetomidine than with propofol from 2 h onwards, although the two groups significantly differed only at 12 h (2.68 % vs 9.10 %, p &lt; 0.05). No further difference was observed at 18 and 24 h. Conclusions: When sedation with propofol and dexmedetomidine was compared at similar RASS scores of patients in whom first weaning trial had failed, the AI was lower with dexmedetomidine than with propofol, and this difference was statistically significant at 12 h. These results suggest that sedation with dexmedetomidine may offer some advantages in terms of patient-ventilator synchrony.","author":[{"dropping-particle":"","family":"Conti","given":"Giorgio","non-dropping-particle":"","parse-names":false,"suffix":""},{"dropping-particle":"","family":"Ranieri","given":"Vito Marco","non-dropping-particle":"","parse-names":false,"suffix":""},{"dropping-particle":"","family":"Costa","given":"Roberta","non-dropping-particle":"","parse-names":false,"suffix":""},{"dropping-particle":"","family":"Garratt","given":"Chris","non-dropping-particle":"","parse-names":false,"suffix":""},{"dropping-particle":"","family":"Wighton","given":"Andrew","non-dropping-particle":"","parse-names":false,"suffix":""},{"dropping-particle":"","family":"Spinazzola","given":"Giorgia","non-dropping-particle":"","parse-names":false,"suffix":""},{"dropping-particle":"","family":"Urbino","given":"Rosario","non-dropping-particle":"","parse-names":false,"suffix":""},{"dropping-particle":"","family":"Mascia","given":"Luciana","non-dropping-particle":"","parse-names":false,"suffix":""},{"dropping-particle":"","family":"Ferrone","given":"Giuliano","non-dropping-particle":"","parse-names":false,"suffix":""},{"dropping-particle":"","family":"Pohjanjousi","given":"Pasi","non-dropping-particle":"","parse-names":false,"suffix":""},{"dropping-particle":"","family":"Ferreyra","given":"Gabriela","non-dropping-particle":"","parse-names":false,"suffix":""},{"dropping-particle":"","family":"Antonelli","given":"Massimo","non-dropping-particle":"","parse-names":false,"suffix":""}],"container-title":"Critical Care","id":"ITEM-2","issue":"1","issued":{"date-parts":[["2016"]]},"page":"1-8","publisher":"Critical Care","title":"Effects of dexmedetomidine and propofol on patient-ventilator interaction in difficult-to-wean, mechanically ventilated patients: A prospective, open-label, randomised, multicentre study","type":"article-journal","volume":"20"},"uris":["http://www.mendeley.com/documents/?uuid=9fae2b20-d9b0-4b9b-8181-426ea71d30cf"]}],"mendeley":{"formattedCitation":"(1,16)","plainTextFormattedCitation":"(1,16)","previouslyFormattedCitation":"(1,16)"},"properties":{"noteIndex":0},"schema":"https://github.com/citation-style-language/schema/raw/master/csl-citation.json"}</w:instrText>
      </w:r>
      <w:r w:rsidR="00C9444A">
        <w:rPr>
          <w:rFonts w:ascii="Times New Roman" w:hAnsi="Times New Roman" w:cs="Times New Roman"/>
          <w:sz w:val="24"/>
          <w:szCs w:val="28"/>
        </w:rPr>
        <w:fldChar w:fldCharType="separate"/>
      </w:r>
      <w:r w:rsidR="00C9444A" w:rsidRPr="008150CE">
        <w:rPr>
          <w:rFonts w:ascii="Times New Roman" w:hAnsi="Times New Roman" w:cs="Times New Roman"/>
          <w:noProof/>
          <w:sz w:val="24"/>
          <w:szCs w:val="28"/>
        </w:rPr>
        <w:t>(1,16)</w:t>
      </w:r>
      <w:r w:rsidR="00C9444A">
        <w:rPr>
          <w:rFonts w:ascii="Times New Roman" w:hAnsi="Times New Roman" w:cs="Times New Roman"/>
          <w:sz w:val="24"/>
          <w:szCs w:val="28"/>
        </w:rPr>
        <w:fldChar w:fldCharType="end"/>
      </w:r>
      <w:r w:rsidRPr="00B42277">
        <w:rPr>
          <w:rFonts w:ascii="Times New Roman" w:hAnsi="Times New Roman" w:cs="Times New Roman"/>
        </w:rPr>
        <w:t>. Previous studies have demonstrated the efficacy of intrathecally administered dexmedetomidine in combination with local anesthetics in improving intraoperative anesthesia for neuraxial anesthesia and enhancing maternal satisfaction after cesarean section</w:t>
      </w:r>
      <w:r w:rsidR="00C9444A">
        <w:rPr>
          <w:rFonts w:ascii="Times New Roman" w:hAnsi="Times New Roman" w:cs="Times New Roman"/>
          <w:sz w:val="24"/>
          <w:szCs w:val="28"/>
        </w:rPr>
        <w:fldChar w:fldCharType="begin" w:fldLock="1"/>
      </w:r>
      <w:r w:rsidR="00C9444A">
        <w:rPr>
          <w:rFonts w:ascii="Times New Roman" w:hAnsi="Times New Roman" w:cs="Times New Roman"/>
          <w:sz w:val="24"/>
          <w:szCs w:val="28"/>
        </w:rPr>
        <w:instrText>ADDIN CSL_CITATION {"citationItems":[{"id":"ITEM-1","itemData":{"DOI":"10.3389/fphar.2020.00342","ISSN":"16639812","abstract":"Objective: In this study, we aim to investigate the effect of different doses of dexmedetomidine as an adjuvant to hyperbaric ropivacaine in spinal anesthesia for cesarean section. Methods: Seventy-five parturients with American Society of Anesthesiologists (ASA) I or II were anesthetized with intrathecal ropivacaine (12.5 mg) alone (R group) or in combination with dexmedetomidine 3 μg (RD3 group) and 5 μg (RD5 group) to undergo a cesarean section. The anesthetic parameters, postoperative analgesia, stress responses and neonates outcomes were monitored. Results: The onset time of sensory block to T10, T4, and peak level in the RD3 group and RD5 group were significantly shorter than those in the R group (p &lt; 0.05). The time of the level of sensory block to descend two segments and to T10 in the RD3 group(57.28 ± 16.65 min, 3.87 ± 1.60 h) and RD5 group (71.92 ± 10.10 min, 3.99 ± 1.06 h) were longer than that in the R group (40.64 ± 12.06 min, 1.98 ± 1.01 h) (p &lt; 0.05). The median time of motor blockade to both legs score 3 on the Bromage scale (B3B3) in the RD3 group and RD5 group was shorter than that in the R group (p &lt; 0.001). The time of motor blockade recovery to both legs score 0 on the Bromage scale (B0B0) in the RD5 group (3.6 h) was longer than that in the R group (2 h) or RD3 group (2.2 h) (p &lt; 0.001). Visceral traction response and abdominal muscle relaxation during the operation in the RD3 group and the RD5 group were better than that in the R group. The Visual Analogue Score (VAS) in the 12 h after the operation in the RD3 group (3.30 ± 1.17) and RD5 group (2.80 ± 0.87) was smaller than that in the R group (3.80 ± 1.47) (p &lt; 0.05). The incidence of shivering in the RD3 group and RD5 group was significantly lower than that in the R group (p &lt; 0.05). The postoperative concentrations of c-reactive protein (CRP), interleukin-6 (IL-6) and cortisol in the RD3 and RD5 groups were lower than that in the R group (p &lt; 0.05). Conclusion: 3 µg intrathecal dexmedetomidine as an adjuvant to ropivacaine improved intraoperative somato-visceral sensory block characteristics and postoperative analgesia, alleviated shivering in parturients, and did not prolong the time of motor block or produce any side effects, which makes this dose appropriate for cesarean delivery. Cinical Trial Registration: ChiCTR, identifier ChiCTR1800014454. Registered 15 January 2018, http://www.chictr.org.cn/edit.aspx?pid=24613&amp;htm=4","author":[{"dropping-particle":"","family":"Bi","given":"Yong Hong","non-dropping-particle":"","parse-names":false,"suffix":""},{"dropping-particle":"","family":"Wu","given":"Jia Min","non-dropping-particle":"","parse-names":false,"suffix":""},{"dropping-particle":"","family":"Zhang","given":"Yan Zhuo","non-dropping-particle":"","parse-names":false,"suffix":""},{"dropping-particle":"","family":"Zhang","given":"Rui Qin","non-dropping-particle":"","parse-names":false,"suffix":""}],"container-title":"Frontiers in Pharmacology","id":"ITEM-1","issued":{"date-parts":[["2020"]]},"note":"[1] [2] [3] [4]","page":"342","title":"Effect of Different Doses of Intrathecal Dexmedetomidine as an Adjuvant Combined With Hyperbaric Ropivacaine in Patients Undergoing Cesarean Section","type":"article-journal","volume":"11"},"uris":["http://www.mendeley.com/documents/?uuid=3c6122d8-3a0e-4594-8bc3-d9ed53a79507"]},{"id":"ITEM-2","itemData":{"DOI":"10.18632/oncotarget.18864","ISSN":"19492553","abstract":"Object: In this study, we aimed to investigate the beneficial effects of dexmedetomidine on somato-visceral sensory block characteristcs, postoperative analgesia and stress response of intrathecal bupivacaine administration in women undergoing cesarean section, and to find out which dose is better. Methods: Sixty parturients with the American Society of Anesthesiologists (ASA) physical status I or II were anesthetized with intrathecal bupivacaine(10mg) alone or in combination with dexmedetomidine (3 μg and 5 μg) to undergo cesarean section. The anesthetic parameters, postoperative analgesia and stress responses were monitored. Results: Co-administration of dexmedetomidine(3 μg and 5 μg) prolonged the duration of motor and sensory block compared with bupivacaine(10mg) alone. Less supplemental dose of lidocaine and fentanyl were required in dexmedetomidine(3 μg and 5 μg) co-administration groups. Visceral traction response and abdominal muscle relaxation in operation were better in dexmedetomidine(3 μg and 5 μg) co-administration groups. No difference in haemodynamics was detected among groups. There was no significant difference in Apgar scores, neonatal umbilical pH, oxygen pressure, carbon dioxide pressure and lactate level among groups. Postoperative plasma IL-6 and cortisol levels were lower in dexmedetomidine(3 μg and 5 μg) co-administration groups. At 6 hour after operation the visual analogue scale (VAS) was smaller in dexmedetomidine(3 μg and 5 μg) co-administration groups. The uterine contraction pain at 6 and 12 hour after operation and supplemental analgesics had no difference across three groups. No difference of side effects(shivering, nausea and vomiting, itching), the first anal aerofluxus time and intraoperation tramadol dose were detected among the three groups. Conclusion: The use of dexmedetomidine especially at the dose of 3μg as an adjuvant to bupivacaine in cesarean surgery provides better intraoperative somatovisceral sensory block characteristcs and postoperative analgesia, which produced no influence on Apgar scores, side effects and stress response.","author":[{"dropping-particle":"","family":"Bi","given":"Yong Hong","non-dropping-particle":"","parse-names":false,"suffix":""},{"dropping-particle":"","family":"Cui","given":"Xiao Guang","non-dropping-particle":"","parse-names":false,"suffix":""},{"dropping-particle":"","family":"Zhang","given":"Rui Qin","non-dropping-particle":"","parse-names":false,"suffix":""},{"dropping-particle":"","family":"Song","given":"Chun Yu","non-dropping-particle":"","parse-names":false,"suffix":""},{"dropping-particle":"","family":"Zhang","given":"Yan Zhuo","non-dropping-particle":"","parse-names":false,"suffix":""}],"container-title":"Oncotarget","id":"ITEM-2","issue":"38","issued":{"date-parts":[["2017"]]},"page":"63587-63595","title":"Low dose of dexmedetomidine as an adjuvant to bupivacaine in cesarean surgery provides better intraoperative somato-visceral sensory block characteristcs and postoperative analgesia","type":"article-journal","volume":"8"},"uris":["http://www.mendeley.com/documents/?uuid=e7752e7f-8c05-40f5-8dba-a654dd8bcdee"]},{"id":"ITEM-3","itemData":{"DOI":"10.1177/0300060519869515","ISSN":"14732300","PMID":"31452417","abstract":"Objective: Although opioids may induce nausea and vomiting, they possess sedative effects and can reduce intraoperative nausea and vomiting (IONV). This study assessed the effect of adding fentanyl to midazolam on sedation levels and IONV during cesarean section under spinal anesthesia. Methods: Eighty parturients scheduled for elective cesarean section were enrolled in the study. Following fetal delivery, patients were administered 0.05 mg/kg of midazolam plus 0.03 mL/kg of normal saline (M group) or 0.05 mg/kg of midazolam plus 1.5 μg/kg of fentanyl (MF group). The primary outcome was the incidence of IONV. The secondary outcomes were incidence of postoperative nausea and vomiting (PONV), intraoperative sedation level, and five-point patient satisfaction score (PSS). Results: The IONV incidence was significantly lower in the MF group compared with the M group (5% [2/40] vs. 25% [10/40]). The PONV incidence did not differ significantly between the groups. The intraoperative sedation level tended to be deeper in the MF group. The 5-point PSS was significantly higher in the MF group. There was a strong correlation between the sedation level and IONV incidence. Conclusions: Adding fentanyl to midazolam is effective for sedation and to prevent IONV in women who are undergoing cesarean section under spinal anesthesia.","author":[{"dropping-particle":"","family":"Shin","given":"Dong Wook","non-dropping-particle":"","parse-names":false,"suffix":""},{"dropping-particle":"","family":"Kim","given":"Yeojung","non-dropping-particle":"","parse-names":false,"suffix":""},{"dropping-particle":"","family":"Hong","given":"Boohwi","non-dropping-particle":"","parse-names":false,"suffix":""},{"dropping-particle":"","family":"Yoon","given":"Seok Hwa","non-dropping-particle":"","parse-names":false,"suffix":""},{"dropping-particle":"","family":"Lim","given":"Chae Seong","non-dropping-particle":"","parse-names":false,"suffix":""},{"dropping-particle":"","family":"Youn","given":"Sookyoung","non-dropping-particle":"","parse-names":false,"suffix":""}],"container-title":"Journal of International Medical Research","id":"ITEM-3","issue":"10","issued":{"date-parts":[["2019"]]},"page":"4798-4807","title":"Effect of fentanyl on nausea and vomiting in cesarean section under spinal anesthesia: a randomized controlled study","type":"article-journal","volume":"47"},"uris":["http://www.mendeley.com/documents/?uuid=3152991a-2005-4e6f-af71-5b3aa8d455ae"]}],"mendeley":{"formattedCitation":"(17–19)","plainTextFormattedCitation":"(17–19)","previouslyFormattedCitation":"(17–19)"},"properties":{"noteIndex":0},"schema":"https://github.com/citation-style-language/schema/raw/master/csl-citation.json"}</w:instrText>
      </w:r>
      <w:r w:rsidR="00C9444A">
        <w:rPr>
          <w:rFonts w:ascii="Times New Roman" w:hAnsi="Times New Roman" w:cs="Times New Roman"/>
          <w:sz w:val="24"/>
          <w:szCs w:val="28"/>
        </w:rPr>
        <w:fldChar w:fldCharType="separate"/>
      </w:r>
      <w:r w:rsidR="00C9444A" w:rsidRPr="008150CE">
        <w:rPr>
          <w:rFonts w:ascii="Times New Roman" w:hAnsi="Times New Roman" w:cs="Times New Roman"/>
          <w:noProof/>
          <w:sz w:val="24"/>
          <w:szCs w:val="28"/>
        </w:rPr>
        <w:t>(17–19)</w:t>
      </w:r>
      <w:r w:rsidR="00C9444A">
        <w:rPr>
          <w:rFonts w:ascii="Times New Roman" w:hAnsi="Times New Roman" w:cs="Times New Roman"/>
          <w:sz w:val="24"/>
          <w:szCs w:val="28"/>
        </w:rPr>
        <w:fldChar w:fldCharType="end"/>
      </w:r>
      <w:r w:rsidRPr="00B42277">
        <w:rPr>
          <w:rFonts w:ascii="Times New Roman" w:hAnsi="Times New Roman" w:cs="Times New Roman"/>
        </w:rPr>
        <w:t>. However, the specific impact of combining epidural dexmedetomidine with local anesthetic in cesarean sections under epidural anesthesia remains insufficiently understood.</w:t>
      </w:r>
    </w:p>
    <w:p w14:paraId="539D4883" w14:textId="56F1B0D7" w:rsidR="00DB021E" w:rsidRPr="00DB021E" w:rsidRDefault="00B42277" w:rsidP="00B42277">
      <w:pPr>
        <w:widowControl/>
        <w:spacing w:before="100" w:beforeAutospacing="1" w:after="100" w:afterAutospacing="1"/>
        <w:jc w:val="left"/>
        <w:rPr>
          <w:rFonts w:ascii="Times New Roman" w:hAnsi="Times New Roman" w:cs="Times New Roman"/>
        </w:rPr>
      </w:pPr>
      <w:r w:rsidRPr="00B42277">
        <w:rPr>
          <w:rFonts w:ascii="Times New Roman" w:hAnsi="Times New Roman" w:cs="Times New Roman"/>
        </w:rPr>
        <w:t xml:space="preserve">This prospective, randomized, double-blind controlled study aims to investigate the effectiveness of epidural dexmedetomidine in combination with ropivacaine on </w:t>
      </w:r>
      <w:proofErr w:type="spellStart"/>
      <w:r w:rsidRPr="00B42277">
        <w:rPr>
          <w:rFonts w:ascii="Times New Roman" w:hAnsi="Times New Roman" w:cs="Times New Roman"/>
        </w:rPr>
        <w:t>parturients</w:t>
      </w:r>
      <w:proofErr w:type="spellEnd"/>
      <w:r w:rsidRPr="00B42277">
        <w:rPr>
          <w:rFonts w:ascii="Times New Roman" w:hAnsi="Times New Roman" w:cs="Times New Roman"/>
        </w:rPr>
        <w:t xml:space="preserve"> undergoing cesarean section with epidural anesthesia. The study addresses gaps in knowledge concerning the optimal use of dexmedetomidine in this specific context, contributing valuable insights to improve anesthesia outcomes for cesarean deliveries.</w:t>
      </w:r>
    </w:p>
    <w:p w14:paraId="53F3A899" w14:textId="77777777" w:rsidR="00DB021E" w:rsidRPr="00DB021E" w:rsidRDefault="00DB021E" w:rsidP="00DB021E">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t>References (of literature cited in preceding sections)</w:t>
      </w:r>
    </w:p>
    <w:p w14:paraId="26B99BEF" w14:textId="3B6CE09A" w:rsidR="0069328C" w:rsidRPr="006B4D31" w:rsidRDefault="00AF109D" w:rsidP="0069328C">
      <w:pPr>
        <w:autoSpaceDE w:val="0"/>
        <w:autoSpaceDN w:val="0"/>
        <w:adjustRightInd w:val="0"/>
        <w:spacing w:before="100" w:after="100"/>
        <w:ind w:left="640" w:hanging="640"/>
        <w:jc w:val="left"/>
        <w:rPr>
          <w:rFonts w:ascii="Times New Roman" w:hAnsi="Times New Roman" w:cs="Times New Roman"/>
        </w:rPr>
      </w:pPr>
      <w:r w:rsidRPr="006B4D31">
        <w:rPr>
          <w:rFonts w:ascii="Times New Roman" w:hAnsi="Times New Roman" w:cs="Times New Roman"/>
        </w:rPr>
        <w:lastRenderedPageBreak/>
        <w:fldChar w:fldCharType="begin" w:fldLock="1"/>
      </w:r>
      <w:r w:rsidRPr="006B4D31">
        <w:rPr>
          <w:rFonts w:ascii="Times New Roman" w:hAnsi="Times New Roman" w:cs="Times New Roman"/>
        </w:rPr>
        <w:instrText xml:space="preserve">ADDIN Mendeley Bibliography CSL_BIBLIOGRAPHY </w:instrText>
      </w:r>
      <w:r w:rsidRPr="006B4D31">
        <w:rPr>
          <w:rFonts w:ascii="Times New Roman" w:hAnsi="Times New Roman" w:cs="Times New Roman"/>
        </w:rPr>
        <w:fldChar w:fldCharType="separate"/>
      </w:r>
      <w:r w:rsidR="0069328C" w:rsidRPr="006B4D31">
        <w:rPr>
          <w:rFonts w:ascii="Times New Roman" w:hAnsi="Times New Roman" w:cs="Times New Roman"/>
        </w:rPr>
        <w:t>1.</w:t>
      </w:r>
      <w:r w:rsidR="0069328C" w:rsidRPr="006B4D31">
        <w:rPr>
          <w:rFonts w:ascii="Times New Roman" w:hAnsi="Times New Roman" w:cs="Times New Roman"/>
        </w:rPr>
        <w:tab/>
        <w:t xml:space="preserve">Siddik-Sayyid S, Zbeidy R. Practice guidelines for obstetric anesthesia. Vol. 19, Middle East Journal of Anesthesiology. 2008. 1291–1303 p. </w:t>
      </w:r>
    </w:p>
    <w:p w14:paraId="399FDD1E" w14:textId="77777777" w:rsidR="0069328C" w:rsidRPr="006B4D31" w:rsidRDefault="0069328C" w:rsidP="0069328C">
      <w:pPr>
        <w:autoSpaceDE w:val="0"/>
        <w:autoSpaceDN w:val="0"/>
        <w:adjustRightInd w:val="0"/>
        <w:spacing w:before="100" w:after="100"/>
        <w:ind w:left="640" w:hanging="640"/>
        <w:jc w:val="left"/>
        <w:rPr>
          <w:rFonts w:ascii="Times New Roman" w:hAnsi="Times New Roman" w:cs="Times New Roman"/>
        </w:rPr>
      </w:pPr>
      <w:r w:rsidRPr="006B4D31">
        <w:rPr>
          <w:rFonts w:ascii="Times New Roman" w:hAnsi="Times New Roman" w:cs="Times New Roman"/>
        </w:rPr>
        <w:t>2.</w:t>
      </w:r>
      <w:r w:rsidRPr="006B4D31">
        <w:rPr>
          <w:rFonts w:ascii="Times New Roman" w:hAnsi="Times New Roman" w:cs="Times New Roman"/>
        </w:rPr>
        <w:tab/>
        <w:t xml:space="preserve">Carrie LES. Extradural, spinal or combined block for obstetric surgical anaesthesia. Br J Anaesth. 1991;66(4):528. </w:t>
      </w:r>
    </w:p>
    <w:p w14:paraId="44F291B4" w14:textId="77777777" w:rsidR="0069328C" w:rsidRPr="006B4D31" w:rsidRDefault="0069328C" w:rsidP="0069328C">
      <w:pPr>
        <w:autoSpaceDE w:val="0"/>
        <w:autoSpaceDN w:val="0"/>
        <w:adjustRightInd w:val="0"/>
        <w:spacing w:before="100" w:after="100"/>
        <w:ind w:left="640" w:hanging="640"/>
        <w:jc w:val="left"/>
        <w:rPr>
          <w:rFonts w:ascii="Times New Roman" w:hAnsi="Times New Roman" w:cs="Times New Roman"/>
        </w:rPr>
      </w:pPr>
      <w:r w:rsidRPr="006B4D31">
        <w:rPr>
          <w:rFonts w:ascii="Times New Roman" w:hAnsi="Times New Roman" w:cs="Times New Roman"/>
        </w:rPr>
        <w:t>3.</w:t>
      </w:r>
      <w:r w:rsidRPr="006B4D31">
        <w:rPr>
          <w:rFonts w:ascii="Times New Roman" w:hAnsi="Times New Roman" w:cs="Times New Roman"/>
        </w:rPr>
        <w:tab/>
        <w:t xml:space="preserve">Zhou M, Liu W, Peng J, Wang Y. Impact of propofol epidural anesthesia on immune function and inflammatory factors in patients undergoing gastric cancer surgery. Am J Transl Res. 2021;13(4):3064–73. </w:t>
      </w:r>
    </w:p>
    <w:p w14:paraId="28CC7D02" w14:textId="77777777" w:rsidR="0069328C" w:rsidRPr="006B4D31" w:rsidRDefault="0069328C" w:rsidP="0069328C">
      <w:pPr>
        <w:autoSpaceDE w:val="0"/>
        <w:autoSpaceDN w:val="0"/>
        <w:adjustRightInd w:val="0"/>
        <w:spacing w:before="100" w:after="100"/>
        <w:ind w:left="640" w:hanging="640"/>
        <w:jc w:val="left"/>
        <w:rPr>
          <w:rFonts w:ascii="Times New Roman" w:hAnsi="Times New Roman" w:cs="Times New Roman"/>
        </w:rPr>
      </w:pPr>
      <w:r w:rsidRPr="006B4D31">
        <w:rPr>
          <w:rFonts w:ascii="Times New Roman" w:hAnsi="Times New Roman" w:cs="Times New Roman"/>
        </w:rPr>
        <w:t>4.</w:t>
      </w:r>
      <w:r w:rsidRPr="006B4D31">
        <w:rPr>
          <w:rFonts w:ascii="Times New Roman" w:hAnsi="Times New Roman" w:cs="Times New Roman"/>
        </w:rPr>
        <w:tab/>
        <w:t xml:space="preserve">Xu W, Drzymalski DM, Ai L, Yao H, Liu L, Xiao F. The ED50 and ED95 of Prophylactic Norepinephrine for Preventing Post-Spinal Hypotension During Cesarean Delivery Under Combined Spinal-Epidural Anesthesia: A Prospective Dose-Finding Study. Front Pharmacol. 2021;12(July):1–7. </w:t>
      </w:r>
    </w:p>
    <w:p w14:paraId="47E48EAB" w14:textId="77777777" w:rsidR="0069328C" w:rsidRPr="006B4D31" w:rsidRDefault="0069328C" w:rsidP="0069328C">
      <w:pPr>
        <w:autoSpaceDE w:val="0"/>
        <w:autoSpaceDN w:val="0"/>
        <w:adjustRightInd w:val="0"/>
        <w:spacing w:before="100" w:after="100"/>
        <w:ind w:left="640" w:hanging="640"/>
        <w:jc w:val="left"/>
        <w:rPr>
          <w:rFonts w:ascii="Times New Roman" w:hAnsi="Times New Roman" w:cs="Times New Roman"/>
        </w:rPr>
      </w:pPr>
      <w:r w:rsidRPr="006B4D31">
        <w:rPr>
          <w:rFonts w:ascii="Times New Roman" w:hAnsi="Times New Roman" w:cs="Times New Roman"/>
        </w:rPr>
        <w:t>5.</w:t>
      </w:r>
      <w:r w:rsidRPr="006B4D31">
        <w:rPr>
          <w:rFonts w:ascii="Times New Roman" w:hAnsi="Times New Roman" w:cs="Times New Roman"/>
        </w:rPr>
        <w:tab/>
        <w:t xml:space="preserve">Alahuhta S, Kangas‐Saarela T, Hollmén AI, Edström HH. Visceral pain during caesarean section under spinal and epidural anaesthesia with bupivacaine. Acta Anaesthesiol Scand. 1990;34(2):95–8. </w:t>
      </w:r>
    </w:p>
    <w:p w14:paraId="264200E7" w14:textId="77777777" w:rsidR="0069328C" w:rsidRPr="006B4D31" w:rsidRDefault="0069328C" w:rsidP="0069328C">
      <w:pPr>
        <w:autoSpaceDE w:val="0"/>
        <w:autoSpaceDN w:val="0"/>
        <w:adjustRightInd w:val="0"/>
        <w:spacing w:before="100" w:after="100"/>
        <w:ind w:left="640" w:hanging="640"/>
        <w:jc w:val="left"/>
        <w:rPr>
          <w:rFonts w:ascii="Times New Roman" w:hAnsi="Times New Roman" w:cs="Times New Roman"/>
        </w:rPr>
      </w:pPr>
      <w:r w:rsidRPr="006B4D31">
        <w:rPr>
          <w:rFonts w:ascii="Times New Roman" w:hAnsi="Times New Roman" w:cs="Times New Roman"/>
        </w:rPr>
        <w:t>6.</w:t>
      </w:r>
      <w:r w:rsidRPr="006B4D31">
        <w:rPr>
          <w:rFonts w:ascii="Times New Roman" w:hAnsi="Times New Roman" w:cs="Times New Roman"/>
        </w:rPr>
        <w:tab/>
        <w:t xml:space="preserve">Lu Q, Dong CS, Yu JM, Sun H, Sun P, Ma X, et al. The dose response of sufentanil as an adjuvant to ropivacaine in cesarean section for relief from somato-visceral pain under epidural anesthesia in parturients with scarred uterus. Med (United States). 2018/09/22. 2018;97(38):e12404. </w:t>
      </w:r>
    </w:p>
    <w:p w14:paraId="4D295C08" w14:textId="77777777" w:rsidR="0069328C" w:rsidRPr="006B4D31" w:rsidRDefault="0069328C" w:rsidP="0069328C">
      <w:pPr>
        <w:autoSpaceDE w:val="0"/>
        <w:autoSpaceDN w:val="0"/>
        <w:adjustRightInd w:val="0"/>
        <w:spacing w:before="100" w:after="100"/>
        <w:ind w:left="640" w:hanging="640"/>
        <w:jc w:val="left"/>
        <w:rPr>
          <w:rFonts w:ascii="Times New Roman" w:hAnsi="Times New Roman" w:cs="Times New Roman"/>
        </w:rPr>
      </w:pPr>
      <w:r w:rsidRPr="006B4D31">
        <w:rPr>
          <w:rFonts w:ascii="Times New Roman" w:hAnsi="Times New Roman" w:cs="Times New Roman"/>
        </w:rPr>
        <w:t>7.</w:t>
      </w:r>
      <w:r w:rsidRPr="006B4D31">
        <w:rPr>
          <w:rFonts w:ascii="Times New Roman" w:hAnsi="Times New Roman" w:cs="Times New Roman"/>
        </w:rPr>
        <w:tab/>
        <w:t xml:space="preserve">Armstrong S, Fernando R. Side Effects and Efficacy of Neuraxial Opioids in Pregnant Patients at Delivery: A Comprehensive Review. Drug Saf. 2016/02/03. 2016;39(5):381–99. </w:t>
      </w:r>
    </w:p>
    <w:p w14:paraId="46BC8F00" w14:textId="77777777" w:rsidR="0069328C" w:rsidRPr="006B4D31" w:rsidRDefault="0069328C" w:rsidP="0069328C">
      <w:pPr>
        <w:autoSpaceDE w:val="0"/>
        <w:autoSpaceDN w:val="0"/>
        <w:adjustRightInd w:val="0"/>
        <w:spacing w:before="100" w:after="100"/>
        <w:ind w:left="640" w:hanging="640"/>
        <w:jc w:val="left"/>
        <w:rPr>
          <w:rFonts w:ascii="Times New Roman" w:hAnsi="Times New Roman" w:cs="Times New Roman"/>
        </w:rPr>
      </w:pPr>
      <w:r w:rsidRPr="006B4D31">
        <w:rPr>
          <w:rFonts w:ascii="Times New Roman" w:hAnsi="Times New Roman" w:cs="Times New Roman"/>
        </w:rPr>
        <w:t>8.</w:t>
      </w:r>
      <w:r w:rsidRPr="006B4D31">
        <w:rPr>
          <w:rFonts w:ascii="Times New Roman" w:hAnsi="Times New Roman" w:cs="Times New Roman"/>
        </w:rPr>
        <w:tab/>
        <w:t>Melo H, Basso L, Iftinca M, MacNaughton WK, Hollenberg MD, McKay DM, et al. Itch induced by peripheral mu opioid receptors is dependent on TRPV1-expressing neurons and alleviated by channel activation. Sci Rep [Internet]. 2018;8(1):1–9. Available from: http://dx.doi.org/10.1038/s41598-018-33620-7</w:t>
      </w:r>
    </w:p>
    <w:p w14:paraId="4AC6C2A6" w14:textId="77777777" w:rsidR="0069328C" w:rsidRPr="006B4D31" w:rsidRDefault="0069328C" w:rsidP="0069328C">
      <w:pPr>
        <w:autoSpaceDE w:val="0"/>
        <w:autoSpaceDN w:val="0"/>
        <w:adjustRightInd w:val="0"/>
        <w:spacing w:before="100" w:after="100"/>
        <w:ind w:left="640" w:hanging="640"/>
        <w:jc w:val="left"/>
        <w:rPr>
          <w:rFonts w:ascii="Times New Roman" w:hAnsi="Times New Roman" w:cs="Times New Roman"/>
        </w:rPr>
      </w:pPr>
      <w:r w:rsidRPr="006B4D31">
        <w:rPr>
          <w:rFonts w:ascii="Times New Roman" w:hAnsi="Times New Roman" w:cs="Times New Roman"/>
        </w:rPr>
        <w:t>9.</w:t>
      </w:r>
      <w:r w:rsidRPr="006B4D31">
        <w:rPr>
          <w:rFonts w:ascii="Times New Roman" w:hAnsi="Times New Roman" w:cs="Times New Roman"/>
        </w:rPr>
        <w:tab/>
        <w:t xml:space="preserve">Avramov MN, White PF. Use of alfentanil and propofol for outpatient monitored anesthesia care: Determining the optimal dosing regimen. Anesth Analg. 1997;85(3):566–72. </w:t>
      </w:r>
    </w:p>
    <w:p w14:paraId="4626375E" w14:textId="77777777" w:rsidR="0069328C" w:rsidRPr="006B4D31" w:rsidRDefault="0069328C" w:rsidP="0069328C">
      <w:pPr>
        <w:autoSpaceDE w:val="0"/>
        <w:autoSpaceDN w:val="0"/>
        <w:adjustRightInd w:val="0"/>
        <w:spacing w:before="100" w:after="100"/>
        <w:ind w:left="640" w:hanging="640"/>
        <w:jc w:val="left"/>
        <w:rPr>
          <w:rFonts w:ascii="Times New Roman" w:hAnsi="Times New Roman" w:cs="Times New Roman"/>
        </w:rPr>
      </w:pPr>
      <w:r w:rsidRPr="006B4D31">
        <w:rPr>
          <w:rFonts w:ascii="Times New Roman" w:hAnsi="Times New Roman" w:cs="Times New Roman"/>
        </w:rPr>
        <w:t>10.</w:t>
      </w:r>
      <w:r w:rsidRPr="006B4D31">
        <w:rPr>
          <w:rFonts w:ascii="Times New Roman" w:hAnsi="Times New Roman" w:cs="Times New Roman"/>
        </w:rPr>
        <w:tab/>
        <w:t xml:space="preserve">Höhener D, Blumenthal S, Borgeat A. Sedation and regional anaesthesia in the adult patient. 2007/12/12. Vol. 100, British Journal of Anaesthesia. 2008. p. 8–16. </w:t>
      </w:r>
    </w:p>
    <w:p w14:paraId="4326DB8D" w14:textId="77777777" w:rsidR="0069328C" w:rsidRPr="006B4D31" w:rsidRDefault="0069328C" w:rsidP="0069328C">
      <w:pPr>
        <w:autoSpaceDE w:val="0"/>
        <w:autoSpaceDN w:val="0"/>
        <w:adjustRightInd w:val="0"/>
        <w:spacing w:before="100" w:after="100"/>
        <w:ind w:left="640" w:hanging="640"/>
        <w:jc w:val="left"/>
        <w:rPr>
          <w:rFonts w:ascii="Times New Roman" w:hAnsi="Times New Roman" w:cs="Times New Roman"/>
        </w:rPr>
      </w:pPr>
      <w:r w:rsidRPr="006B4D31">
        <w:rPr>
          <w:rFonts w:ascii="Times New Roman" w:hAnsi="Times New Roman" w:cs="Times New Roman"/>
        </w:rPr>
        <w:t>11.</w:t>
      </w:r>
      <w:r w:rsidRPr="006B4D31">
        <w:rPr>
          <w:rFonts w:ascii="Times New Roman" w:hAnsi="Times New Roman" w:cs="Times New Roman"/>
        </w:rPr>
        <w:tab/>
        <w:t xml:space="preserve">Li T, Ye Q, Wu D, Li J, Yu J. Dose-response studies of Ropivacaine in blood flow of upper extremity after supraclavicular block: A double-blind randomized controlled study. BMC Anesthesiol. 2017;17(1):1–7. </w:t>
      </w:r>
    </w:p>
    <w:p w14:paraId="44C19839" w14:textId="77777777" w:rsidR="0069328C" w:rsidRPr="006B4D31" w:rsidRDefault="0069328C" w:rsidP="0069328C">
      <w:pPr>
        <w:autoSpaceDE w:val="0"/>
        <w:autoSpaceDN w:val="0"/>
        <w:adjustRightInd w:val="0"/>
        <w:spacing w:before="100" w:after="100"/>
        <w:ind w:left="640" w:hanging="640"/>
        <w:jc w:val="left"/>
        <w:rPr>
          <w:rFonts w:ascii="Times New Roman" w:hAnsi="Times New Roman" w:cs="Times New Roman"/>
        </w:rPr>
      </w:pPr>
      <w:r w:rsidRPr="006B4D31">
        <w:rPr>
          <w:rFonts w:ascii="Times New Roman" w:hAnsi="Times New Roman" w:cs="Times New Roman"/>
        </w:rPr>
        <w:t>12.</w:t>
      </w:r>
      <w:r w:rsidRPr="006B4D31">
        <w:rPr>
          <w:rFonts w:ascii="Times New Roman" w:hAnsi="Times New Roman" w:cs="Times New Roman"/>
        </w:rPr>
        <w:tab/>
        <w:t>Saxton A, Fahy K, Rolfe M, Skinner V, Hastie C. Does skin-to-skin contact and breast feeding at birth affect the rate of primary postpartum haemorrhage: Results of a cohort study. Midwifery [Internet]. 2015;31(11):1110–7. Available from: https://www.sciencedirect.com/science/article/pii/S026661381500203X</w:t>
      </w:r>
    </w:p>
    <w:p w14:paraId="51F9A10A" w14:textId="77777777" w:rsidR="0069328C" w:rsidRPr="006B4D31" w:rsidRDefault="0069328C" w:rsidP="0069328C">
      <w:pPr>
        <w:autoSpaceDE w:val="0"/>
        <w:autoSpaceDN w:val="0"/>
        <w:adjustRightInd w:val="0"/>
        <w:spacing w:before="100" w:after="100"/>
        <w:ind w:left="640" w:hanging="640"/>
        <w:jc w:val="left"/>
        <w:rPr>
          <w:rFonts w:ascii="Times New Roman" w:hAnsi="Times New Roman" w:cs="Times New Roman"/>
        </w:rPr>
      </w:pPr>
      <w:r w:rsidRPr="006B4D31">
        <w:rPr>
          <w:rFonts w:ascii="Times New Roman" w:hAnsi="Times New Roman" w:cs="Times New Roman"/>
        </w:rPr>
        <w:t>13.</w:t>
      </w:r>
      <w:r w:rsidRPr="006B4D31">
        <w:rPr>
          <w:rFonts w:ascii="Times New Roman" w:hAnsi="Times New Roman" w:cs="Times New Roman"/>
        </w:rPr>
        <w:tab/>
        <w:t xml:space="preserve">Govoni L, Ricchi A, Molinazzi MT, Galli MC, Putignano A, Artioli G, et al. Breastfeeding pathologies: Analysis of prevalence, risk and protective factors. Acta Biomed. 2019;90:56–62. </w:t>
      </w:r>
    </w:p>
    <w:p w14:paraId="70A3F0C5" w14:textId="77777777" w:rsidR="0069328C" w:rsidRPr="006B4D31" w:rsidRDefault="0069328C" w:rsidP="0069328C">
      <w:pPr>
        <w:autoSpaceDE w:val="0"/>
        <w:autoSpaceDN w:val="0"/>
        <w:adjustRightInd w:val="0"/>
        <w:spacing w:before="100" w:after="100"/>
        <w:ind w:left="640" w:hanging="640"/>
        <w:jc w:val="left"/>
        <w:rPr>
          <w:rFonts w:ascii="Times New Roman" w:hAnsi="Times New Roman" w:cs="Times New Roman"/>
        </w:rPr>
      </w:pPr>
      <w:r w:rsidRPr="006B4D31">
        <w:rPr>
          <w:rFonts w:ascii="Times New Roman" w:hAnsi="Times New Roman" w:cs="Times New Roman"/>
        </w:rPr>
        <w:t>14.</w:t>
      </w:r>
      <w:r w:rsidRPr="006B4D31">
        <w:rPr>
          <w:rFonts w:ascii="Times New Roman" w:hAnsi="Times New Roman" w:cs="Times New Roman"/>
        </w:rPr>
        <w:tab/>
        <w:t xml:space="preserve">Er M, Bergman N, Gc A, Medley N. Moore ER et al. Early skin-to-skin contact formothers </w:t>
      </w:r>
      <w:r w:rsidRPr="006B4D31">
        <w:rPr>
          <w:rFonts w:ascii="Times New Roman" w:hAnsi="Times New Roman" w:cs="Times New Roman"/>
        </w:rPr>
        <w:lastRenderedPageBreak/>
        <w:t>and their healthy newborn infants. Cochrane Database of Systematic Reviews 2016, Issue 11. Art. No.: CD003519. DOI: 10.1002/14651858.CD003519.pub4. Cochrane Database Syst Rev [Internet]. 2016;(11). Available from: https://www.cochranelibrary.com/cdsr/doi/10.1002/14651858.CD003519.pub4/epdf/standard</w:t>
      </w:r>
    </w:p>
    <w:p w14:paraId="5C58A43C" w14:textId="77777777" w:rsidR="0069328C" w:rsidRPr="006B4D31" w:rsidRDefault="0069328C" w:rsidP="0069328C">
      <w:pPr>
        <w:autoSpaceDE w:val="0"/>
        <w:autoSpaceDN w:val="0"/>
        <w:adjustRightInd w:val="0"/>
        <w:spacing w:before="100" w:after="100"/>
        <w:ind w:left="640" w:hanging="640"/>
        <w:jc w:val="left"/>
        <w:rPr>
          <w:rFonts w:ascii="Times New Roman" w:hAnsi="Times New Roman" w:cs="Times New Roman"/>
        </w:rPr>
      </w:pPr>
      <w:r w:rsidRPr="006B4D31">
        <w:rPr>
          <w:rFonts w:ascii="Times New Roman" w:hAnsi="Times New Roman" w:cs="Times New Roman"/>
        </w:rPr>
        <w:t>15.</w:t>
      </w:r>
      <w:r w:rsidRPr="006B4D31">
        <w:rPr>
          <w:rFonts w:ascii="Times New Roman" w:hAnsi="Times New Roman" w:cs="Times New Roman"/>
        </w:rPr>
        <w:tab/>
        <w:t xml:space="preserve">Liu S, Peng P, Hu Y, Liu C, Cao X, Yang C, et al. The effectiveness and safety of intravenous dexmedetomidine of different concentrations combined with butorphanol for post-caesarean section analgesia: A randomized controlled trial. Drug Des Devel Ther. 2021;15:689–98. </w:t>
      </w:r>
    </w:p>
    <w:p w14:paraId="4FA17693" w14:textId="77777777" w:rsidR="0069328C" w:rsidRPr="006B4D31" w:rsidRDefault="0069328C" w:rsidP="0069328C">
      <w:pPr>
        <w:autoSpaceDE w:val="0"/>
        <w:autoSpaceDN w:val="0"/>
        <w:adjustRightInd w:val="0"/>
        <w:spacing w:before="100" w:after="100"/>
        <w:ind w:left="640" w:hanging="640"/>
        <w:jc w:val="left"/>
        <w:rPr>
          <w:rFonts w:ascii="Times New Roman" w:hAnsi="Times New Roman" w:cs="Times New Roman"/>
        </w:rPr>
      </w:pPr>
      <w:r w:rsidRPr="006B4D31">
        <w:rPr>
          <w:rFonts w:ascii="Times New Roman" w:hAnsi="Times New Roman" w:cs="Times New Roman"/>
        </w:rPr>
        <w:t>16.</w:t>
      </w:r>
      <w:r w:rsidRPr="006B4D31">
        <w:rPr>
          <w:rFonts w:ascii="Times New Roman" w:hAnsi="Times New Roman" w:cs="Times New Roman"/>
        </w:rPr>
        <w:tab/>
        <w:t>Conti G, Ranieri VM, Costa R, Garratt C, Wighton A, Spinazzola G, et al. Effects of dexmedetomidine and propofol on patient-ventilator interaction in difficult-to-wean, mechanically ventilated patients: A prospective, open-label, randomised, multicentre study. Crit Care [Internet]. 2016;20(1):1–8. Available from: http://dx.doi.org/10.1186/s13054-016-1386-2</w:t>
      </w:r>
    </w:p>
    <w:p w14:paraId="004ECB02" w14:textId="77777777" w:rsidR="0069328C" w:rsidRPr="006B4D31" w:rsidRDefault="0069328C" w:rsidP="0069328C">
      <w:pPr>
        <w:autoSpaceDE w:val="0"/>
        <w:autoSpaceDN w:val="0"/>
        <w:adjustRightInd w:val="0"/>
        <w:spacing w:before="100" w:after="100"/>
        <w:ind w:left="640" w:hanging="640"/>
        <w:jc w:val="left"/>
        <w:rPr>
          <w:rFonts w:ascii="Times New Roman" w:hAnsi="Times New Roman" w:cs="Times New Roman"/>
        </w:rPr>
      </w:pPr>
      <w:r w:rsidRPr="006B4D31">
        <w:rPr>
          <w:rFonts w:ascii="Times New Roman" w:hAnsi="Times New Roman" w:cs="Times New Roman"/>
        </w:rPr>
        <w:t>17.</w:t>
      </w:r>
      <w:r w:rsidRPr="006B4D31">
        <w:rPr>
          <w:rFonts w:ascii="Times New Roman" w:hAnsi="Times New Roman" w:cs="Times New Roman"/>
        </w:rPr>
        <w:tab/>
        <w:t xml:space="preserve">Bi YH, Wu JM, Zhang YZ, Zhang RQ. Effect of Different Doses of Intrathecal Dexmedetomidine as an Adjuvant Combined With Hyperbaric Ropivacaine in Patients Undergoing Cesarean Section. Front Pharmacol. 2020;11:342. </w:t>
      </w:r>
    </w:p>
    <w:p w14:paraId="69CECAE4" w14:textId="77777777" w:rsidR="0069328C" w:rsidRPr="006B4D31" w:rsidRDefault="0069328C" w:rsidP="0069328C">
      <w:pPr>
        <w:autoSpaceDE w:val="0"/>
        <w:autoSpaceDN w:val="0"/>
        <w:adjustRightInd w:val="0"/>
        <w:spacing w:before="100" w:after="100"/>
        <w:ind w:left="640" w:hanging="640"/>
        <w:jc w:val="left"/>
        <w:rPr>
          <w:rFonts w:ascii="Times New Roman" w:hAnsi="Times New Roman" w:cs="Times New Roman"/>
        </w:rPr>
      </w:pPr>
      <w:r w:rsidRPr="006B4D31">
        <w:rPr>
          <w:rFonts w:ascii="Times New Roman" w:hAnsi="Times New Roman" w:cs="Times New Roman"/>
        </w:rPr>
        <w:t>18.</w:t>
      </w:r>
      <w:r w:rsidRPr="006B4D31">
        <w:rPr>
          <w:rFonts w:ascii="Times New Roman" w:hAnsi="Times New Roman" w:cs="Times New Roman"/>
        </w:rPr>
        <w:tab/>
        <w:t xml:space="preserve">Bi YH, Cui XG, Zhang RQ, Song CY, Zhang YZ. Low dose of dexmedetomidine as an adjuvant to bupivacaine in cesarean surgery provides better intraoperative somato-visceral sensory block characteristcs and postoperative analgesia. Oncotarget. 2017;8(38):63587–95. </w:t>
      </w:r>
    </w:p>
    <w:p w14:paraId="3D4A6B64" w14:textId="77777777" w:rsidR="0069328C" w:rsidRPr="006B4D31" w:rsidRDefault="0069328C" w:rsidP="0069328C">
      <w:pPr>
        <w:autoSpaceDE w:val="0"/>
        <w:autoSpaceDN w:val="0"/>
        <w:adjustRightInd w:val="0"/>
        <w:spacing w:before="100" w:after="100"/>
        <w:ind w:left="640" w:hanging="640"/>
        <w:jc w:val="left"/>
        <w:rPr>
          <w:rFonts w:ascii="Times New Roman" w:hAnsi="Times New Roman" w:cs="Times New Roman"/>
        </w:rPr>
      </w:pPr>
      <w:r w:rsidRPr="006B4D31">
        <w:rPr>
          <w:rFonts w:ascii="Times New Roman" w:hAnsi="Times New Roman" w:cs="Times New Roman"/>
        </w:rPr>
        <w:t>19.</w:t>
      </w:r>
      <w:r w:rsidRPr="006B4D31">
        <w:rPr>
          <w:rFonts w:ascii="Times New Roman" w:hAnsi="Times New Roman" w:cs="Times New Roman"/>
        </w:rPr>
        <w:tab/>
        <w:t xml:space="preserve">Shin DW, Kim Y, Hong B, Yoon SH, Lim CS, Youn S. Effect of fentanyl on nausea and vomiting in cesarean section under spinal anesthesia: a randomized controlled study. J Int Med Res. 2019;47(10):4798–807. </w:t>
      </w:r>
    </w:p>
    <w:p w14:paraId="6DD49EB2" w14:textId="780EA60B" w:rsidR="00DB021E" w:rsidRPr="00DB021E" w:rsidRDefault="00AF109D" w:rsidP="006B4D31">
      <w:pPr>
        <w:widowControl/>
        <w:spacing w:before="100" w:beforeAutospacing="1" w:after="100" w:afterAutospacing="1"/>
        <w:jc w:val="left"/>
        <w:rPr>
          <w:rFonts w:ascii="Noto Sans" w:eastAsia="宋体" w:hAnsi="Noto Sans" w:cs="Noto Sans"/>
          <w:b/>
          <w:bCs/>
          <w:kern w:val="0"/>
          <w:sz w:val="27"/>
          <w:szCs w:val="27"/>
        </w:rPr>
      </w:pPr>
      <w:r w:rsidRPr="006B4D31">
        <w:rPr>
          <w:rFonts w:ascii="Times New Roman" w:hAnsi="Times New Roman" w:cs="Times New Roman"/>
        </w:rPr>
        <w:fldChar w:fldCharType="end"/>
      </w:r>
      <w:r w:rsidR="00DB021E" w:rsidRPr="00DB021E">
        <w:rPr>
          <w:rFonts w:ascii="Noto Sans" w:eastAsia="宋体" w:hAnsi="Noto Sans" w:cs="Noto Sans"/>
          <w:b/>
          <w:bCs/>
          <w:kern w:val="0"/>
          <w:sz w:val="27"/>
          <w:szCs w:val="27"/>
        </w:rPr>
        <w:t>Study goals and objectives</w:t>
      </w:r>
    </w:p>
    <w:p w14:paraId="4951AE19" w14:textId="77777777" w:rsidR="006D1D36" w:rsidRPr="006D1D36" w:rsidRDefault="006D1D36" w:rsidP="006D1D36">
      <w:pPr>
        <w:widowControl/>
        <w:spacing w:before="100" w:beforeAutospacing="1" w:after="100" w:afterAutospacing="1"/>
        <w:jc w:val="left"/>
        <w:rPr>
          <w:rFonts w:ascii="Times New Roman" w:hAnsi="Times New Roman" w:cs="Times New Roman"/>
        </w:rPr>
      </w:pPr>
      <w:r w:rsidRPr="006D1D36">
        <w:rPr>
          <w:rFonts w:ascii="Times New Roman" w:hAnsi="Times New Roman" w:cs="Times New Roman"/>
        </w:rPr>
        <w:t>To enhance the efficacy and safety of epidural anesthesia in cesarean sections by investigating the combined use of epidural dexmedetomidine with ropivacaine, thereby addressing the limitations of traditional neuraxial techniques.</w:t>
      </w:r>
    </w:p>
    <w:p w14:paraId="6F180A09" w14:textId="403EEE88" w:rsidR="00DB021E" w:rsidRPr="00DB021E" w:rsidRDefault="00DB021E" w:rsidP="006D1D36">
      <w:pPr>
        <w:widowControl/>
        <w:spacing w:before="100" w:beforeAutospacing="1" w:after="100" w:afterAutospacing="1"/>
        <w:jc w:val="left"/>
        <w:rPr>
          <w:rFonts w:ascii="Noto Sans" w:eastAsia="宋体" w:hAnsi="Noto Sans" w:cs="Noto Sans"/>
          <w:b/>
          <w:bCs/>
          <w:kern w:val="0"/>
          <w:sz w:val="27"/>
          <w:szCs w:val="27"/>
        </w:rPr>
      </w:pPr>
      <w:r w:rsidRPr="00DB021E">
        <w:rPr>
          <w:rFonts w:ascii="Noto Sans" w:eastAsia="宋体" w:hAnsi="Noto Sans" w:cs="Noto Sans"/>
          <w:b/>
          <w:bCs/>
          <w:kern w:val="0"/>
          <w:sz w:val="27"/>
          <w:szCs w:val="27"/>
        </w:rPr>
        <w:t>Study design</w:t>
      </w:r>
    </w:p>
    <w:p w14:paraId="18498A57" w14:textId="27DB0C0D" w:rsidR="00815801" w:rsidRPr="0029766F" w:rsidRDefault="0037322A" w:rsidP="00815801">
      <w:pPr>
        <w:rPr>
          <w:rFonts w:ascii="Times New Roman" w:hAnsi="Times New Roman" w:cs="Times New Roman"/>
          <w:sz w:val="24"/>
          <w:szCs w:val="28"/>
        </w:rPr>
      </w:pPr>
      <w:r w:rsidRPr="0029766F">
        <w:rPr>
          <w:rFonts w:ascii="Times New Roman" w:hAnsi="Times New Roman" w:cs="Times New Roman"/>
          <w:sz w:val="24"/>
          <w:szCs w:val="28"/>
        </w:rPr>
        <w:t xml:space="preserve">This </w:t>
      </w:r>
      <w:r w:rsidR="00A76B5D">
        <w:rPr>
          <w:rFonts w:ascii="Times New Roman" w:hAnsi="Times New Roman" w:cs="Times New Roman"/>
          <w:sz w:val="24"/>
          <w:szCs w:val="28"/>
        </w:rPr>
        <w:t xml:space="preserve">is </w:t>
      </w:r>
      <w:r w:rsidR="00B70436">
        <w:rPr>
          <w:rFonts w:ascii="Times New Roman" w:hAnsi="Times New Roman" w:cs="Times New Roman"/>
          <w:sz w:val="24"/>
          <w:szCs w:val="28"/>
        </w:rPr>
        <w:t xml:space="preserve">a </w:t>
      </w:r>
      <w:r w:rsidRPr="0029766F">
        <w:rPr>
          <w:rFonts w:ascii="Times New Roman" w:hAnsi="Times New Roman" w:cs="Times New Roman"/>
          <w:sz w:val="24"/>
          <w:szCs w:val="28"/>
        </w:rPr>
        <w:t>prospective, randomized, double-blind controlled study</w:t>
      </w:r>
      <w:r w:rsidR="00815801">
        <w:rPr>
          <w:rFonts w:ascii="Times New Roman" w:hAnsi="Times New Roman" w:cs="Times New Roman"/>
          <w:sz w:val="24"/>
          <w:szCs w:val="28"/>
        </w:rPr>
        <w:t xml:space="preserve">. </w:t>
      </w:r>
      <w:bookmarkStart w:id="2" w:name="OLE_LINK53"/>
      <w:proofErr w:type="spellStart"/>
      <w:r w:rsidR="00815801" w:rsidRPr="0029766F">
        <w:rPr>
          <w:rFonts w:ascii="Times New Roman" w:hAnsi="Times New Roman" w:cs="Times New Roman"/>
          <w:sz w:val="24"/>
          <w:szCs w:val="28"/>
        </w:rPr>
        <w:t>Parturients</w:t>
      </w:r>
      <w:bookmarkEnd w:id="2"/>
      <w:proofErr w:type="spellEnd"/>
      <w:r w:rsidR="00815801" w:rsidRPr="0029766F">
        <w:rPr>
          <w:rFonts w:ascii="Times New Roman" w:hAnsi="Times New Roman" w:cs="Times New Roman"/>
          <w:sz w:val="24"/>
          <w:szCs w:val="28"/>
        </w:rPr>
        <w:t xml:space="preserve"> who are scheduled for elective caesarean section under EA </w:t>
      </w:r>
      <w:r w:rsidR="00815801">
        <w:rPr>
          <w:rFonts w:ascii="Times New Roman" w:hAnsi="Times New Roman" w:cs="Times New Roman"/>
          <w:sz w:val="24"/>
          <w:szCs w:val="28"/>
        </w:rPr>
        <w:t xml:space="preserve">between </w:t>
      </w:r>
      <w:r w:rsidR="00815801" w:rsidRPr="00162730">
        <w:rPr>
          <w:rFonts w:ascii="Times New Roman" w:hAnsi="Times New Roman" w:cs="Times New Roman"/>
          <w:sz w:val="24"/>
          <w:szCs w:val="28"/>
        </w:rPr>
        <w:t>December 20</w:t>
      </w:r>
      <w:r w:rsidR="00815801">
        <w:rPr>
          <w:rFonts w:ascii="Times New Roman" w:hAnsi="Times New Roman" w:cs="Times New Roman"/>
          <w:sz w:val="24"/>
          <w:szCs w:val="28"/>
        </w:rPr>
        <w:t xml:space="preserve">20 and </w:t>
      </w:r>
      <w:r w:rsidR="00815801">
        <w:rPr>
          <w:rFonts w:ascii="Times New Roman" w:hAnsi="Times New Roman" w:cs="Times New Roman" w:hint="eastAsia"/>
          <w:sz w:val="24"/>
          <w:szCs w:val="28"/>
        </w:rPr>
        <w:t>July</w:t>
      </w:r>
      <w:r w:rsidR="00815801">
        <w:rPr>
          <w:rFonts w:ascii="Times New Roman" w:hAnsi="Times New Roman" w:cs="Times New Roman"/>
          <w:sz w:val="24"/>
          <w:szCs w:val="28"/>
        </w:rPr>
        <w:t xml:space="preserve"> 2021 </w:t>
      </w:r>
      <w:r w:rsidR="00815801" w:rsidRPr="0029766F">
        <w:rPr>
          <w:rFonts w:ascii="Times New Roman" w:hAnsi="Times New Roman" w:cs="Times New Roman"/>
          <w:sz w:val="24"/>
          <w:szCs w:val="28"/>
        </w:rPr>
        <w:t xml:space="preserve">were eligible for this study. The inclusion criteria for the study were as follows: </w:t>
      </w:r>
      <w:r w:rsidR="00815801" w:rsidRPr="00CE2685">
        <w:rPr>
          <w:rFonts w:ascii="Times New Roman" w:hAnsi="Times New Roman" w:cs="Times New Roman"/>
          <w:sz w:val="24"/>
          <w:szCs w:val="28"/>
        </w:rPr>
        <w:t>age between 18 and 39 years old</w:t>
      </w:r>
      <w:r w:rsidR="00815801" w:rsidRPr="00CE2685">
        <w:rPr>
          <w:rFonts w:ascii="Times New Roman" w:hAnsi="Times New Roman" w:cs="Times New Roman" w:hint="eastAsia"/>
          <w:sz w:val="24"/>
          <w:szCs w:val="28"/>
        </w:rPr>
        <w:t>;</w:t>
      </w:r>
      <w:r w:rsidR="00815801" w:rsidRPr="00CE2685">
        <w:rPr>
          <w:rFonts w:ascii="Times New Roman" w:hAnsi="Times New Roman" w:cs="Times New Roman"/>
          <w:sz w:val="24"/>
          <w:szCs w:val="28"/>
        </w:rPr>
        <w:t xml:space="preserve"> singleton pregnancy; American Society of Anesthesiologists (ASA) physical status I or II; ≥ 37 </w:t>
      </w:r>
      <w:proofErr w:type="spellStart"/>
      <w:r w:rsidR="00815801" w:rsidRPr="00CE2685">
        <w:rPr>
          <w:rFonts w:ascii="Times New Roman" w:hAnsi="Times New Roman" w:cs="Times New Roman"/>
          <w:sz w:val="24"/>
          <w:szCs w:val="28"/>
        </w:rPr>
        <w:t>weeks’s</w:t>
      </w:r>
      <w:proofErr w:type="spellEnd"/>
      <w:r w:rsidR="00815801" w:rsidRPr="00CE2685">
        <w:rPr>
          <w:rFonts w:ascii="Times New Roman" w:hAnsi="Times New Roman" w:cs="Times New Roman"/>
          <w:sz w:val="24"/>
          <w:szCs w:val="28"/>
        </w:rPr>
        <w:t xml:space="preserve"> gestation. The exclusion criteria of the study were as follows: EA</w:t>
      </w:r>
      <w:r w:rsidR="00815801" w:rsidRPr="00CE2685">
        <w:rPr>
          <w:rFonts w:ascii="Times New Roman" w:hAnsi="Times New Roman" w:cs="Times New Roman"/>
        </w:rPr>
        <w:t xml:space="preserve"> is </w:t>
      </w:r>
      <w:r w:rsidR="00815801" w:rsidRPr="00CE2685">
        <w:rPr>
          <w:rFonts w:ascii="Times New Roman" w:hAnsi="Times New Roman" w:cs="Times New Roman"/>
          <w:sz w:val="24"/>
          <w:szCs w:val="28"/>
        </w:rPr>
        <w:t xml:space="preserve">contraindicated; </w:t>
      </w:r>
      <w:r w:rsidR="00815801" w:rsidRPr="00CE2685">
        <w:rPr>
          <w:rFonts w:ascii="Times New Roman" w:hAnsi="Times New Roman" w:cs="Times New Roman" w:hint="eastAsia"/>
          <w:sz w:val="24"/>
          <w:szCs w:val="28"/>
        </w:rPr>
        <w:t>organ</w:t>
      </w:r>
      <w:r w:rsidR="00815801" w:rsidRPr="00CE2685">
        <w:rPr>
          <w:rFonts w:ascii="Times New Roman" w:hAnsi="Times New Roman" w:cs="Times New Roman"/>
          <w:sz w:val="24"/>
          <w:szCs w:val="28"/>
        </w:rPr>
        <w:t xml:space="preserve"> dysfunction </w:t>
      </w:r>
      <w:r w:rsidR="00815801" w:rsidRPr="00CE2685">
        <w:rPr>
          <w:rFonts w:ascii="Times New Roman" w:hAnsi="Times New Roman" w:cs="Times New Roman" w:hint="eastAsia"/>
          <w:sz w:val="24"/>
          <w:szCs w:val="28"/>
        </w:rPr>
        <w:t>such</w:t>
      </w:r>
      <w:r w:rsidR="00815801" w:rsidRPr="00CE2685">
        <w:rPr>
          <w:rFonts w:ascii="Times New Roman" w:hAnsi="Times New Roman" w:cs="Times New Roman"/>
          <w:sz w:val="24"/>
          <w:szCs w:val="28"/>
        </w:rPr>
        <w:t xml:space="preserve"> </w:t>
      </w:r>
      <w:r w:rsidR="00815801" w:rsidRPr="00CE2685">
        <w:rPr>
          <w:rFonts w:ascii="Times New Roman" w:hAnsi="Times New Roman" w:cs="Times New Roman" w:hint="eastAsia"/>
          <w:sz w:val="24"/>
          <w:szCs w:val="28"/>
        </w:rPr>
        <w:t>as</w:t>
      </w:r>
      <w:r w:rsidR="00815801" w:rsidRPr="00CE2685">
        <w:rPr>
          <w:rFonts w:ascii="Times New Roman" w:hAnsi="Times New Roman" w:cs="Times New Roman"/>
          <w:sz w:val="24"/>
          <w:szCs w:val="28"/>
        </w:rPr>
        <w:t xml:space="preserve"> hypertension, cardiopulmonary disease, placenta previa, fetal distress in utero, and cardiac conduction or rhythm abnormalities; allergy or intolerance to one of the study </w:t>
      </w:r>
      <w:r w:rsidR="00815801" w:rsidRPr="00CE2685">
        <w:rPr>
          <w:rFonts w:ascii="Times New Roman" w:hAnsi="Times New Roman" w:cs="Times New Roman"/>
          <w:sz w:val="24"/>
          <w:szCs w:val="28"/>
        </w:rPr>
        <w:lastRenderedPageBreak/>
        <w:t>medications, chronic analgetic use for longer than 3 month</w:t>
      </w:r>
      <w:r w:rsidR="00815801">
        <w:rPr>
          <w:rFonts w:ascii="Times New Roman" w:hAnsi="Times New Roman" w:cs="Times New Roman"/>
          <w:sz w:val="24"/>
          <w:szCs w:val="28"/>
        </w:rPr>
        <w:t>s</w:t>
      </w:r>
      <w:r w:rsidR="00815801" w:rsidRPr="00CE2685">
        <w:rPr>
          <w:rFonts w:ascii="Times New Roman" w:hAnsi="Times New Roman" w:cs="Times New Roman"/>
          <w:sz w:val="24"/>
          <w:szCs w:val="28"/>
        </w:rPr>
        <w:t>; any previous EA or abdominal surgery.</w:t>
      </w:r>
    </w:p>
    <w:p w14:paraId="396BA0B6" w14:textId="77777777" w:rsidR="00DB021E" w:rsidRPr="00DB021E" w:rsidRDefault="00DB021E" w:rsidP="00DB021E">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t>Methodology</w:t>
      </w:r>
    </w:p>
    <w:p w14:paraId="42C9A84B" w14:textId="77777777" w:rsidR="00D77E41" w:rsidRPr="00CA6755" w:rsidRDefault="00D77E41" w:rsidP="00D77E41">
      <w:pPr>
        <w:widowControl/>
        <w:spacing w:before="100" w:beforeAutospacing="1" w:after="100" w:afterAutospacing="1"/>
        <w:jc w:val="left"/>
        <w:rPr>
          <w:rFonts w:ascii="Times New Roman" w:hAnsi="Times New Roman" w:cs="Times New Roman"/>
          <w:b/>
          <w:bCs/>
          <w:sz w:val="24"/>
          <w:szCs w:val="28"/>
        </w:rPr>
      </w:pPr>
      <w:bookmarkStart w:id="3" w:name="OLE_LINK37"/>
      <w:r w:rsidRPr="00CA6755">
        <w:rPr>
          <w:rFonts w:ascii="Times New Roman" w:hAnsi="Times New Roman" w:cs="Times New Roman"/>
          <w:b/>
          <w:bCs/>
          <w:sz w:val="24"/>
          <w:szCs w:val="28"/>
        </w:rPr>
        <w:t>Randomization and Masking:</w:t>
      </w:r>
    </w:p>
    <w:p w14:paraId="316ECB75" w14:textId="77777777" w:rsidR="00D77E41" w:rsidRPr="00CA6755" w:rsidRDefault="00D77E41" w:rsidP="00CA6755">
      <w:pPr>
        <w:pStyle w:val="a9"/>
        <w:widowControl/>
        <w:numPr>
          <w:ilvl w:val="0"/>
          <w:numId w:val="2"/>
        </w:numPr>
        <w:spacing w:before="100" w:beforeAutospacing="1" w:after="100" w:afterAutospacing="1"/>
        <w:ind w:firstLineChars="0"/>
        <w:jc w:val="left"/>
        <w:rPr>
          <w:rFonts w:ascii="Times New Roman" w:hAnsi="Times New Roman" w:cs="Times New Roman"/>
          <w:sz w:val="24"/>
          <w:szCs w:val="28"/>
        </w:rPr>
      </w:pPr>
      <w:proofErr w:type="spellStart"/>
      <w:r w:rsidRPr="00CA6755">
        <w:rPr>
          <w:rFonts w:ascii="Times New Roman" w:hAnsi="Times New Roman" w:cs="Times New Roman"/>
          <w:sz w:val="24"/>
          <w:szCs w:val="28"/>
        </w:rPr>
        <w:t>Parturients</w:t>
      </w:r>
      <w:proofErr w:type="spellEnd"/>
      <w:r w:rsidRPr="00CA6755">
        <w:rPr>
          <w:rFonts w:ascii="Times New Roman" w:hAnsi="Times New Roman" w:cs="Times New Roman"/>
          <w:sz w:val="24"/>
          <w:szCs w:val="28"/>
        </w:rPr>
        <w:t xml:space="preserve"> randomly assigned (1:1 ratio) to Group R (epidural 90mg ropivacaine) or Group RD (90mg ropivacaine with 0.5μg/kg dexmedetomidine).</w:t>
      </w:r>
    </w:p>
    <w:p w14:paraId="7FA73DEC" w14:textId="77777777" w:rsidR="00D77E41" w:rsidRPr="00CA6755" w:rsidRDefault="00D77E41" w:rsidP="00CA6755">
      <w:pPr>
        <w:pStyle w:val="a9"/>
        <w:widowControl/>
        <w:numPr>
          <w:ilvl w:val="0"/>
          <w:numId w:val="2"/>
        </w:numPr>
        <w:spacing w:before="100" w:beforeAutospacing="1" w:after="100" w:afterAutospacing="1"/>
        <w:ind w:firstLineChars="0"/>
        <w:jc w:val="left"/>
        <w:rPr>
          <w:rFonts w:ascii="Times New Roman" w:hAnsi="Times New Roman" w:cs="Times New Roman"/>
          <w:sz w:val="24"/>
          <w:szCs w:val="28"/>
        </w:rPr>
      </w:pPr>
      <w:r w:rsidRPr="00CA6755">
        <w:rPr>
          <w:rFonts w:ascii="Times New Roman" w:hAnsi="Times New Roman" w:cs="Times New Roman"/>
          <w:sz w:val="24"/>
          <w:szCs w:val="28"/>
        </w:rPr>
        <w:t>Randomization accessible only to the researcher preparing medications.</w:t>
      </w:r>
    </w:p>
    <w:p w14:paraId="04EE684A" w14:textId="4B1F0247" w:rsidR="00D77E41" w:rsidRPr="00CA6755" w:rsidRDefault="00D77E41" w:rsidP="00CA6755">
      <w:pPr>
        <w:pStyle w:val="a9"/>
        <w:widowControl/>
        <w:numPr>
          <w:ilvl w:val="0"/>
          <w:numId w:val="2"/>
        </w:numPr>
        <w:spacing w:before="100" w:beforeAutospacing="1" w:after="100" w:afterAutospacing="1"/>
        <w:ind w:firstLineChars="0"/>
        <w:jc w:val="left"/>
        <w:rPr>
          <w:rFonts w:ascii="Times New Roman" w:hAnsi="Times New Roman" w:cs="Times New Roman"/>
          <w:sz w:val="24"/>
          <w:szCs w:val="28"/>
        </w:rPr>
      </w:pPr>
      <w:r w:rsidRPr="00CA6755">
        <w:rPr>
          <w:rFonts w:ascii="Times New Roman" w:hAnsi="Times New Roman" w:cs="Times New Roman"/>
          <w:sz w:val="24"/>
          <w:szCs w:val="28"/>
        </w:rPr>
        <w:t>Blinding maintained for researchers, surgeons, anesthesiologists, nurses, midwives, and participants until study completion.</w:t>
      </w:r>
    </w:p>
    <w:p w14:paraId="4923822D" w14:textId="77777777" w:rsidR="00D77E41" w:rsidRPr="00CA6755" w:rsidRDefault="00D77E41" w:rsidP="00D77E41">
      <w:pPr>
        <w:widowControl/>
        <w:spacing w:before="100" w:beforeAutospacing="1" w:after="100" w:afterAutospacing="1"/>
        <w:jc w:val="left"/>
        <w:rPr>
          <w:rFonts w:ascii="Times New Roman" w:hAnsi="Times New Roman" w:cs="Times New Roman"/>
          <w:b/>
          <w:bCs/>
          <w:sz w:val="24"/>
          <w:szCs w:val="28"/>
        </w:rPr>
      </w:pPr>
      <w:r w:rsidRPr="00CA6755">
        <w:rPr>
          <w:rFonts w:ascii="Times New Roman" w:hAnsi="Times New Roman" w:cs="Times New Roman"/>
          <w:b/>
          <w:bCs/>
          <w:sz w:val="24"/>
          <w:szCs w:val="28"/>
        </w:rPr>
        <w:t>Anesthesia Procedure:</w:t>
      </w:r>
    </w:p>
    <w:p w14:paraId="7C7D2702" w14:textId="77777777" w:rsidR="00D77E41" w:rsidRPr="00CA6755" w:rsidRDefault="00D77E41" w:rsidP="00CA6755">
      <w:pPr>
        <w:pStyle w:val="a9"/>
        <w:widowControl/>
        <w:numPr>
          <w:ilvl w:val="0"/>
          <w:numId w:val="3"/>
        </w:numPr>
        <w:spacing w:before="100" w:beforeAutospacing="1" w:after="100" w:afterAutospacing="1"/>
        <w:ind w:firstLineChars="0"/>
        <w:jc w:val="left"/>
        <w:rPr>
          <w:rFonts w:ascii="Times New Roman" w:hAnsi="Times New Roman" w:cs="Times New Roman"/>
          <w:sz w:val="24"/>
          <w:szCs w:val="28"/>
        </w:rPr>
      </w:pPr>
      <w:r w:rsidRPr="00CA6755">
        <w:rPr>
          <w:rFonts w:ascii="Times New Roman" w:hAnsi="Times New Roman" w:cs="Times New Roman"/>
          <w:sz w:val="24"/>
          <w:szCs w:val="28"/>
        </w:rPr>
        <w:t>Epidural puncture at 2-3 lumbar interspace in right lateral decubitus position.</w:t>
      </w:r>
    </w:p>
    <w:p w14:paraId="684E66D8" w14:textId="77777777" w:rsidR="00D77E41" w:rsidRPr="00CA6755" w:rsidRDefault="00D77E41" w:rsidP="00CA6755">
      <w:pPr>
        <w:pStyle w:val="a9"/>
        <w:widowControl/>
        <w:numPr>
          <w:ilvl w:val="0"/>
          <w:numId w:val="3"/>
        </w:numPr>
        <w:spacing w:before="100" w:beforeAutospacing="1" w:after="100" w:afterAutospacing="1"/>
        <w:ind w:firstLineChars="0"/>
        <w:jc w:val="left"/>
        <w:rPr>
          <w:rFonts w:ascii="Times New Roman" w:hAnsi="Times New Roman" w:cs="Times New Roman"/>
          <w:sz w:val="24"/>
          <w:szCs w:val="28"/>
        </w:rPr>
      </w:pPr>
      <w:r w:rsidRPr="00CA6755">
        <w:rPr>
          <w:rFonts w:ascii="Times New Roman" w:hAnsi="Times New Roman" w:cs="Times New Roman"/>
          <w:sz w:val="24"/>
          <w:szCs w:val="28"/>
        </w:rPr>
        <w:t>Epidural catheter inserted 4cm cephalad; test dose of 3 mL 1% lidocaine administered.</w:t>
      </w:r>
    </w:p>
    <w:p w14:paraId="22CC54B2" w14:textId="77777777" w:rsidR="00D77E41" w:rsidRPr="00CA6755" w:rsidRDefault="00D77E41" w:rsidP="00CA6755">
      <w:pPr>
        <w:pStyle w:val="a9"/>
        <w:widowControl/>
        <w:numPr>
          <w:ilvl w:val="0"/>
          <w:numId w:val="3"/>
        </w:numPr>
        <w:spacing w:before="100" w:beforeAutospacing="1" w:after="100" w:afterAutospacing="1"/>
        <w:ind w:firstLineChars="0"/>
        <w:jc w:val="left"/>
        <w:rPr>
          <w:rFonts w:ascii="Times New Roman" w:hAnsi="Times New Roman" w:cs="Times New Roman"/>
          <w:sz w:val="24"/>
          <w:szCs w:val="28"/>
        </w:rPr>
      </w:pPr>
      <w:r w:rsidRPr="00CA6755">
        <w:rPr>
          <w:rFonts w:ascii="Times New Roman" w:hAnsi="Times New Roman" w:cs="Times New Roman"/>
          <w:sz w:val="24"/>
          <w:szCs w:val="28"/>
        </w:rPr>
        <w:t>Group-specific medication administered based on randomization.</w:t>
      </w:r>
    </w:p>
    <w:p w14:paraId="13D9FD8B" w14:textId="77777777" w:rsidR="00D77E41" w:rsidRPr="00CA6755" w:rsidRDefault="00D77E41" w:rsidP="00CA6755">
      <w:pPr>
        <w:pStyle w:val="a9"/>
        <w:widowControl/>
        <w:numPr>
          <w:ilvl w:val="0"/>
          <w:numId w:val="3"/>
        </w:numPr>
        <w:spacing w:before="100" w:beforeAutospacing="1" w:after="100" w:afterAutospacing="1"/>
        <w:ind w:firstLineChars="0"/>
        <w:jc w:val="left"/>
        <w:rPr>
          <w:rFonts w:ascii="Times New Roman" w:hAnsi="Times New Roman" w:cs="Times New Roman"/>
          <w:sz w:val="24"/>
          <w:szCs w:val="28"/>
        </w:rPr>
      </w:pPr>
      <w:r w:rsidRPr="00CA6755">
        <w:rPr>
          <w:rFonts w:ascii="Times New Roman" w:hAnsi="Times New Roman" w:cs="Times New Roman"/>
          <w:sz w:val="24"/>
          <w:szCs w:val="28"/>
        </w:rPr>
        <w:t>Effectiveness of EA defined as bilateral T6-S5 or above sensory block within 30min.</w:t>
      </w:r>
    </w:p>
    <w:p w14:paraId="2CE07EE9" w14:textId="77777777" w:rsidR="00D77E41" w:rsidRPr="00862B5C" w:rsidRDefault="00D77E41" w:rsidP="00D77E41">
      <w:pPr>
        <w:widowControl/>
        <w:spacing w:before="100" w:beforeAutospacing="1" w:after="100" w:afterAutospacing="1"/>
        <w:jc w:val="left"/>
        <w:rPr>
          <w:rFonts w:ascii="Times New Roman" w:hAnsi="Times New Roman" w:cs="Times New Roman"/>
          <w:b/>
          <w:bCs/>
          <w:sz w:val="24"/>
          <w:szCs w:val="28"/>
        </w:rPr>
      </w:pPr>
      <w:r w:rsidRPr="00862B5C">
        <w:rPr>
          <w:rFonts w:ascii="Times New Roman" w:hAnsi="Times New Roman" w:cs="Times New Roman"/>
          <w:b/>
          <w:bCs/>
          <w:sz w:val="24"/>
          <w:szCs w:val="28"/>
        </w:rPr>
        <w:t>Monitoring and Interventions:</w:t>
      </w:r>
    </w:p>
    <w:p w14:paraId="0B65050B" w14:textId="77777777" w:rsidR="00D77E41" w:rsidRPr="00862B5C" w:rsidRDefault="00D77E41" w:rsidP="00862B5C">
      <w:pPr>
        <w:pStyle w:val="a9"/>
        <w:widowControl/>
        <w:numPr>
          <w:ilvl w:val="0"/>
          <w:numId w:val="4"/>
        </w:numPr>
        <w:spacing w:before="100" w:beforeAutospacing="1" w:after="100" w:afterAutospacing="1"/>
        <w:ind w:firstLineChars="0"/>
        <w:jc w:val="left"/>
        <w:rPr>
          <w:rFonts w:ascii="Times New Roman" w:hAnsi="Times New Roman" w:cs="Times New Roman"/>
          <w:sz w:val="24"/>
          <w:szCs w:val="28"/>
        </w:rPr>
      </w:pPr>
      <w:r w:rsidRPr="00862B5C">
        <w:rPr>
          <w:rFonts w:ascii="Times New Roman" w:hAnsi="Times New Roman" w:cs="Times New Roman"/>
          <w:sz w:val="24"/>
          <w:szCs w:val="28"/>
        </w:rPr>
        <w:t>Standard monitoring upon arrival in the operating room.</w:t>
      </w:r>
    </w:p>
    <w:p w14:paraId="3D7F3E2E" w14:textId="77777777" w:rsidR="00D77E41" w:rsidRPr="00862B5C" w:rsidRDefault="00D77E41" w:rsidP="00862B5C">
      <w:pPr>
        <w:pStyle w:val="a9"/>
        <w:widowControl/>
        <w:numPr>
          <w:ilvl w:val="0"/>
          <w:numId w:val="4"/>
        </w:numPr>
        <w:spacing w:before="100" w:beforeAutospacing="1" w:after="100" w:afterAutospacing="1"/>
        <w:ind w:firstLineChars="0"/>
        <w:jc w:val="left"/>
        <w:rPr>
          <w:rFonts w:ascii="Times New Roman" w:hAnsi="Times New Roman" w:cs="Times New Roman"/>
          <w:sz w:val="24"/>
          <w:szCs w:val="28"/>
        </w:rPr>
      </w:pPr>
      <w:r w:rsidRPr="00862B5C">
        <w:rPr>
          <w:rFonts w:ascii="Times New Roman" w:hAnsi="Times New Roman" w:cs="Times New Roman"/>
          <w:sz w:val="24"/>
          <w:szCs w:val="28"/>
        </w:rPr>
        <w:t>Intraoperative assessments, including pain severity (NRS), sedation (Ramsay Sedation Scale), vital signs, and side effects recorded.</w:t>
      </w:r>
    </w:p>
    <w:p w14:paraId="5581339D" w14:textId="77777777" w:rsidR="00D77E41" w:rsidRPr="00862B5C" w:rsidRDefault="00D77E41" w:rsidP="00862B5C">
      <w:pPr>
        <w:pStyle w:val="a9"/>
        <w:widowControl/>
        <w:numPr>
          <w:ilvl w:val="0"/>
          <w:numId w:val="4"/>
        </w:numPr>
        <w:spacing w:before="100" w:beforeAutospacing="1" w:after="100" w:afterAutospacing="1"/>
        <w:ind w:firstLineChars="0"/>
        <w:jc w:val="left"/>
        <w:rPr>
          <w:rFonts w:ascii="Times New Roman" w:hAnsi="Times New Roman" w:cs="Times New Roman"/>
          <w:sz w:val="24"/>
          <w:szCs w:val="28"/>
        </w:rPr>
      </w:pPr>
      <w:r w:rsidRPr="00862B5C">
        <w:rPr>
          <w:rFonts w:ascii="Times New Roman" w:hAnsi="Times New Roman" w:cs="Times New Roman"/>
          <w:sz w:val="24"/>
          <w:szCs w:val="28"/>
        </w:rPr>
        <w:t>Interventions for pain and sedation as necessary.</w:t>
      </w:r>
    </w:p>
    <w:p w14:paraId="58A6041F" w14:textId="77777777" w:rsidR="00D77E41" w:rsidRPr="00862B5C" w:rsidRDefault="00D77E41" w:rsidP="00862B5C">
      <w:pPr>
        <w:pStyle w:val="a9"/>
        <w:widowControl/>
        <w:numPr>
          <w:ilvl w:val="0"/>
          <w:numId w:val="4"/>
        </w:numPr>
        <w:spacing w:before="100" w:beforeAutospacing="1" w:after="100" w:afterAutospacing="1"/>
        <w:ind w:firstLineChars="0"/>
        <w:jc w:val="left"/>
        <w:rPr>
          <w:rFonts w:ascii="Times New Roman" w:hAnsi="Times New Roman" w:cs="Times New Roman"/>
          <w:sz w:val="24"/>
          <w:szCs w:val="28"/>
        </w:rPr>
      </w:pPr>
      <w:r w:rsidRPr="00862B5C">
        <w:rPr>
          <w:rFonts w:ascii="Times New Roman" w:hAnsi="Times New Roman" w:cs="Times New Roman"/>
          <w:sz w:val="24"/>
          <w:szCs w:val="28"/>
        </w:rPr>
        <w:t>Timepoints defined (T0 to T4) for specific assessments during the procedure.</w:t>
      </w:r>
    </w:p>
    <w:bookmarkEnd w:id="3"/>
    <w:p w14:paraId="61FCE922" w14:textId="77777777" w:rsidR="00DB021E" w:rsidRPr="00DB021E" w:rsidRDefault="00DB021E" w:rsidP="00DB021E">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t>Safety considerations</w:t>
      </w:r>
    </w:p>
    <w:p w14:paraId="5858ABBF" w14:textId="77777777" w:rsidR="00ED2954" w:rsidRPr="00ED2954" w:rsidRDefault="00ED2954" w:rsidP="00ED2954">
      <w:pPr>
        <w:widowControl/>
        <w:spacing w:before="100" w:beforeAutospacing="1" w:after="100" w:afterAutospacing="1"/>
        <w:jc w:val="left"/>
        <w:rPr>
          <w:rFonts w:ascii="Times New Roman" w:hAnsi="Times New Roman" w:cs="Times New Roman"/>
          <w:b/>
          <w:bCs/>
          <w:sz w:val="24"/>
          <w:szCs w:val="28"/>
        </w:rPr>
      </w:pPr>
      <w:r w:rsidRPr="00ED2954">
        <w:rPr>
          <w:rFonts w:ascii="Times New Roman" w:hAnsi="Times New Roman" w:cs="Times New Roman"/>
          <w:b/>
          <w:bCs/>
          <w:sz w:val="24"/>
          <w:szCs w:val="28"/>
        </w:rPr>
        <w:t>Definition and management of hypotension:</w:t>
      </w:r>
    </w:p>
    <w:p w14:paraId="0E60880D" w14:textId="77777777" w:rsidR="00ED2954" w:rsidRPr="00ED2954" w:rsidRDefault="00ED2954" w:rsidP="00ED2954">
      <w:pPr>
        <w:widowControl/>
        <w:spacing w:before="100" w:beforeAutospacing="1" w:after="100" w:afterAutospacing="1"/>
        <w:jc w:val="left"/>
        <w:rPr>
          <w:rFonts w:ascii="Times New Roman" w:hAnsi="Times New Roman" w:cs="Times New Roman"/>
          <w:sz w:val="24"/>
          <w:szCs w:val="28"/>
        </w:rPr>
      </w:pPr>
      <w:r w:rsidRPr="000F67D6">
        <w:rPr>
          <w:rFonts w:ascii="Times New Roman" w:hAnsi="Times New Roman" w:cs="Times New Roman"/>
          <w:sz w:val="24"/>
          <w:szCs w:val="28"/>
        </w:rPr>
        <w:t xml:space="preserve">Definition: </w:t>
      </w:r>
      <w:r w:rsidRPr="00ED2954">
        <w:rPr>
          <w:rFonts w:ascii="Times New Roman" w:hAnsi="Times New Roman" w:cs="Times New Roman"/>
          <w:sz w:val="24"/>
          <w:szCs w:val="28"/>
        </w:rPr>
        <w:t>Mean Arterial Pressure (MAP) &lt; 60mmHg or &gt; 20% decline from baseline BP.</w:t>
      </w:r>
    </w:p>
    <w:p w14:paraId="2850098E" w14:textId="77777777" w:rsidR="00ED2954" w:rsidRPr="00ED2954" w:rsidRDefault="00ED2954" w:rsidP="00ED2954">
      <w:pPr>
        <w:widowControl/>
        <w:spacing w:before="100" w:beforeAutospacing="1" w:after="100" w:afterAutospacing="1"/>
        <w:jc w:val="left"/>
        <w:rPr>
          <w:rFonts w:ascii="Times New Roman" w:hAnsi="Times New Roman" w:cs="Times New Roman"/>
          <w:sz w:val="24"/>
          <w:szCs w:val="28"/>
        </w:rPr>
      </w:pPr>
      <w:r w:rsidRPr="000F67D6">
        <w:rPr>
          <w:rFonts w:ascii="Times New Roman" w:hAnsi="Times New Roman" w:cs="Times New Roman"/>
          <w:sz w:val="24"/>
          <w:szCs w:val="28"/>
        </w:rPr>
        <w:t xml:space="preserve">Management: </w:t>
      </w:r>
      <w:r w:rsidRPr="00ED2954">
        <w:rPr>
          <w:rFonts w:ascii="Times New Roman" w:hAnsi="Times New Roman" w:cs="Times New Roman"/>
          <w:sz w:val="24"/>
          <w:szCs w:val="28"/>
        </w:rPr>
        <w:t>Intravenous administration of 50μg phenylephrine, repeated if necessary.</w:t>
      </w:r>
    </w:p>
    <w:p w14:paraId="218B5438" w14:textId="77777777" w:rsidR="00ED2954" w:rsidRPr="00995A7D" w:rsidRDefault="00ED2954" w:rsidP="00ED2954">
      <w:pPr>
        <w:widowControl/>
        <w:spacing w:before="100" w:beforeAutospacing="1" w:after="100" w:afterAutospacing="1"/>
        <w:jc w:val="left"/>
        <w:rPr>
          <w:rFonts w:ascii="Times New Roman" w:hAnsi="Times New Roman" w:cs="Times New Roman"/>
          <w:b/>
          <w:bCs/>
          <w:sz w:val="24"/>
          <w:szCs w:val="28"/>
        </w:rPr>
      </w:pPr>
      <w:r w:rsidRPr="00995A7D">
        <w:rPr>
          <w:rFonts w:ascii="Times New Roman" w:hAnsi="Times New Roman" w:cs="Times New Roman"/>
          <w:b/>
          <w:bCs/>
          <w:sz w:val="24"/>
          <w:szCs w:val="28"/>
        </w:rPr>
        <w:t>Definition and management of bradycardia:</w:t>
      </w:r>
    </w:p>
    <w:p w14:paraId="7662EE06" w14:textId="77777777" w:rsidR="00ED2954" w:rsidRPr="00ED2954" w:rsidRDefault="00ED2954" w:rsidP="00ED2954">
      <w:pPr>
        <w:widowControl/>
        <w:spacing w:before="100" w:beforeAutospacing="1" w:after="100" w:afterAutospacing="1"/>
        <w:jc w:val="left"/>
        <w:rPr>
          <w:rFonts w:ascii="Times New Roman" w:hAnsi="Times New Roman" w:cs="Times New Roman"/>
          <w:sz w:val="24"/>
          <w:szCs w:val="28"/>
        </w:rPr>
      </w:pPr>
      <w:r w:rsidRPr="000F67D6">
        <w:rPr>
          <w:rFonts w:ascii="Times New Roman" w:hAnsi="Times New Roman" w:cs="Times New Roman"/>
          <w:sz w:val="24"/>
          <w:szCs w:val="28"/>
        </w:rPr>
        <w:t>Definition:</w:t>
      </w:r>
      <w:r w:rsidRPr="00995A7D">
        <w:rPr>
          <w:rFonts w:ascii="Times New Roman" w:hAnsi="Times New Roman" w:cs="Times New Roman"/>
          <w:b/>
          <w:bCs/>
          <w:sz w:val="24"/>
          <w:szCs w:val="28"/>
        </w:rPr>
        <w:t xml:space="preserve"> </w:t>
      </w:r>
      <w:r w:rsidRPr="00ED2954">
        <w:rPr>
          <w:rFonts w:ascii="Times New Roman" w:hAnsi="Times New Roman" w:cs="Times New Roman"/>
          <w:sz w:val="24"/>
          <w:szCs w:val="28"/>
        </w:rPr>
        <w:t>Heart Rate (HR) &lt; 60 beats/min.</w:t>
      </w:r>
    </w:p>
    <w:p w14:paraId="4C52429B" w14:textId="77777777" w:rsidR="00ED2954" w:rsidRPr="00ED2954" w:rsidRDefault="00ED2954" w:rsidP="00ED2954">
      <w:pPr>
        <w:widowControl/>
        <w:spacing w:before="100" w:beforeAutospacing="1" w:after="100" w:afterAutospacing="1"/>
        <w:jc w:val="left"/>
        <w:rPr>
          <w:rFonts w:ascii="Times New Roman" w:hAnsi="Times New Roman" w:cs="Times New Roman"/>
          <w:sz w:val="24"/>
          <w:szCs w:val="28"/>
        </w:rPr>
      </w:pPr>
      <w:r w:rsidRPr="000F67D6">
        <w:rPr>
          <w:rFonts w:ascii="Times New Roman" w:hAnsi="Times New Roman" w:cs="Times New Roman"/>
          <w:sz w:val="24"/>
          <w:szCs w:val="28"/>
        </w:rPr>
        <w:lastRenderedPageBreak/>
        <w:t>Management:</w:t>
      </w:r>
      <w:r w:rsidRPr="00995A7D">
        <w:rPr>
          <w:rFonts w:ascii="Times New Roman" w:hAnsi="Times New Roman" w:cs="Times New Roman"/>
          <w:b/>
          <w:bCs/>
          <w:sz w:val="24"/>
          <w:szCs w:val="28"/>
        </w:rPr>
        <w:t xml:space="preserve"> </w:t>
      </w:r>
      <w:r w:rsidRPr="00ED2954">
        <w:rPr>
          <w:rFonts w:ascii="Times New Roman" w:hAnsi="Times New Roman" w:cs="Times New Roman"/>
          <w:sz w:val="24"/>
          <w:szCs w:val="28"/>
        </w:rPr>
        <w:t>If no hypotension is present, intravenous administration of 0.25mg atropine; if bradycardia is present with hypotension, then 6mg ephedrine is given.</w:t>
      </w:r>
    </w:p>
    <w:p w14:paraId="0AD219D7" w14:textId="77777777" w:rsidR="00ED2954" w:rsidRPr="000F67D6" w:rsidRDefault="00ED2954" w:rsidP="00ED2954">
      <w:pPr>
        <w:widowControl/>
        <w:spacing w:before="100" w:beforeAutospacing="1" w:after="100" w:afterAutospacing="1"/>
        <w:jc w:val="left"/>
        <w:rPr>
          <w:rFonts w:ascii="Times New Roman" w:hAnsi="Times New Roman" w:cs="Times New Roman"/>
          <w:b/>
          <w:bCs/>
          <w:sz w:val="24"/>
          <w:szCs w:val="28"/>
        </w:rPr>
      </w:pPr>
      <w:r w:rsidRPr="000F67D6">
        <w:rPr>
          <w:rFonts w:ascii="Times New Roman" w:hAnsi="Times New Roman" w:cs="Times New Roman"/>
          <w:b/>
          <w:bCs/>
          <w:sz w:val="24"/>
          <w:szCs w:val="28"/>
        </w:rPr>
        <w:t>Definition and management of intraoperative respiratory depression:</w:t>
      </w:r>
    </w:p>
    <w:p w14:paraId="68763DA7" w14:textId="77777777" w:rsidR="00ED2954" w:rsidRPr="00ED2954" w:rsidRDefault="00ED2954" w:rsidP="00ED2954">
      <w:pPr>
        <w:widowControl/>
        <w:spacing w:before="100" w:beforeAutospacing="1" w:after="100" w:afterAutospacing="1"/>
        <w:jc w:val="left"/>
        <w:rPr>
          <w:rFonts w:ascii="Times New Roman" w:hAnsi="Times New Roman" w:cs="Times New Roman"/>
          <w:sz w:val="24"/>
          <w:szCs w:val="28"/>
        </w:rPr>
      </w:pPr>
      <w:r w:rsidRPr="00ED2954">
        <w:rPr>
          <w:rFonts w:ascii="Times New Roman" w:hAnsi="Times New Roman" w:cs="Times New Roman"/>
          <w:sz w:val="24"/>
          <w:szCs w:val="28"/>
        </w:rPr>
        <w:t>Definition: Respiratory rate less than or equal to 8 breaths/min or SpO2 &lt; 95%.</w:t>
      </w:r>
    </w:p>
    <w:p w14:paraId="1B2811FA" w14:textId="77777777" w:rsidR="00ED2954" w:rsidRPr="00ED2954" w:rsidRDefault="00ED2954" w:rsidP="00ED2954">
      <w:pPr>
        <w:widowControl/>
        <w:spacing w:before="100" w:beforeAutospacing="1" w:after="100" w:afterAutospacing="1"/>
        <w:jc w:val="left"/>
        <w:rPr>
          <w:rFonts w:ascii="Times New Roman" w:hAnsi="Times New Roman" w:cs="Times New Roman"/>
          <w:sz w:val="24"/>
          <w:szCs w:val="28"/>
        </w:rPr>
      </w:pPr>
      <w:r w:rsidRPr="00ED2954">
        <w:rPr>
          <w:rFonts w:ascii="Times New Roman" w:hAnsi="Times New Roman" w:cs="Times New Roman"/>
          <w:sz w:val="24"/>
          <w:szCs w:val="28"/>
        </w:rPr>
        <w:t>Management: Assisted ventilation is used for treatment.</w:t>
      </w:r>
    </w:p>
    <w:p w14:paraId="3E88A61A" w14:textId="7CE4114E" w:rsidR="00DB021E" w:rsidRPr="00EE7499" w:rsidRDefault="00ED2954" w:rsidP="00ED2954">
      <w:pPr>
        <w:widowControl/>
        <w:spacing w:before="100" w:beforeAutospacing="1" w:after="100" w:afterAutospacing="1"/>
        <w:jc w:val="left"/>
        <w:rPr>
          <w:rFonts w:ascii="Times New Roman" w:hAnsi="Times New Roman" w:cs="Times New Roman"/>
          <w:b/>
          <w:bCs/>
          <w:sz w:val="24"/>
          <w:szCs w:val="28"/>
        </w:rPr>
      </w:pPr>
      <w:r w:rsidRPr="00EE7499">
        <w:rPr>
          <w:rFonts w:ascii="Times New Roman" w:hAnsi="Times New Roman" w:cs="Times New Roman"/>
          <w:b/>
          <w:bCs/>
          <w:sz w:val="24"/>
          <w:szCs w:val="28"/>
        </w:rPr>
        <w:t>These measures aim to ensure the timely management of potential safety issues during the surgical procedure, safeguarding the safety of research participants.</w:t>
      </w:r>
    </w:p>
    <w:p w14:paraId="1B590ABD" w14:textId="77777777" w:rsidR="00DB021E" w:rsidRPr="00DB021E" w:rsidRDefault="00DB021E" w:rsidP="00DB021E">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t>Follow-up</w:t>
      </w:r>
    </w:p>
    <w:p w14:paraId="41FDBF97" w14:textId="58BE368B" w:rsidR="00DB021E" w:rsidRPr="007E4D01" w:rsidRDefault="007E4D01" w:rsidP="00DB021E">
      <w:pPr>
        <w:widowControl/>
        <w:spacing w:before="100" w:beforeAutospacing="1" w:after="100" w:afterAutospacing="1"/>
        <w:jc w:val="left"/>
        <w:rPr>
          <w:rFonts w:ascii="Times New Roman" w:hAnsi="Times New Roman" w:cs="Times New Roman"/>
          <w:sz w:val="24"/>
          <w:szCs w:val="28"/>
        </w:rPr>
      </w:pPr>
      <w:r w:rsidRPr="007E4D01">
        <w:rPr>
          <w:rFonts w:ascii="Times New Roman" w:hAnsi="Times New Roman" w:cs="Times New Roman"/>
          <w:sz w:val="24"/>
          <w:szCs w:val="28"/>
        </w:rPr>
        <w:t>The data we collected were primarily obtained intraoperatively, and at three months postoperatively, we conducted telephone follow-ups. The follow-up included assessments of infant health, maternal health, the presence of anesthesia-related complications, and satisfaction with the anesthesia.</w:t>
      </w:r>
    </w:p>
    <w:p w14:paraId="3EABCFE8" w14:textId="77777777" w:rsidR="00DB021E" w:rsidRPr="00DB021E" w:rsidRDefault="00DB021E" w:rsidP="00DB021E">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t>Data management and statistical analysis</w:t>
      </w:r>
    </w:p>
    <w:p w14:paraId="4932D11E" w14:textId="77777777" w:rsidR="00477F55" w:rsidRPr="00862B5C" w:rsidRDefault="00477F55" w:rsidP="00477F55">
      <w:pPr>
        <w:widowControl/>
        <w:spacing w:before="100" w:beforeAutospacing="1" w:after="100" w:afterAutospacing="1"/>
        <w:jc w:val="left"/>
        <w:rPr>
          <w:rFonts w:ascii="Times New Roman" w:hAnsi="Times New Roman" w:cs="Times New Roman"/>
          <w:b/>
          <w:bCs/>
          <w:sz w:val="24"/>
          <w:szCs w:val="28"/>
        </w:rPr>
      </w:pPr>
      <w:r w:rsidRPr="00862B5C">
        <w:rPr>
          <w:rFonts w:ascii="Times New Roman" w:hAnsi="Times New Roman" w:cs="Times New Roman"/>
          <w:b/>
          <w:bCs/>
          <w:sz w:val="24"/>
          <w:szCs w:val="28"/>
        </w:rPr>
        <w:t>Data Collection:</w:t>
      </w:r>
    </w:p>
    <w:p w14:paraId="3D8D54E0" w14:textId="77777777" w:rsidR="00477F55" w:rsidRPr="00862B5C" w:rsidRDefault="00477F55" w:rsidP="00477F55">
      <w:pPr>
        <w:pStyle w:val="a9"/>
        <w:widowControl/>
        <w:numPr>
          <w:ilvl w:val="0"/>
          <w:numId w:val="5"/>
        </w:numPr>
        <w:spacing w:before="100" w:beforeAutospacing="1" w:after="100" w:afterAutospacing="1"/>
        <w:ind w:firstLineChars="0"/>
        <w:jc w:val="left"/>
        <w:rPr>
          <w:rFonts w:ascii="Times New Roman" w:hAnsi="Times New Roman" w:cs="Times New Roman"/>
          <w:sz w:val="24"/>
          <w:szCs w:val="28"/>
        </w:rPr>
      </w:pPr>
      <w:r w:rsidRPr="00862B5C">
        <w:rPr>
          <w:rFonts w:ascii="Times New Roman" w:hAnsi="Times New Roman" w:cs="Times New Roman"/>
          <w:sz w:val="24"/>
          <w:szCs w:val="28"/>
        </w:rPr>
        <w:t>Demographics and intraoperative measures collected.</w:t>
      </w:r>
    </w:p>
    <w:p w14:paraId="71FDF235" w14:textId="77777777" w:rsidR="00477F55" w:rsidRPr="00862B5C" w:rsidRDefault="00477F55" w:rsidP="00477F55">
      <w:pPr>
        <w:pStyle w:val="a9"/>
        <w:widowControl/>
        <w:numPr>
          <w:ilvl w:val="0"/>
          <w:numId w:val="5"/>
        </w:numPr>
        <w:spacing w:before="100" w:beforeAutospacing="1" w:after="100" w:afterAutospacing="1"/>
        <w:ind w:firstLineChars="0"/>
        <w:jc w:val="left"/>
        <w:rPr>
          <w:rFonts w:ascii="Times New Roman" w:hAnsi="Times New Roman" w:cs="Times New Roman"/>
          <w:sz w:val="24"/>
          <w:szCs w:val="28"/>
        </w:rPr>
      </w:pPr>
      <w:r w:rsidRPr="00862B5C">
        <w:rPr>
          <w:rFonts w:ascii="Times New Roman" w:hAnsi="Times New Roman" w:cs="Times New Roman"/>
          <w:sz w:val="24"/>
          <w:szCs w:val="28"/>
        </w:rPr>
        <w:t>Data points include NRS pain scores, Ramsay Sedation Scale, NIBP, HR, side effects, and neonatal Apgar scores.</w:t>
      </w:r>
    </w:p>
    <w:p w14:paraId="3641DD7B" w14:textId="77777777" w:rsidR="00477F55" w:rsidRPr="00862B5C" w:rsidRDefault="00477F55" w:rsidP="00477F55">
      <w:pPr>
        <w:pStyle w:val="a9"/>
        <w:widowControl/>
        <w:numPr>
          <w:ilvl w:val="0"/>
          <w:numId w:val="5"/>
        </w:numPr>
        <w:spacing w:before="100" w:beforeAutospacing="1" w:after="100" w:afterAutospacing="1"/>
        <w:ind w:firstLineChars="0"/>
        <w:jc w:val="left"/>
        <w:rPr>
          <w:rFonts w:ascii="Times New Roman" w:hAnsi="Times New Roman" w:cs="Times New Roman"/>
          <w:sz w:val="24"/>
          <w:szCs w:val="28"/>
        </w:rPr>
      </w:pPr>
      <w:r w:rsidRPr="00862B5C">
        <w:rPr>
          <w:rFonts w:ascii="Times New Roman" w:hAnsi="Times New Roman" w:cs="Times New Roman"/>
          <w:sz w:val="24"/>
          <w:szCs w:val="28"/>
        </w:rPr>
        <w:t>Satisfaction with anesthesia assessed at 3 months post-hospital discharge via telephone follow-up.</w:t>
      </w:r>
    </w:p>
    <w:p w14:paraId="17DA85D6" w14:textId="77777777" w:rsidR="00477F55" w:rsidRPr="00862B5C" w:rsidRDefault="00477F55" w:rsidP="00477F55">
      <w:pPr>
        <w:widowControl/>
        <w:spacing w:before="100" w:beforeAutospacing="1" w:after="100" w:afterAutospacing="1"/>
        <w:jc w:val="left"/>
        <w:rPr>
          <w:rFonts w:ascii="Times New Roman" w:hAnsi="Times New Roman" w:cs="Times New Roman"/>
          <w:b/>
          <w:bCs/>
          <w:sz w:val="24"/>
          <w:szCs w:val="28"/>
        </w:rPr>
      </w:pPr>
      <w:r w:rsidRPr="00862B5C">
        <w:rPr>
          <w:rFonts w:ascii="Times New Roman" w:hAnsi="Times New Roman" w:cs="Times New Roman"/>
          <w:b/>
          <w:bCs/>
          <w:sz w:val="24"/>
          <w:szCs w:val="28"/>
        </w:rPr>
        <w:t>Statistical Analysis:</w:t>
      </w:r>
    </w:p>
    <w:p w14:paraId="354D2787" w14:textId="77777777" w:rsidR="00477F55" w:rsidRPr="00862B5C" w:rsidRDefault="00477F55" w:rsidP="00477F55">
      <w:pPr>
        <w:pStyle w:val="a9"/>
        <w:widowControl/>
        <w:numPr>
          <w:ilvl w:val="0"/>
          <w:numId w:val="6"/>
        </w:numPr>
        <w:spacing w:before="100" w:beforeAutospacing="1" w:after="100" w:afterAutospacing="1"/>
        <w:ind w:firstLineChars="0"/>
        <w:jc w:val="left"/>
        <w:rPr>
          <w:rFonts w:ascii="Times New Roman" w:hAnsi="Times New Roman" w:cs="Times New Roman"/>
          <w:sz w:val="24"/>
          <w:szCs w:val="28"/>
        </w:rPr>
      </w:pPr>
      <w:r w:rsidRPr="00862B5C">
        <w:rPr>
          <w:rFonts w:ascii="Times New Roman" w:hAnsi="Times New Roman" w:cs="Times New Roman"/>
          <w:sz w:val="24"/>
          <w:szCs w:val="28"/>
        </w:rPr>
        <w:t>SPSS 23.0 used for data analysis.</w:t>
      </w:r>
    </w:p>
    <w:p w14:paraId="6BF23624" w14:textId="77777777" w:rsidR="00477F55" w:rsidRPr="00862B5C" w:rsidRDefault="00477F55" w:rsidP="00477F55">
      <w:pPr>
        <w:pStyle w:val="a9"/>
        <w:widowControl/>
        <w:numPr>
          <w:ilvl w:val="0"/>
          <w:numId w:val="6"/>
        </w:numPr>
        <w:spacing w:before="100" w:beforeAutospacing="1" w:after="100" w:afterAutospacing="1"/>
        <w:ind w:firstLineChars="0"/>
        <w:jc w:val="left"/>
        <w:rPr>
          <w:rFonts w:ascii="Times New Roman" w:hAnsi="Times New Roman" w:cs="Times New Roman"/>
          <w:sz w:val="24"/>
          <w:szCs w:val="28"/>
        </w:rPr>
      </w:pPr>
      <w:r w:rsidRPr="00862B5C">
        <w:rPr>
          <w:rFonts w:ascii="Times New Roman" w:hAnsi="Times New Roman" w:cs="Times New Roman"/>
          <w:sz w:val="24"/>
          <w:szCs w:val="28"/>
        </w:rPr>
        <w:t>Presentation of side effects as percentages; comparisons conducted using χ2 test.</w:t>
      </w:r>
    </w:p>
    <w:p w14:paraId="4613E396" w14:textId="77777777" w:rsidR="00477F55" w:rsidRPr="00862B5C" w:rsidRDefault="00477F55" w:rsidP="00477F55">
      <w:pPr>
        <w:pStyle w:val="a9"/>
        <w:widowControl/>
        <w:numPr>
          <w:ilvl w:val="0"/>
          <w:numId w:val="6"/>
        </w:numPr>
        <w:spacing w:before="100" w:beforeAutospacing="1" w:after="100" w:afterAutospacing="1"/>
        <w:ind w:firstLineChars="0"/>
        <w:jc w:val="left"/>
        <w:rPr>
          <w:rFonts w:ascii="Times New Roman" w:hAnsi="Times New Roman" w:cs="Times New Roman"/>
          <w:sz w:val="24"/>
          <w:szCs w:val="28"/>
        </w:rPr>
      </w:pPr>
      <w:r w:rsidRPr="00862B5C">
        <w:rPr>
          <w:rFonts w:ascii="Times New Roman" w:hAnsi="Times New Roman" w:cs="Times New Roman"/>
          <w:sz w:val="24"/>
          <w:szCs w:val="28"/>
        </w:rPr>
        <w:t>Baseline and operative characteristics presented as mean ± SD; analyzed with t-test or Mann-Whitney U test.</w:t>
      </w:r>
    </w:p>
    <w:p w14:paraId="040EC989" w14:textId="77777777" w:rsidR="00477F55" w:rsidRPr="00862B5C" w:rsidRDefault="00477F55" w:rsidP="00477F55">
      <w:pPr>
        <w:pStyle w:val="a9"/>
        <w:widowControl/>
        <w:numPr>
          <w:ilvl w:val="0"/>
          <w:numId w:val="6"/>
        </w:numPr>
        <w:spacing w:before="100" w:beforeAutospacing="1" w:after="100" w:afterAutospacing="1"/>
        <w:ind w:firstLineChars="0"/>
        <w:jc w:val="left"/>
        <w:rPr>
          <w:rFonts w:ascii="Times New Roman" w:hAnsi="Times New Roman" w:cs="Times New Roman"/>
          <w:sz w:val="24"/>
          <w:szCs w:val="28"/>
        </w:rPr>
      </w:pPr>
      <w:r w:rsidRPr="00862B5C">
        <w:rPr>
          <w:rFonts w:ascii="Times New Roman" w:hAnsi="Times New Roman" w:cs="Times New Roman"/>
          <w:sz w:val="24"/>
          <w:szCs w:val="28"/>
        </w:rPr>
        <w:t>Significance considered at P &lt; 0.05.</w:t>
      </w:r>
    </w:p>
    <w:p w14:paraId="0CA3EBC1" w14:textId="77777777" w:rsidR="00DB021E" w:rsidRPr="00DB021E" w:rsidRDefault="00DB021E" w:rsidP="00DB021E">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t>Quality assurance</w:t>
      </w:r>
    </w:p>
    <w:p w14:paraId="62940FA5" w14:textId="77777777" w:rsidR="006F7D69" w:rsidRPr="006F7D69" w:rsidRDefault="006F7D69" w:rsidP="006F7D69">
      <w:pPr>
        <w:widowControl/>
        <w:spacing w:before="100" w:beforeAutospacing="1" w:after="100" w:afterAutospacing="1"/>
        <w:jc w:val="left"/>
        <w:rPr>
          <w:rFonts w:ascii="Times New Roman" w:hAnsi="Times New Roman" w:cs="Times New Roman"/>
          <w:sz w:val="24"/>
          <w:szCs w:val="28"/>
        </w:rPr>
      </w:pPr>
      <w:r w:rsidRPr="006F7D69">
        <w:rPr>
          <w:rFonts w:ascii="Times New Roman" w:hAnsi="Times New Roman" w:cs="Times New Roman"/>
          <w:sz w:val="24"/>
          <w:szCs w:val="28"/>
        </w:rPr>
        <w:t>The Ethics Committee supervised the entire trial process and appointed a senior anesthesiologist to oversee the anesthesia procedure in case of emergencies.</w:t>
      </w:r>
    </w:p>
    <w:p w14:paraId="6C7C1F1F" w14:textId="34E22437" w:rsidR="00DB021E" w:rsidRPr="00DB021E" w:rsidRDefault="00DB021E" w:rsidP="00DB021E">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lastRenderedPageBreak/>
        <w:t>Expected outcomes of the study</w:t>
      </w:r>
    </w:p>
    <w:p w14:paraId="0FDA64B7" w14:textId="77777777" w:rsidR="00EA27F2" w:rsidRPr="00DF7D10" w:rsidRDefault="00EA27F2" w:rsidP="00EA27F2">
      <w:pPr>
        <w:rPr>
          <w:rFonts w:ascii="Times New Roman" w:hAnsi="Times New Roman" w:cs="Times New Roman"/>
        </w:rPr>
      </w:pPr>
      <w:r w:rsidRPr="00DF7D10">
        <w:rPr>
          <w:rFonts w:ascii="Times New Roman" w:hAnsi="Times New Roman" w:cs="Times New Roman"/>
        </w:rPr>
        <w:t>Anticipated outcomes involve the identification of the incremental analgesic benefits of 0.5µg/kg epidural dexmedetomidine in combination with ropivacaine for EA during cesarean section. Our findings demonstrate that this sedative dosage does not adversely affect mother-baby bonding or overall satisfaction. While satisfaction with anesthesia remains unaltered, the absence of significant side effects supports potential exploration of larger doses of epidural dexmedetomidine in future studies.</w:t>
      </w:r>
    </w:p>
    <w:p w14:paraId="55DBEA4C" w14:textId="77777777" w:rsidR="00DB021E" w:rsidRPr="00DB021E" w:rsidRDefault="00DB021E" w:rsidP="00DB021E">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t>Duration of the project</w:t>
      </w:r>
    </w:p>
    <w:p w14:paraId="70B8375A" w14:textId="526F91A8" w:rsidR="00DB021E" w:rsidRPr="00395916" w:rsidRDefault="00D0232D" w:rsidP="00DB021E">
      <w:pPr>
        <w:widowControl/>
        <w:spacing w:before="100" w:beforeAutospacing="1" w:after="100" w:afterAutospacing="1"/>
        <w:jc w:val="left"/>
        <w:rPr>
          <w:rFonts w:ascii="Times New Roman" w:hAnsi="Times New Roman" w:cs="Times New Roman"/>
        </w:rPr>
      </w:pPr>
      <w:r w:rsidRPr="00395916">
        <w:rPr>
          <w:rFonts w:ascii="Times New Roman" w:hAnsi="Times New Roman" w:cs="Times New Roman"/>
        </w:rPr>
        <w:t xml:space="preserve">The study was conducted from </w:t>
      </w:r>
      <w:r w:rsidR="007678F4" w:rsidRPr="00395916">
        <w:rPr>
          <w:rFonts w:ascii="Times New Roman" w:hAnsi="Times New Roman" w:cs="Times New Roman"/>
        </w:rPr>
        <w:t xml:space="preserve">between December 2020 and </w:t>
      </w:r>
      <w:r w:rsidR="007678F4" w:rsidRPr="00395916">
        <w:rPr>
          <w:rFonts w:ascii="Times New Roman" w:hAnsi="Times New Roman" w:cs="Times New Roman" w:hint="eastAsia"/>
        </w:rPr>
        <w:t>July</w:t>
      </w:r>
      <w:r w:rsidR="007678F4" w:rsidRPr="00395916">
        <w:rPr>
          <w:rFonts w:ascii="Times New Roman" w:hAnsi="Times New Roman" w:cs="Times New Roman"/>
        </w:rPr>
        <w:t xml:space="preserve"> 2021</w:t>
      </w:r>
      <w:r w:rsidR="00395916" w:rsidRPr="00395916">
        <w:rPr>
          <w:rFonts w:ascii="Times New Roman" w:hAnsi="Times New Roman" w:cs="Times New Roman"/>
        </w:rPr>
        <w:t>, with a follow-up period of three months for each participant after the surgery.</w:t>
      </w:r>
    </w:p>
    <w:p w14:paraId="66307E6A" w14:textId="77777777" w:rsidR="00DB021E" w:rsidRPr="00DB021E" w:rsidRDefault="00DB021E" w:rsidP="00DB021E">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t>Problems anticipated</w:t>
      </w:r>
    </w:p>
    <w:p w14:paraId="6E8A6CFC" w14:textId="77777777" w:rsidR="00300811" w:rsidRPr="00300811" w:rsidRDefault="00300811" w:rsidP="00DB021E">
      <w:pPr>
        <w:widowControl/>
        <w:spacing w:before="100" w:beforeAutospacing="1" w:after="100" w:afterAutospacing="1" w:line="300" w:lineRule="atLeast"/>
        <w:jc w:val="left"/>
        <w:outlineLvl w:val="2"/>
        <w:rPr>
          <w:rFonts w:ascii="Times New Roman" w:hAnsi="Times New Roman" w:cs="Times New Roman"/>
        </w:rPr>
      </w:pPr>
      <w:r w:rsidRPr="00300811">
        <w:rPr>
          <w:rFonts w:ascii="Times New Roman" w:hAnsi="Times New Roman" w:cs="Times New Roman"/>
        </w:rPr>
        <w:t>Not applicable</w:t>
      </w:r>
    </w:p>
    <w:p w14:paraId="46F53AB0" w14:textId="605D18B9" w:rsidR="00DB021E" w:rsidRPr="00DB021E" w:rsidRDefault="00DB021E" w:rsidP="00DB021E">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t>Project management</w:t>
      </w:r>
    </w:p>
    <w:p w14:paraId="780DC9A4" w14:textId="77777777" w:rsidR="00300811" w:rsidRPr="005B4E1F" w:rsidRDefault="00300811" w:rsidP="00300811">
      <w:pPr>
        <w:rPr>
          <w:rFonts w:ascii="Times New Roman" w:hAnsi="Times New Roman" w:cs="Times New Roman"/>
          <w:sz w:val="24"/>
          <w:szCs w:val="28"/>
        </w:rPr>
      </w:pPr>
      <w:bookmarkStart w:id="4" w:name="OLE_LINK34"/>
      <w:r w:rsidRPr="00E23255">
        <w:rPr>
          <w:rFonts w:ascii="Times New Roman" w:hAnsi="Times New Roman" w:cs="Times New Roman" w:hint="eastAsia"/>
          <w:b/>
          <w:bCs/>
          <w:szCs w:val="21"/>
        </w:rPr>
        <w:t>M</w:t>
      </w:r>
      <w:r>
        <w:rPr>
          <w:rFonts w:ascii="Times New Roman" w:hAnsi="Times New Roman" w:cs="Times New Roman" w:hint="eastAsia"/>
          <w:b/>
          <w:bCs/>
          <w:szCs w:val="21"/>
        </w:rPr>
        <w:t>inghao</w:t>
      </w:r>
      <w:r w:rsidRPr="00E23255">
        <w:rPr>
          <w:rFonts w:ascii="Times New Roman" w:hAnsi="Times New Roman" w:cs="Times New Roman"/>
          <w:b/>
          <w:bCs/>
          <w:szCs w:val="21"/>
        </w:rPr>
        <w:t xml:space="preserve"> L</w:t>
      </w:r>
      <w:r w:rsidRPr="00E23255">
        <w:rPr>
          <w:rFonts w:ascii="Times New Roman" w:hAnsi="Times New Roman" w:cs="Times New Roman" w:hint="eastAsia"/>
          <w:b/>
          <w:bCs/>
          <w:szCs w:val="21"/>
        </w:rPr>
        <w:t>iu</w:t>
      </w:r>
      <w:r w:rsidRPr="005B4E1F">
        <w:rPr>
          <w:rFonts w:ascii="Times New Roman" w:hAnsi="Times New Roman" w:cs="Times New Roman"/>
          <w:sz w:val="24"/>
          <w:szCs w:val="28"/>
        </w:rPr>
        <w:t xml:space="preserve"> collected, analyzed and interpreted all data and was a major contributor in writing the manuscript.</w:t>
      </w:r>
      <w:r w:rsidRPr="00FA7872">
        <w:rPr>
          <w:rFonts w:ascii="Times New Roman" w:hAnsi="Times New Roman" w:cs="Times New Roman"/>
          <w:b/>
          <w:bCs/>
          <w:szCs w:val="21"/>
        </w:rPr>
        <w:t xml:space="preserve"> </w:t>
      </w:r>
      <w:proofErr w:type="spellStart"/>
      <w:r>
        <w:rPr>
          <w:rFonts w:ascii="Times New Roman" w:hAnsi="Times New Roman" w:cs="Times New Roman"/>
          <w:b/>
          <w:bCs/>
          <w:szCs w:val="21"/>
        </w:rPr>
        <w:t>Xuezi</w:t>
      </w:r>
      <w:proofErr w:type="spellEnd"/>
      <w:r>
        <w:rPr>
          <w:rFonts w:ascii="Times New Roman" w:hAnsi="Times New Roman" w:cs="Times New Roman"/>
          <w:b/>
          <w:bCs/>
          <w:szCs w:val="21"/>
        </w:rPr>
        <w:t xml:space="preserve"> Chen</w:t>
      </w:r>
      <w:r w:rsidRPr="005B4E1F">
        <w:rPr>
          <w:rFonts w:ascii="Times New Roman" w:hAnsi="Times New Roman" w:cs="Times New Roman"/>
          <w:sz w:val="24"/>
          <w:szCs w:val="28"/>
        </w:rPr>
        <w:t xml:space="preserve"> enrolled the patients and guided informed </w:t>
      </w:r>
    </w:p>
    <w:p w14:paraId="43FD873F" w14:textId="77777777" w:rsidR="00300811" w:rsidRPr="005B4E1F" w:rsidRDefault="00300811" w:rsidP="00300811">
      <w:pPr>
        <w:rPr>
          <w:rFonts w:ascii="Times New Roman" w:hAnsi="Times New Roman" w:cs="Times New Roman"/>
          <w:sz w:val="24"/>
          <w:szCs w:val="28"/>
        </w:rPr>
      </w:pPr>
      <w:r w:rsidRPr="005B4E1F">
        <w:rPr>
          <w:rFonts w:ascii="Times New Roman" w:hAnsi="Times New Roman" w:cs="Times New Roman"/>
          <w:sz w:val="24"/>
          <w:szCs w:val="28"/>
        </w:rPr>
        <w:t xml:space="preserve">consent. </w:t>
      </w:r>
      <w:r>
        <w:rPr>
          <w:rFonts w:ascii="Times New Roman" w:hAnsi="Times New Roman" w:cs="Times New Roman"/>
          <w:b/>
          <w:bCs/>
          <w:szCs w:val="21"/>
        </w:rPr>
        <w:t>D</w:t>
      </w:r>
      <w:r>
        <w:rPr>
          <w:rFonts w:ascii="Times New Roman" w:hAnsi="Times New Roman" w:cs="Times New Roman" w:hint="eastAsia"/>
          <w:b/>
          <w:bCs/>
          <w:szCs w:val="21"/>
        </w:rPr>
        <w:t>an</w:t>
      </w:r>
      <w:r>
        <w:rPr>
          <w:rFonts w:ascii="Times New Roman" w:hAnsi="Times New Roman" w:cs="Times New Roman"/>
          <w:b/>
          <w:bCs/>
          <w:szCs w:val="21"/>
        </w:rPr>
        <w:t xml:space="preserve"> G</w:t>
      </w:r>
      <w:r>
        <w:rPr>
          <w:rFonts w:ascii="Times New Roman" w:hAnsi="Times New Roman" w:cs="Times New Roman" w:hint="eastAsia"/>
          <w:b/>
          <w:bCs/>
          <w:szCs w:val="21"/>
        </w:rPr>
        <w:t>uo</w:t>
      </w:r>
      <w:r w:rsidRPr="005B4E1F">
        <w:rPr>
          <w:rFonts w:ascii="Times New Roman" w:hAnsi="Times New Roman" w:cs="Times New Roman"/>
          <w:sz w:val="24"/>
          <w:szCs w:val="28"/>
        </w:rPr>
        <w:t xml:space="preserve"> conducted statistics and analysis of data</w:t>
      </w:r>
      <w:r>
        <w:rPr>
          <w:rFonts w:ascii="Times New Roman" w:hAnsi="Times New Roman" w:cs="Times New Roman"/>
          <w:sz w:val="24"/>
          <w:szCs w:val="28"/>
        </w:rPr>
        <w:t xml:space="preserve">, </w:t>
      </w:r>
      <w:r w:rsidRPr="005B4E1F">
        <w:rPr>
          <w:rFonts w:ascii="Times New Roman" w:hAnsi="Times New Roman" w:cs="Times New Roman"/>
          <w:sz w:val="24"/>
          <w:szCs w:val="28"/>
        </w:rPr>
        <w:t xml:space="preserve">guided paper writing </w:t>
      </w:r>
    </w:p>
    <w:p w14:paraId="703A60AA" w14:textId="77777777" w:rsidR="00300811" w:rsidRDefault="00300811" w:rsidP="00300811">
      <w:pPr>
        <w:rPr>
          <w:rFonts w:ascii="Times New Roman" w:hAnsi="Times New Roman" w:cs="Times New Roman"/>
          <w:sz w:val="24"/>
          <w:szCs w:val="28"/>
        </w:rPr>
      </w:pPr>
      <w:r w:rsidRPr="005B4E1F">
        <w:rPr>
          <w:rFonts w:ascii="Times New Roman" w:hAnsi="Times New Roman" w:cs="Times New Roman"/>
          <w:sz w:val="24"/>
          <w:szCs w:val="28"/>
        </w:rPr>
        <w:t>and provided f</w:t>
      </w:r>
      <w:r>
        <w:rPr>
          <w:rFonts w:ascii="Times New Roman" w:hAnsi="Times New Roman" w:cs="Times New Roman"/>
          <w:sz w:val="24"/>
          <w:szCs w:val="28"/>
        </w:rPr>
        <w:t>i</w:t>
      </w:r>
      <w:r w:rsidRPr="005B4E1F">
        <w:rPr>
          <w:rFonts w:ascii="Times New Roman" w:hAnsi="Times New Roman" w:cs="Times New Roman"/>
          <w:sz w:val="24"/>
          <w:szCs w:val="28"/>
        </w:rPr>
        <w:t>nancial</w:t>
      </w:r>
      <w:r>
        <w:rPr>
          <w:rFonts w:ascii="Times New Roman" w:hAnsi="Times New Roman" w:cs="Times New Roman"/>
          <w:sz w:val="24"/>
          <w:szCs w:val="28"/>
        </w:rPr>
        <w:t xml:space="preserve"> </w:t>
      </w:r>
      <w:r w:rsidRPr="005B4E1F">
        <w:rPr>
          <w:rFonts w:ascii="Times New Roman" w:hAnsi="Times New Roman" w:cs="Times New Roman"/>
          <w:sz w:val="24"/>
          <w:szCs w:val="28"/>
        </w:rPr>
        <w:t>and technical support.</w:t>
      </w:r>
    </w:p>
    <w:bookmarkEnd w:id="4"/>
    <w:p w14:paraId="552B4CB8" w14:textId="77777777" w:rsidR="00DB021E" w:rsidRPr="00DB021E" w:rsidRDefault="00DB021E" w:rsidP="00DB021E">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t>Ethics</w:t>
      </w:r>
    </w:p>
    <w:p w14:paraId="14D48A1A" w14:textId="265C5645" w:rsidR="008A0AA1" w:rsidRDefault="008A0AA1" w:rsidP="008A0AA1">
      <w:pPr>
        <w:rPr>
          <w:rFonts w:ascii="Times New Roman" w:hAnsi="Times New Roman" w:cs="Times New Roman"/>
          <w:sz w:val="24"/>
          <w:szCs w:val="28"/>
        </w:rPr>
      </w:pPr>
      <w:r w:rsidRPr="0029766F">
        <w:rPr>
          <w:rFonts w:ascii="Times New Roman" w:hAnsi="Times New Roman" w:cs="Times New Roman"/>
          <w:sz w:val="24"/>
          <w:szCs w:val="28"/>
        </w:rPr>
        <w:t>This study</w:t>
      </w:r>
      <w:r>
        <w:rPr>
          <w:rFonts w:ascii="Times New Roman" w:hAnsi="Times New Roman" w:cs="Times New Roman"/>
          <w:sz w:val="24"/>
          <w:szCs w:val="28"/>
        </w:rPr>
        <w:t xml:space="preserve"> </w:t>
      </w:r>
      <w:r w:rsidRPr="0029766F">
        <w:rPr>
          <w:rFonts w:ascii="Times New Roman" w:hAnsi="Times New Roman" w:cs="Times New Roman"/>
          <w:sz w:val="24"/>
          <w:szCs w:val="28"/>
        </w:rPr>
        <w:t xml:space="preserve">was accredited by the Ethics Committee of The First Affiliated Hospital of Chongqing Medical University. Participants were well-informed of the study protocol and written </w:t>
      </w:r>
      <w:r w:rsidR="00F31569" w:rsidRPr="00F31569">
        <w:rPr>
          <w:rFonts w:ascii="Times New Roman" w:hAnsi="Times New Roman" w:cs="Times New Roman"/>
          <w:sz w:val="24"/>
          <w:szCs w:val="28"/>
        </w:rPr>
        <w:t>informed</w:t>
      </w:r>
      <w:r w:rsidR="00F31569">
        <w:rPr>
          <w:rFonts w:ascii="Times New Roman" w:hAnsi="Times New Roman" w:cs="Times New Roman"/>
          <w:sz w:val="24"/>
          <w:szCs w:val="28"/>
        </w:rPr>
        <w:t xml:space="preserve"> </w:t>
      </w:r>
      <w:r w:rsidRPr="0029766F">
        <w:rPr>
          <w:rFonts w:ascii="Times New Roman" w:hAnsi="Times New Roman" w:cs="Times New Roman"/>
          <w:sz w:val="24"/>
          <w:szCs w:val="28"/>
        </w:rPr>
        <w:t>consent was taken from all the participants present in the study</w:t>
      </w:r>
      <w:r>
        <w:rPr>
          <w:rFonts w:ascii="Times New Roman" w:hAnsi="Times New Roman" w:cs="Times New Roman"/>
          <w:sz w:val="24"/>
          <w:szCs w:val="28"/>
        </w:rPr>
        <w:t>.</w:t>
      </w:r>
    </w:p>
    <w:p w14:paraId="05EA115E" w14:textId="77777777" w:rsidR="00DB021E" w:rsidRPr="00DB021E" w:rsidRDefault="00DB021E" w:rsidP="00DB021E">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t>Informed consent forms</w:t>
      </w:r>
    </w:p>
    <w:p w14:paraId="30A155D2" w14:textId="77777777" w:rsidR="00D10128" w:rsidRDefault="00D10128" w:rsidP="00DB021E">
      <w:pPr>
        <w:widowControl/>
        <w:spacing w:before="100" w:beforeAutospacing="1" w:after="100" w:afterAutospacing="1"/>
        <w:jc w:val="left"/>
        <w:rPr>
          <w:rFonts w:ascii="Segoe UI" w:hAnsi="Segoe UI" w:cs="Segoe UI"/>
          <w:color w:val="374151"/>
        </w:rPr>
      </w:pPr>
      <w:r w:rsidRPr="00D10128">
        <w:rPr>
          <w:rFonts w:ascii="Segoe UI" w:hAnsi="Segoe UI" w:cs="Segoe UI" w:hint="eastAsia"/>
          <w:b/>
          <w:bCs/>
          <w:color w:val="374151"/>
        </w:rPr>
        <w:t>background</w:t>
      </w:r>
      <w:r w:rsidR="00E60658" w:rsidRPr="00D10128">
        <w:rPr>
          <w:rFonts w:ascii="Segoe UI" w:hAnsi="Segoe UI" w:cs="Segoe UI" w:hint="eastAsia"/>
          <w:color w:val="374151"/>
        </w:rPr>
        <w:t>：</w:t>
      </w:r>
    </w:p>
    <w:p w14:paraId="4A7A4886" w14:textId="77777777" w:rsidR="008F01CE" w:rsidRPr="00904CED" w:rsidRDefault="003A2DAA" w:rsidP="003A2DAA">
      <w:pPr>
        <w:widowControl/>
        <w:spacing w:before="100" w:beforeAutospacing="1" w:after="100" w:afterAutospacing="1"/>
        <w:jc w:val="left"/>
        <w:rPr>
          <w:rFonts w:ascii="Times New Roman" w:hAnsi="Times New Roman" w:cs="Times New Roman"/>
          <w:sz w:val="24"/>
          <w:szCs w:val="28"/>
        </w:rPr>
      </w:pPr>
      <w:r w:rsidRPr="00904CED">
        <w:rPr>
          <w:rFonts w:ascii="Times New Roman" w:hAnsi="Times New Roman" w:cs="Times New Roman"/>
          <w:sz w:val="24"/>
          <w:szCs w:val="28"/>
        </w:rPr>
        <w:t xml:space="preserve">Cesarean sections often use epidural anesthesia (EA) due to its advantages, but it has limitations. Combining adjuvants like </w:t>
      </w:r>
      <w:proofErr w:type="spellStart"/>
      <w:r w:rsidRPr="00904CED">
        <w:rPr>
          <w:rFonts w:ascii="Times New Roman" w:hAnsi="Times New Roman" w:cs="Times New Roman"/>
          <w:sz w:val="24"/>
          <w:szCs w:val="28"/>
        </w:rPr>
        <w:t>sufentanil</w:t>
      </w:r>
      <w:proofErr w:type="spellEnd"/>
      <w:r w:rsidRPr="00904CED">
        <w:rPr>
          <w:rFonts w:ascii="Times New Roman" w:hAnsi="Times New Roman" w:cs="Times New Roman"/>
          <w:sz w:val="24"/>
          <w:szCs w:val="28"/>
        </w:rPr>
        <w:t xml:space="preserve"> helps, but opioids have side effects. Sedation is promising for reducing opioid use and improving patient satisfaction. Early skin-to-skin contact is vital in obstetrics, but inappropriate sedation can impact it. Dexmedetomidine, an α2 agonist, has proven effective in intrathecal administration </w:t>
      </w:r>
      <w:r w:rsidRPr="00904CED">
        <w:rPr>
          <w:rFonts w:ascii="Times New Roman" w:hAnsi="Times New Roman" w:cs="Times New Roman"/>
          <w:sz w:val="24"/>
          <w:szCs w:val="28"/>
        </w:rPr>
        <w:lastRenderedPageBreak/>
        <w:t xml:space="preserve">with local anesthetics for cesarean sections. However, combining epidural dexmedetomidine with local anesthetic in this context needs more understanding. </w:t>
      </w:r>
    </w:p>
    <w:p w14:paraId="340DE7E9" w14:textId="0C91A52C" w:rsidR="003A2DAA" w:rsidRPr="00904CED" w:rsidRDefault="003A2DAA" w:rsidP="003A2DAA">
      <w:pPr>
        <w:widowControl/>
        <w:spacing w:before="100" w:beforeAutospacing="1" w:after="100" w:afterAutospacing="1"/>
        <w:jc w:val="left"/>
        <w:rPr>
          <w:rFonts w:ascii="Times New Roman" w:hAnsi="Times New Roman" w:cs="Times New Roman"/>
          <w:sz w:val="24"/>
          <w:szCs w:val="28"/>
        </w:rPr>
      </w:pPr>
      <w:r w:rsidRPr="00904CED">
        <w:rPr>
          <w:rFonts w:ascii="Times New Roman" w:hAnsi="Times New Roman" w:cs="Times New Roman"/>
          <w:sz w:val="24"/>
          <w:szCs w:val="28"/>
        </w:rPr>
        <w:t>Our study aims to investigate the effectiveness of epidural dexmedetomidine with ropivacaine in cesarean sections under epidural anesthesia. Addressing knowledge gaps, it provides insights into optimizing dexmedetomidine use, contributing valuable information for better anesthesia outcomes in cesarean deliveries.</w:t>
      </w:r>
    </w:p>
    <w:p w14:paraId="3BA712D4" w14:textId="77777777" w:rsidR="009E26C0" w:rsidRPr="009E26C0" w:rsidRDefault="009E26C0" w:rsidP="00B24C1F">
      <w:pPr>
        <w:widowControl/>
        <w:spacing w:before="100" w:beforeAutospacing="1" w:after="100" w:afterAutospacing="1"/>
        <w:jc w:val="left"/>
        <w:rPr>
          <w:rFonts w:ascii="Segoe UI" w:hAnsi="Segoe UI" w:cs="Segoe UI"/>
          <w:b/>
          <w:bCs/>
          <w:color w:val="374151"/>
        </w:rPr>
      </w:pPr>
      <w:r w:rsidRPr="009E26C0">
        <w:rPr>
          <w:rFonts w:ascii="Segoe UI" w:hAnsi="Segoe UI" w:cs="Segoe UI"/>
          <w:b/>
          <w:bCs/>
          <w:color w:val="374151"/>
        </w:rPr>
        <w:t>research process</w:t>
      </w:r>
      <w:r w:rsidRPr="009E26C0">
        <w:rPr>
          <w:rFonts w:ascii="Segoe UI" w:hAnsi="Segoe UI" w:cs="Segoe UI" w:hint="eastAsia"/>
          <w:b/>
          <w:bCs/>
          <w:color w:val="374151"/>
        </w:rPr>
        <w:t>：</w:t>
      </w:r>
    </w:p>
    <w:p w14:paraId="3CFF1A8E" w14:textId="43A8BEA8" w:rsidR="00B24C1F" w:rsidRPr="00904CED" w:rsidRDefault="00B24C1F" w:rsidP="00B24C1F">
      <w:pPr>
        <w:widowControl/>
        <w:spacing w:before="100" w:beforeAutospacing="1" w:after="100" w:afterAutospacing="1"/>
        <w:jc w:val="left"/>
        <w:rPr>
          <w:rFonts w:ascii="Times New Roman" w:hAnsi="Times New Roman" w:cs="Times New Roman"/>
          <w:sz w:val="24"/>
          <w:szCs w:val="28"/>
        </w:rPr>
      </w:pPr>
      <w:proofErr w:type="spellStart"/>
      <w:r w:rsidRPr="00904CED">
        <w:rPr>
          <w:rFonts w:ascii="Times New Roman" w:hAnsi="Times New Roman" w:cs="Times New Roman"/>
          <w:sz w:val="24"/>
          <w:szCs w:val="28"/>
        </w:rPr>
        <w:t>Parturients</w:t>
      </w:r>
      <w:proofErr w:type="spellEnd"/>
      <w:r w:rsidRPr="00904CED">
        <w:rPr>
          <w:rFonts w:ascii="Times New Roman" w:hAnsi="Times New Roman" w:cs="Times New Roman"/>
          <w:sz w:val="24"/>
          <w:szCs w:val="28"/>
        </w:rPr>
        <w:t xml:space="preserve"> were randomly assigned in a 1:1 ratio to either Group R (epidural 90mg ropivacaine) or Group RD (90mg ropivacaine with 0.5μg/kg dexmedetomidine). The anesthesia procedure included epidural puncture at the 2-3 lumbar interspace in the right lateral decubitus position, with an epidural catheter inserted 4cm cephalad, followed by the administration of a test dose of 3 mL 1% lidocaine. Group-specific medication was then administered based on the randomization. Monitoring and interventions involved standard procedures upon arrival in the operating room, intraoperative assessments, including pain severity (NRS), sedation (Ramsay Sedation Scale), vital signs, and the recording of side effects. Interventions for pain and sedation were implemented as necessary, with specific timepoints (T0 to T4) defined for assessments during the procedure.</w:t>
      </w:r>
    </w:p>
    <w:p w14:paraId="63FFD6BD" w14:textId="77777777" w:rsidR="00820ED9" w:rsidRPr="00820ED9" w:rsidRDefault="00820ED9" w:rsidP="00B24C1F">
      <w:pPr>
        <w:widowControl/>
        <w:spacing w:before="100" w:beforeAutospacing="1" w:after="100" w:afterAutospacing="1"/>
        <w:jc w:val="left"/>
        <w:rPr>
          <w:rFonts w:ascii="Segoe UI" w:hAnsi="Segoe UI" w:cs="Segoe UI"/>
          <w:b/>
          <w:bCs/>
          <w:color w:val="374151"/>
        </w:rPr>
      </w:pPr>
      <w:r w:rsidRPr="00820ED9">
        <w:rPr>
          <w:rFonts w:ascii="Segoe UI" w:hAnsi="Segoe UI" w:cs="Segoe UI"/>
          <w:b/>
          <w:bCs/>
          <w:color w:val="374151"/>
        </w:rPr>
        <w:t>Potential Benefits of the Study</w:t>
      </w:r>
      <w:r w:rsidRPr="00820ED9">
        <w:rPr>
          <w:rFonts w:ascii="Segoe UI" w:hAnsi="Segoe UI" w:cs="Segoe UI" w:hint="eastAsia"/>
          <w:b/>
          <w:bCs/>
          <w:color w:val="374151"/>
        </w:rPr>
        <w:t>：</w:t>
      </w:r>
    </w:p>
    <w:p w14:paraId="7B134C9E" w14:textId="1B4C9514" w:rsidR="00F74E43" w:rsidRPr="00904CED" w:rsidRDefault="00F74E43" w:rsidP="00B24C1F">
      <w:pPr>
        <w:widowControl/>
        <w:spacing w:before="100" w:beforeAutospacing="1" w:after="100" w:afterAutospacing="1"/>
        <w:jc w:val="left"/>
        <w:rPr>
          <w:rFonts w:ascii="Times New Roman" w:hAnsi="Times New Roman" w:cs="Times New Roman"/>
          <w:sz w:val="24"/>
          <w:szCs w:val="28"/>
        </w:rPr>
      </w:pPr>
      <w:r w:rsidRPr="00904CED">
        <w:rPr>
          <w:rFonts w:ascii="Times New Roman" w:hAnsi="Times New Roman" w:cs="Times New Roman"/>
          <w:sz w:val="24"/>
          <w:szCs w:val="28"/>
        </w:rPr>
        <w:t>You will receive one-on-one anesthesia services, and we will cover the cost of your anesthesia medications. According to previous literature, this is expected to result in an improved anesthesia outcome for you.</w:t>
      </w:r>
    </w:p>
    <w:p w14:paraId="0D1977D7" w14:textId="3C4E3485" w:rsidR="008F3831" w:rsidRPr="008F3831" w:rsidRDefault="008F3831" w:rsidP="00D74919">
      <w:pPr>
        <w:widowControl/>
        <w:spacing w:before="100" w:beforeAutospacing="1" w:after="100" w:afterAutospacing="1"/>
        <w:jc w:val="left"/>
        <w:rPr>
          <w:rFonts w:ascii="Segoe UI" w:hAnsi="Segoe UI" w:cs="Segoe UI"/>
          <w:b/>
          <w:bCs/>
          <w:color w:val="374151"/>
        </w:rPr>
      </w:pPr>
      <w:r w:rsidRPr="008F3831">
        <w:rPr>
          <w:rFonts w:ascii="Segoe UI" w:hAnsi="Segoe UI" w:cs="Segoe UI"/>
          <w:b/>
          <w:bCs/>
          <w:color w:val="374151"/>
        </w:rPr>
        <w:t xml:space="preserve">Risks and Discomforts </w:t>
      </w:r>
      <w:r>
        <w:rPr>
          <w:rFonts w:ascii="Segoe UI" w:hAnsi="Segoe UI" w:cs="Segoe UI" w:hint="eastAsia"/>
          <w:b/>
          <w:bCs/>
          <w:color w:val="374151"/>
        </w:rPr>
        <w:t>during</w:t>
      </w:r>
      <w:r w:rsidRPr="008F3831">
        <w:rPr>
          <w:rFonts w:ascii="Segoe UI" w:hAnsi="Segoe UI" w:cs="Segoe UI"/>
          <w:b/>
          <w:bCs/>
          <w:color w:val="374151"/>
        </w:rPr>
        <w:t xml:space="preserve"> the Study</w:t>
      </w:r>
      <w:r w:rsidRPr="008F3831">
        <w:rPr>
          <w:rFonts w:ascii="Segoe UI" w:hAnsi="Segoe UI" w:cs="Segoe UI" w:hint="eastAsia"/>
          <w:b/>
          <w:bCs/>
          <w:color w:val="374151"/>
        </w:rPr>
        <w:t>：</w:t>
      </w:r>
    </w:p>
    <w:p w14:paraId="74B3D0F6" w14:textId="726AFA83" w:rsidR="00D74919" w:rsidRPr="00904CED" w:rsidRDefault="00D74919" w:rsidP="00D74919">
      <w:pPr>
        <w:widowControl/>
        <w:spacing w:before="100" w:beforeAutospacing="1" w:after="100" w:afterAutospacing="1"/>
        <w:jc w:val="left"/>
        <w:rPr>
          <w:rFonts w:ascii="Times New Roman" w:hAnsi="Times New Roman" w:cs="Times New Roman"/>
          <w:sz w:val="24"/>
          <w:szCs w:val="28"/>
        </w:rPr>
      </w:pPr>
      <w:r w:rsidRPr="00904CED">
        <w:rPr>
          <w:rFonts w:ascii="Times New Roman" w:hAnsi="Times New Roman" w:cs="Times New Roman"/>
          <w:sz w:val="24"/>
          <w:szCs w:val="28"/>
        </w:rPr>
        <w:t>The dose of dexmedetomidine used in this study falls within a safe and effective range. Adverse risks during the procedure may include bradycardia, hypertension or hypotension, and intolerable pain; postoperatively, there may be risks such as bleeding at the anastomotic site and surgical site infection. The occurrence of adverse reactions is not significantly related to participation in this study; even without participating, these adverse reactions may still occur. Adverse reactions are assessed based on the following criteria, and appropriate treatment is provided even if they are unrelated to the trial:</w:t>
      </w:r>
    </w:p>
    <w:p w14:paraId="714B7422" w14:textId="77777777" w:rsidR="00D74919" w:rsidRPr="00904CED" w:rsidRDefault="00D74919" w:rsidP="00D74919">
      <w:pPr>
        <w:widowControl/>
        <w:spacing w:before="100" w:beforeAutospacing="1" w:after="100" w:afterAutospacing="1"/>
        <w:jc w:val="left"/>
        <w:rPr>
          <w:rFonts w:ascii="Times New Roman" w:hAnsi="Times New Roman" w:cs="Times New Roman"/>
          <w:sz w:val="24"/>
          <w:szCs w:val="28"/>
        </w:rPr>
      </w:pPr>
      <w:r w:rsidRPr="00904CED">
        <w:rPr>
          <w:rFonts w:ascii="Times New Roman" w:hAnsi="Times New Roman" w:cs="Times New Roman"/>
          <w:sz w:val="24"/>
          <w:szCs w:val="28"/>
        </w:rPr>
        <w:t>Definitely related: There is evidence of trial intervention; the timing of the adverse event is credible and correlates with the trial intervention; the trial intervention is a more plausible explanation for the occurrence of the adverse event than other reasons; a positive response to stopping the intervention; the pattern of adverse events is consistent with prior knowledge of this type of intervention.</w:t>
      </w:r>
    </w:p>
    <w:p w14:paraId="53581A3A" w14:textId="77777777" w:rsidR="00D74919" w:rsidRPr="00904CED" w:rsidRDefault="00D74919" w:rsidP="00D74919">
      <w:pPr>
        <w:widowControl/>
        <w:spacing w:before="100" w:beforeAutospacing="1" w:after="100" w:afterAutospacing="1"/>
        <w:jc w:val="left"/>
        <w:rPr>
          <w:rFonts w:ascii="Times New Roman" w:hAnsi="Times New Roman" w:cs="Times New Roman"/>
          <w:sz w:val="24"/>
          <w:szCs w:val="28"/>
        </w:rPr>
      </w:pPr>
      <w:r w:rsidRPr="00904CED">
        <w:rPr>
          <w:rFonts w:ascii="Times New Roman" w:hAnsi="Times New Roman" w:cs="Times New Roman"/>
          <w:sz w:val="24"/>
          <w:szCs w:val="28"/>
        </w:rPr>
        <w:lastRenderedPageBreak/>
        <w:t>Possibly related: There is evidence of trial intervention; the timing of the adverse event is credible and correlates with the trial intervention; the adverse event may be caused by the trial intervention or other reasons; a positive response to stopping the intervention.</w:t>
      </w:r>
    </w:p>
    <w:p w14:paraId="09979D62" w14:textId="77777777" w:rsidR="00D74919" w:rsidRPr="00904CED" w:rsidRDefault="00D74919" w:rsidP="00D74919">
      <w:pPr>
        <w:widowControl/>
        <w:spacing w:before="100" w:beforeAutospacing="1" w:after="100" w:afterAutospacing="1"/>
        <w:jc w:val="left"/>
        <w:rPr>
          <w:rFonts w:ascii="Times New Roman" w:hAnsi="Times New Roman" w:cs="Times New Roman"/>
          <w:sz w:val="24"/>
          <w:szCs w:val="28"/>
        </w:rPr>
      </w:pPr>
      <w:r w:rsidRPr="00904CED">
        <w:rPr>
          <w:rFonts w:ascii="Times New Roman" w:hAnsi="Times New Roman" w:cs="Times New Roman"/>
          <w:sz w:val="24"/>
          <w:szCs w:val="28"/>
        </w:rPr>
        <w:t>Possibly unrelated: There is evidence of trial intervention; the adverse event is more likely caused by other reasons; a negative or ambiguous response to stopping the intervention.</w:t>
      </w:r>
    </w:p>
    <w:p w14:paraId="208AF737" w14:textId="77777777" w:rsidR="00D74919" w:rsidRPr="00904CED" w:rsidRDefault="00D74919" w:rsidP="00D74919">
      <w:pPr>
        <w:widowControl/>
        <w:spacing w:before="100" w:beforeAutospacing="1" w:after="100" w:afterAutospacing="1"/>
        <w:jc w:val="left"/>
        <w:rPr>
          <w:rFonts w:ascii="Times New Roman" w:hAnsi="Times New Roman" w:cs="Times New Roman"/>
          <w:sz w:val="24"/>
          <w:szCs w:val="28"/>
        </w:rPr>
      </w:pPr>
      <w:r w:rsidRPr="00904CED">
        <w:rPr>
          <w:rFonts w:ascii="Times New Roman" w:hAnsi="Times New Roman" w:cs="Times New Roman"/>
          <w:sz w:val="24"/>
          <w:szCs w:val="28"/>
        </w:rPr>
        <w:t>Definitely unrelated: The patient did not receive trial intervention; or the timing of the adverse event is not credible in relation to the trial intervention; or there are other significant reasons for the adverse event.</w:t>
      </w:r>
    </w:p>
    <w:p w14:paraId="7F22BFBB" w14:textId="7BA09A0D" w:rsidR="00991BF0" w:rsidRPr="00904CED" w:rsidRDefault="00D74919" w:rsidP="00D74919">
      <w:pPr>
        <w:widowControl/>
        <w:spacing w:before="100" w:beforeAutospacing="1" w:after="100" w:afterAutospacing="1"/>
        <w:jc w:val="left"/>
        <w:rPr>
          <w:rFonts w:ascii="Times New Roman" w:hAnsi="Times New Roman" w:cs="Times New Roman"/>
          <w:sz w:val="24"/>
          <w:szCs w:val="28"/>
        </w:rPr>
      </w:pPr>
      <w:r w:rsidRPr="00904CED">
        <w:rPr>
          <w:rFonts w:ascii="Times New Roman" w:hAnsi="Times New Roman" w:cs="Times New Roman"/>
          <w:sz w:val="24"/>
          <w:szCs w:val="28"/>
        </w:rPr>
        <w:t>Uncertain: If a suspected adverse reaction cannot be evaluated using the above four criteria, it is deemed uncertain. Close observation and monitoring of patients are essential during the perioperative period. Throughout the study, Associate Professor Wang Bin from the Department of Anesthesiology at the First Affiliated Hospital of Chongqing Medical University is responsible for medical supervision and the safety of subjects. In case of adverse events, detailed records of the specific circumstances and relevant measures taken should be made, and patient data should be preserved.</w:t>
      </w:r>
    </w:p>
    <w:p w14:paraId="66D078E9" w14:textId="77777777" w:rsidR="00F43F45" w:rsidRPr="005C7171" w:rsidRDefault="00F43F45" w:rsidP="00F43F45">
      <w:pPr>
        <w:widowControl/>
        <w:spacing w:before="100" w:beforeAutospacing="1" w:after="100" w:afterAutospacing="1"/>
        <w:jc w:val="left"/>
        <w:rPr>
          <w:rFonts w:ascii="Segoe UI" w:hAnsi="Segoe UI" w:cs="Segoe UI"/>
          <w:b/>
          <w:bCs/>
          <w:color w:val="374151"/>
        </w:rPr>
      </w:pPr>
      <w:r w:rsidRPr="005C7171">
        <w:rPr>
          <w:rFonts w:ascii="Segoe UI" w:hAnsi="Segoe UI" w:cs="Segoe UI"/>
          <w:b/>
          <w:bCs/>
          <w:color w:val="374151"/>
        </w:rPr>
        <w:t>Privacy Issues:</w:t>
      </w:r>
    </w:p>
    <w:p w14:paraId="66BB74AF" w14:textId="77777777" w:rsidR="00F43F45" w:rsidRPr="00904CED" w:rsidRDefault="00F43F45" w:rsidP="00F43F45">
      <w:pPr>
        <w:widowControl/>
        <w:spacing w:before="100" w:beforeAutospacing="1" w:after="100" w:afterAutospacing="1"/>
        <w:jc w:val="left"/>
        <w:rPr>
          <w:rFonts w:ascii="Times New Roman" w:hAnsi="Times New Roman" w:cs="Times New Roman"/>
          <w:sz w:val="24"/>
          <w:szCs w:val="28"/>
        </w:rPr>
      </w:pPr>
      <w:r w:rsidRPr="00904CED">
        <w:rPr>
          <w:rFonts w:ascii="Times New Roman" w:hAnsi="Times New Roman" w:cs="Times New Roman"/>
          <w:sz w:val="24"/>
          <w:szCs w:val="28"/>
        </w:rPr>
        <w:t>If you decide to participate in this study, all relevant data, including identity information and complete personal medical records, will be treated as confidential documents and processed accordingly. The data verification process will be conducted with the utmost confidentiality. Members of the research team will keep confidential any related information and results from the study, and unless you agree, any information that can identify you will not be disclosed to anyone outside the research team. After the trial is completed, all case report forms will be filled out, reviewed, and signed by the researchers and monitors according to the data management requirements of this protocol. Along with the "Informed Consent Form," they will be handed over to a designated person in the department for storage. All research-related documents must be retained for at least 15 years after the study concludes. After this time period, with the consent of the First Affiliated Hospital of Chongqing Medical University, we will proceed with the destruction of these materials. Additionally, when the results of this study are published, we will also strictly maintain the confidentiality of your relevant information.</w:t>
      </w:r>
    </w:p>
    <w:p w14:paraId="619350EA" w14:textId="77777777" w:rsidR="00F43F45" w:rsidRPr="005C0D3D" w:rsidRDefault="00F43F45" w:rsidP="00F43F45">
      <w:pPr>
        <w:widowControl/>
        <w:spacing w:before="100" w:beforeAutospacing="1" w:after="100" w:afterAutospacing="1"/>
        <w:jc w:val="left"/>
        <w:rPr>
          <w:rFonts w:ascii="Segoe UI" w:hAnsi="Segoe UI" w:cs="Segoe UI"/>
          <w:b/>
          <w:bCs/>
          <w:color w:val="374151"/>
        </w:rPr>
      </w:pPr>
      <w:r w:rsidRPr="005C0D3D">
        <w:rPr>
          <w:rFonts w:ascii="Segoe UI" w:hAnsi="Segoe UI" w:cs="Segoe UI"/>
          <w:b/>
          <w:bCs/>
          <w:color w:val="374151"/>
        </w:rPr>
        <w:t>Costs and Compensation:</w:t>
      </w:r>
    </w:p>
    <w:p w14:paraId="6B941B83" w14:textId="77777777" w:rsidR="00F43F45" w:rsidRPr="00904CED" w:rsidRDefault="00F43F45" w:rsidP="00F43F45">
      <w:pPr>
        <w:widowControl/>
        <w:spacing w:before="100" w:beforeAutospacing="1" w:after="100" w:afterAutospacing="1"/>
        <w:jc w:val="left"/>
        <w:rPr>
          <w:rFonts w:ascii="Times New Roman" w:hAnsi="Times New Roman" w:cs="Times New Roman"/>
          <w:sz w:val="24"/>
          <w:szCs w:val="28"/>
        </w:rPr>
      </w:pPr>
      <w:r w:rsidRPr="00904CED">
        <w:rPr>
          <w:rFonts w:ascii="Times New Roman" w:hAnsi="Times New Roman" w:cs="Times New Roman"/>
          <w:sz w:val="24"/>
          <w:szCs w:val="28"/>
        </w:rPr>
        <w:t xml:space="preserve">This study involves data collection under the current commonly used and more effective treatment methods, without interfering with your other treatments, and will not incur additional medical expenses. The costs of various tests and assessments required for this study will be covered by our research team. If you experience any </w:t>
      </w:r>
      <w:r w:rsidRPr="00904CED">
        <w:rPr>
          <w:rFonts w:ascii="Times New Roman" w:hAnsi="Times New Roman" w:cs="Times New Roman"/>
          <w:sz w:val="24"/>
          <w:szCs w:val="28"/>
        </w:rPr>
        <w:lastRenderedPageBreak/>
        <w:t>harm due to participating in this study, such as severe adverse reactions, you will receive free treatment for the severe adverse reactions and corresponding compensation. The treatment and compensation costs will be provided by our research team.</w:t>
      </w:r>
    </w:p>
    <w:p w14:paraId="420A0EBB" w14:textId="77777777" w:rsidR="00F43F45" w:rsidRPr="005C0D3D" w:rsidRDefault="00F43F45" w:rsidP="00F43F45">
      <w:pPr>
        <w:widowControl/>
        <w:spacing w:before="100" w:beforeAutospacing="1" w:after="100" w:afterAutospacing="1"/>
        <w:jc w:val="left"/>
        <w:rPr>
          <w:rFonts w:ascii="Segoe UI" w:hAnsi="Segoe UI" w:cs="Segoe UI"/>
          <w:b/>
          <w:bCs/>
          <w:color w:val="374151"/>
        </w:rPr>
      </w:pPr>
      <w:r w:rsidRPr="005C0D3D">
        <w:rPr>
          <w:rFonts w:ascii="Segoe UI" w:hAnsi="Segoe UI" w:cs="Segoe UI"/>
          <w:b/>
          <w:bCs/>
          <w:color w:val="374151"/>
        </w:rPr>
        <w:t>Voluntary Withdrawal:</w:t>
      </w:r>
    </w:p>
    <w:p w14:paraId="0ED31F84" w14:textId="230BDA87" w:rsidR="00F43F45" w:rsidRPr="00904CED" w:rsidRDefault="00F43F45" w:rsidP="00F43F45">
      <w:pPr>
        <w:widowControl/>
        <w:spacing w:before="100" w:beforeAutospacing="1" w:after="100" w:afterAutospacing="1"/>
        <w:jc w:val="left"/>
        <w:rPr>
          <w:rFonts w:ascii="Times New Roman" w:hAnsi="Times New Roman" w:cs="Times New Roman"/>
          <w:sz w:val="24"/>
          <w:szCs w:val="28"/>
        </w:rPr>
      </w:pPr>
      <w:r w:rsidRPr="00904CED">
        <w:rPr>
          <w:rFonts w:ascii="Times New Roman" w:hAnsi="Times New Roman" w:cs="Times New Roman"/>
          <w:sz w:val="24"/>
          <w:szCs w:val="28"/>
        </w:rPr>
        <w:t>As a participant, you have the right to be informed about information and progress related to this study, and you can voluntarily decide whether to (continue) participate or not. After joining, regardless of whether harm occurs or how serious it is, you can choose to notify the researcher to withdraw from the study at any time without any reason. Your data will not be included in the study results, and your medical treatment and rights will not be affected. If continuing to participate in the study poses a serious risk of harm to you, the researcher will terminate the study.</w:t>
      </w:r>
      <w:r w:rsidR="005C0D3D" w:rsidRPr="00904CED">
        <w:rPr>
          <w:rFonts w:ascii="Times New Roman" w:hAnsi="Times New Roman" w:cs="Times New Roman" w:hint="eastAsia"/>
          <w:sz w:val="24"/>
          <w:szCs w:val="28"/>
        </w:rPr>
        <w:t xml:space="preserve"> </w:t>
      </w:r>
      <w:r w:rsidRPr="00904CED">
        <w:rPr>
          <w:rFonts w:ascii="Times New Roman" w:hAnsi="Times New Roman" w:cs="Times New Roman"/>
          <w:sz w:val="24"/>
          <w:szCs w:val="28"/>
        </w:rPr>
        <w:t>However, during the study, please provide truthful information about your medical history and current physical condition; inform the research doctor of any discomfort you experience during this study; do not take restricted drugs, foods, etc.; inform the research doctor if you have recently participated in or are currently participating in other studies. If you do not adhere to the research plan or if any harm or other reasons related to the study occur, the research doctor may terminate your continued participation in this study.</w:t>
      </w:r>
    </w:p>
    <w:p w14:paraId="6C7BC07D" w14:textId="77777777" w:rsidR="00F43F45" w:rsidRPr="005C0D3D" w:rsidRDefault="00F43F45" w:rsidP="00F43F45">
      <w:pPr>
        <w:widowControl/>
        <w:spacing w:before="100" w:beforeAutospacing="1" w:after="100" w:afterAutospacing="1"/>
        <w:jc w:val="left"/>
        <w:rPr>
          <w:rFonts w:ascii="Segoe UI" w:hAnsi="Segoe UI" w:cs="Segoe UI"/>
          <w:b/>
          <w:bCs/>
          <w:color w:val="374151"/>
        </w:rPr>
      </w:pPr>
      <w:r w:rsidRPr="005C0D3D">
        <w:rPr>
          <w:rFonts w:ascii="Segoe UI" w:hAnsi="Segoe UI" w:cs="Segoe UI"/>
          <w:b/>
          <w:bCs/>
          <w:color w:val="374151"/>
        </w:rPr>
        <w:t>Contact Information:</w:t>
      </w:r>
    </w:p>
    <w:p w14:paraId="62947F0F" w14:textId="16D74979" w:rsidR="00F43F45" w:rsidRPr="00904CED" w:rsidRDefault="00F43F45" w:rsidP="00F43F45">
      <w:pPr>
        <w:widowControl/>
        <w:spacing w:before="100" w:beforeAutospacing="1" w:after="100" w:afterAutospacing="1"/>
        <w:jc w:val="left"/>
        <w:rPr>
          <w:rFonts w:ascii="Times New Roman" w:hAnsi="Times New Roman" w:cs="Times New Roman"/>
          <w:sz w:val="24"/>
          <w:szCs w:val="28"/>
        </w:rPr>
      </w:pPr>
      <w:r w:rsidRPr="00904CED">
        <w:rPr>
          <w:rFonts w:ascii="Times New Roman" w:hAnsi="Times New Roman" w:cs="Times New Roman"/>
          <w:sz w:val="24"/>
          <w:szCs w:val="28"/>
        </w:rPr>
        <w:t>If you have any questions related to this study, or if you experience any discomfort or injury during the research process, or if you have questions about the rights of participants in this study, you can contact us. Contact person: Minghao</w:t>
      </w:r>
      <w:r w:rsidR="005C0D3D" w:rsidRPr="00904CED">
        <w:rPr>
          <w:rFonts w:ascii="Times New Roman" w:hAnsi="Times New Roman" w:cs="Times New Roman"/>
          <w:sz w:val="24"/>
          <w:szCs w:val="28"/>
        </w:rPr>
        <w:t xml:space="preserve"> Liu</w:t>
      </w:r>
      <w:r w:rsidRPr="00904CED">
        <w:rPr>
          <w:rFonts w:ascii="Times New Roman" w:hAnsi="Times New Roman" w:cs="Times New Roman"/>
          <w:sz w:val="24"/>
          <w:szCs w:val="28"/>
        </w:rPr>
        <w:t>, Phone: 17629720320.</w:t>
      </w:r>
    </w:p>
    <w:p w14:paraId="77796AFB" w14:textId="77777777" w:rsidR="00F43F45" w:rsidRPr="001D330D" w:rsidRDefault="00F43F45" w:rsidP="00F43F45">
      <w:pPr>
        <w:widowControl/>
        <w:spacing w:before="100" w:beforeAutospacing="1" w:after="100" w:afterAutospacing="1"/>
        <w:jc w:val="left"/>
        <w:rPr>
          <w:rFonts w:ascii="Segoe UI" w:hAnsi="Segoe UI" w:cs="Segoe UI"/>
          <w:b/>
          <w:bCs/>
          <w:color w:val="374151"/>
        </w:rPr>
      </w:pPr>
      <w:r w:rsidRPr="001D330D">
        <w:rPr>
          <w:rFonts w:ascii="Segoe UI" w:hAnsi="Segoe UI" w:cs="Segoe UI"/>
          <w:b/>
          <w:bCs/>
          <w:color w:val="374151"/>
        </w:rPr>
        <w:t>Benefits Sharing After the Trial:</w:t>
      </w:r>
    </w:p>
    <w:p w14:paraId="080A20E3" w14:textId="77777777" w:rsidR="00F43F45" w:rsidRPr="00904CED" w:rsidRDefault="00F43F45" w:rsidP="00F43F45">
      <w:pPr>
        <w:widowControl/>
        <w:spacing w:before="100" w:beforeAutospacing="1" w:after="100" w:afterAutospacing="1"/>
        <w:jc w:val="left"/>
        <w:rPr>
          <w:rFonts w:ascii="Times New Roman" w:hAnsi="Times New Roman" w:cs="Times New Roman"/>
          <w:sz w:val="24"/>
          <w:szCs w:val="28"/>
        </w:rPr>
      </w:pPr>
      <w:r w:rsidRPr="00904CED">
        <w:rPr>
          <w:rFonts w:ascii="Times New Roman" w:hAnsi="Times New Roman" w:cs="Times New Roman"/>
          <w:sz w:val="24"/>
          <w:szCs w:val="28"/>
        </w:rPr>
        <w:t>When the study is completed and proves to be safe and effective, there are no economic benefits.</w:t>
      </w:r>
    </w:p>
    <w:p w14:paraId="16536E4B" w14:textId="77777777" w:rsidR="00F43F45" w:rsidRPr="001D330D" w:rsidRDefault="00F43F45" w:rsidP="00F43F45">
      <w:pPr>
        <w:widowControl/>
        <w:spacing w:before="100" w:beforeAutospacing="1" w:after="100" w:afterAutospacing="1"/>
        <w:jc w:val="left"/>
        <w:rPr>
          <w:rFonts w:ascii="Segoe UI" w:hAnsi="Segoe UI" w:cs="Segoe UI"/>
          <w:b/>
          <w:bCs/>
          <w:color w:val="374151"/>
        </w:rPr>
      </w:pPr>
      <w:r w:rsidRPr="001D330D">
        <w:rPr>
          <w:rFonts w:ascii="Segoe UI" w:hAnsi="Segoe UI" w:cs="Segoe UI"/>
          <w:b/>
          <w:bCs/>
          <w:color w:val="374151"/>
        </w:rPr>
        <w:t>Informed Consent Signature:</w:t>
      </w:r>
    </w:p>
    <w:p w14:paraId="19BADE7B" w14:textId="77777777" w:rsidR="00F43F45" w:rsidRPr="00904CED" w:rsidRDefault="00F43F45" w:rsidP="00F43F45">
      <w:pPr>
        <w:widowControl/>
        <w:spacing w:before="100" w:beforeAutospacing="1" w:after="100" w:afterAutospacing="1"/>
        <w:jc w:val="left"/>
        <w:rPr>
          <w:rFonts w:ascii="Times New Roman" w:hAnsi="Times New Roman" w:cs="Times New Roman"/>
          <w:sz w:val="24"/>
          <w:szCs w:val="28"/>
        </w:rPr>
      </w:pPr>
      <w:r w:rsidRPr="00904CED">
        <w:rPr>
          <w:rFonts w:ascii="Times New Roman" w:hAnsi="Times New Roman" w:cs="Times New Roman"/>
          <w:sz w:val="24"/>
          <w:szCs w:val="28"/>
        </w:rPr>
        <w:t>I have read this informed consent form, and my doctor, [Doctor's Name], has provided detailed explanations about the purpose, content, risks, and benefits of this clinical trial. They have answered all the questions I asked. I understand this clinical study, and I voluntarily agree to participate in it.</w:t>
      </w:r>
    </w:p>
    <w:p w14:paraId="30F5E71B" w14:textId="71507542" w:rsidR="00F43F45" w:rsidRPr="00904CED" w:rsidRDefault="00FE65FC" w:rsidP="00F43F45">
      <w:pPr>
        <w:widowControl/>
        <w:spacing w:before="100" w:beforeAutospacing="1" w:after="100" w:afterAutospacing="1"/>
        <w:jc w:val="left"/>
        <w:rPr>
          <w:rFonts w:ascii="Times New Roman" w:hAnsi="Times New Roman" w:cs="Times New Roman"/>
          <w:sz w:val="24"/>
          <w:szCs w:val="28"/>
        </w:rPr>
      </w:pPr>
      <w:r w:rsidRPr="00904CED">
        <w:rPr>
          <w:rFonts w:ascii="Times New Roman" w:hAnsi="Times New Roman" w:cs="Times New Roman"/>
          <w:sz w:val="24"/>
          <w:szCs w:val="28"/>
        </w:rPr>
        <w:t>Subject's Signature: ____________________ Date: Year _____ Month _____ Day _____ Researcher's Signature: _________________ Date: Year _____ Month _____ Day _____ (Note: If the subject is illiterate, the witness's signature is required. If the subject lacks the capacity to act, the consent of the legal representative is required.)</w:t>
      </w:r>
    </w:p>
    <w:p w14:paraId="79F51CE6" w14:textId="77777777" w:rsidR="00FA5BA2" w:rsidRDefault="00FA5BA2" w:rsidP="00FA5BA2">
      <w:pPr>
        <w:spacing w:line="360" w:lineRule="auto"/>
        <w:jc w:val="center"/>
        <w:rPr>
          <w:rFonts w:ascii="楷体_GB2312" w:eastAsia="楷体_GB2312"/>
          <w:b/>
          <w:sz w:val="28"/>
          <w:szCs w:val="28"/>
        </w:rPr>
      </w:pPr>
      <w:r>
        <w:rPr>
          <w:rFonts w:ascii="楷体_GB2312" w:eastAsia="楷体_GB2312" w:hint="eastAsia"/>
          <w:b/>
          <w:sz w:val="28"/>
          <w:szCs w:val="28"/>
        </w:rPr>
        <w:lastRenderedPageBreak/>
        <w:t>知情同意书</w:t>
      </w:r>
    </w:p>
    <w:p w14:paraId="4B62A57B" w14:textId="77777777" w:rsidR="00FA5BA2" w:rsidRDefault="00FA5BA2" w:rsidP="00FA5BA2">
      <w:pPr>
        <w:spacing w:line="360" w:lineRule="auto"/>
        <w:rPr>
          <w:rFonts w:ascii="楷体_GB2312" w:eastAsia="楷体_GB2312"/>
          <w:b/>
          <w:sz w:val="28"/>
          <w:szCs w:val="28"/>
        </w:rPr>
      </w:pPr>
      <w:r>
        <w:rPr>
          <w:rFonts w:ascii="楷体_GB2312" w:eastAsia="楷体_GB2312" w:hint="eastAsia"/>
          <w:b/>
          <w:sz w:val="28"/>
          <w:szCs w:val="28"/>
        </w:rPr>
        <w:t>研究背景介绍：</w:t>
      </w:r>
    </w:p>
    <w:p w14:paraId="22733853" w14:textId="77777777" w:rsidR="00FA5BA2" w:rsidRDefault="00FA5BA2" w:rsidP="00FA5BA2">
      <w:pPr>
        <w:spacing w:line="360" w:lineRule="auto"/>
        <w:ind w:firstLineChars="200" w:firstLine="560"/>
        <w:rPr>
          <w:rFonts w:ascii="楷体_GB2312" w:eastAsia="楷体_GB2312"/>
          <w:sz w:val="28"/>
          <w:szCs w:val="28"/>
        </w:rPr>
      </w:pPr>
      <w:r>
        <w:rPr>
          <w:rFonts w:ascii="楷体_GB2312" w:eastAsia="楷体_GB2312" w:hint="eastAsia"/>
          <w:sz w:val="28"/>
          <w:szCs w:val="28"/>
        </w:rPr>
        <w:t>尊敬的患者（受试者）：</w:t>
      </w:r>
    </w:p>
    <w:p w14:paraId="39449D6C" w14:textId="77777777" w:rsidR="00FA5BA2" w:rsidRDefault="00FA5BA2" w:rsidP="00FA5BA2">
      <w:pPr>
        <w:spacing w:line="360" w:lineRule="auto"/>
        <w:ind w:firstLineChars="200" w:firstLine="560"/>
        <w:rPr>
          <w:rFonts w:ascii="楷体_GB2312" w:eastAsia="楷体_GB2312"/>
          <w:sz w:val="28"/>
          <w:szCs w:val="28"/>
        </w:rPr>
      </w:pPr>
      <w:r>
        <w:rPr>
          <w:rFonts w:ascii="楷体_GB2312" w:eastAsia="楷体_GB2312" w:hint="eastAsia"/>
          <w:sz w:val="28"/>
          <w:szCs w:val="28"/>
        </w:rPr>
        <w:t>您好！</w:t>
      </w:r>
    </w:p>
    <w:p w14:paraId="185806D6" w14:textId="77777777" w:rsidR="00FA5BA2" w:rsidRDefault="00FA5BA2" w:rsidP="00904CED">
      <w:pPr>
        <w:widowControl/>
        <w:spacing w:before="100" w:beforeAutospacing="1" w:after="100" w:afterAutospacing="1"/>
        <w:jc w:val="left"/>
        <w:rPr>
          <w:rFonts w:ascii="楷体_GB2312" w:eastAsia="楷体_GB2312" w:hAnsi="宋体" w:cs="宋体"/>
          <w:sz w:val="28"/>
          <w:szCs w:val="28"/>
        </w:rPr>
      </w:pPr>
      <w:r>
        <w:rPr>
          <w:rFonts w:ascii="楷体_GB2312" w:eastAsia="楷体_GB2312" w:cs="宋体" w:hint="eastAsia"/>
          <w:sz w:val="28"/>
          <w:szCs w:val="28"/>
        </w:rPr>
        <w:t>由于您选择择期硬膜外剖宫产。</w:t>
      </w:r>
      <w:r>
        <w:rPr>
          <w:rFonts w:ascii="楷体_GB2312" w:eastAsia="楷体_GB2312" w:hint="eastAsia"/>
          <w:sz w:val="28"/>
          <w:szCs w:val="28"/>
        </w:rPr>
        <w:t>您将被邀请参加一项由重庆医科大学附属第一医院麻醉科主持的研究。这是</w:t>
      </w:r>
      <w:r>
        <w:rPr>
          <w:rFonts w:ascii="楷体_GB2312" w:eastAsia="楷体_GB2312" w:cs="宋体" w:hint="eastAsia"/>
          <w:sz w:val="28"/>
          <w:szCs w:val="28"/>
        </w:rPr>
        <w:t>为了探究在</w:t>
      </w:r>
      <w:r>
        <w:rPr>
          <w:rFonts w:ascii="楷体_GB2312" w:eastAsia="楷体_GB2312" w:hAnsi="宋体" w:hint="eastAsia"/>
          <w:sz w:val="28"/>
          <w:szCs w:val="28"/>
        </w:rPr>
        <w:t>硬膜外麻醉</w:t>
      </w:r>
      <w:r w:rsidRPr="00487C42">
        <w:rPr>
          <w:rFonts w:ascii="楷体_GB2312" w:eastAsia="楷体_GB2312" w:hAnsi="宋体" w:hint="eastAsia"/>
          <w:sz w:val="28"/>
          <w:szCs w:val="28"/>
        </w:rPr>
        <w:t>剖宫产</w:t>
      </w:r>
      <w:r>
        <w:rPr>
          <w:rFonts w:ascii="楷体_GB2312" w:eastAsia="楷体_GB2312" w:hAnsi="宋体" w:hint="eastAsia"/>
          <w:sz w:val="28"/>
          <w:szCs w:val="28"/>
        </w:rPr>
        <w:t>的局麻药</w:t>
      </w:r>
      <w:r w:rsidRPr="00487C42">
        <w:rPr>
          <w:rFonts w:ascii="楷体_GB2312" w:eastAsia="楷体_GB2312" w:hAnsi="宋体" w:hint="eastAsia"/>
          <w:sz w:val="28"/>
          <w:szCs w:val="28"/>
        </w:rPr>
        <w:t>中</w:t>
      </w:r>
      <w:r>
        <w:rPr>
          <w:rFonts w:ascii="楷体_GB2312" w:eastAsia="楷体_GB2312" w:hAnsi="宋体" w:hint="eastAsia"/>
          <w:sz w:val="28"/>
          <w:szCs w:val="28"/>
        </w:rPr>
        <w:t>辅用</w:t>
      </w:r>
      <w:r w:rsidRPr="00487C42">
        <w:rPr>
          <w:rFonts w:ascii="楷体_GB2312" w:eastAsia="楷体_GB2312" w:hAnsi="宋体" w:hint="eastAsia"/>
          <w:sz w:val="28"/>
          <w:szCs w:val="28"/>
        </w:rPr>
        <w:t>不同剂量的</w:t>
      </w:r>
      <w:proofErr w:type="gramStart"/>
      <w:r w:rsidRPr="00487C42">
        <w:rPr>
          <w:rFonts w:ascii="楷体_GB2312" w:eastAsia="楷体_GB2312" w:hAnsi="宋体" w:hint="eastAsia"/>
          <w:sz w:val="28"/>
          <w:szCs w:val="28"/>
        </w:rPr>
        <w:t>右美托咪</w:t>
      </w:r>
      <w:proofErr w:type="gramEnd"/>
      <w:r w:rsidRPr="00487C42">
        <w:rPr>
          <w:rFonts w:ascii="楷体_GB2312" w:eastAsia="楷体_GB2312" w:hAnsi="宋体" w:hint="eastAsia"/>
          <w:sz w:val="28"/>
          <w:szCs w:val="28"/>
        </w:rPr>
        <w:t>定对</w:t>
      </w:r>
      <w:r>
        <w:rPr>
          <w:rFonts w:ascii="楷体_GB2312" w:eastAsia="楷体_GB2312" w:hAnsi="宋体" w:hint="eastAsia"/>
          <w:sz w:val="28"/>
          <w:szCs w:val="28"/>
        </w:rPr>
        <w:t>抑制牵拉反应有效且较为安全的适宜剂量，为临床</w:t>
      </w:r>
      <w:r w:rsidRPr="00487C42">
        <w:rPr>
          <w:rFonts w:ascii="楷体_GB2312" w:eastAsia="楷体_GB2312" w:hAnsi="宋体" w:hint="eastAsia"/>
          <w:sz w:val="28"/>
          <w:szCs w:val="28"/>
        </w:rPr>
        <w:t>提供参考意见</w:t>
      </w:r>
      <w:r>
        <w:rPr>
          <w:rFonts w:ascii="楷体_GB2312" w:eastAsia="楷体_GB2312" w:hint="eastAsia"/>
          <w:sz w:val="28"/>
          <w:szCs w:val="28"/>
        </w:rPr>
        <w:t>而</w:t>
      </w:r>
      <w:r>
        <w:rPr>
          <w:rFonts w:ascii="楷体_GB2312" w:eastAsia="楷体_GB2312" w:cs="宋体" w:hint="eastAsia"/>
          <w:sz w:val="28"/>
          <w:szCs w:val="28"/>
        </w:rPr>
        <w:t>进行的一项研究，它将历时</w:t>
      </w:r>
      <w:r>
        <w:rPr>
          <w:rFonts w:ascii="楷体_GB2312" w:eastAsia="楷体_GB2312" w:cs="宋体"/>
          <w:sz w:val="28"/>
          <w:szCs w:val="28"/>
        </w:rPr>
        <w:t>6</w:t>
      </w:r>
      <w:r>
        <w:rPr>
          <w:rFonts w:ascii="楷体_GB2312" w:eastAsia="楷体_GB2312" w:cs="宋体" w:hint="eastAsia"/>
          <w:sz w:val="28"/>
          <w:szCs w:val="28"/>
        </w:rPr>
        <w:t>个月时间。</w:t>
      </w:r>
      <w:r>
        <w:rPr>
          <w:rFonts w:ascii="楷体_GB2312" w:eastAsia="楷体_GB2312" w:hint="eastAsia"/>
          <w:color w:val="FF0000"/>
          <w:sz w:val="28"/>
          <w:szCs w:val="28"/>
        </w:rPr>
        <w:t xml:space="preserve"> </w:t>
      </w:r>
    </w:p>
    <w:p w14:paraId="040B07FA" w14:textId="77777777" w:rsidR="00FA5BA2" w:rsidRDefault="00FA5BA2" w:rsidP="00FA5BA2">
      <w:pPr>
        <w:spacing w:line="360" w:lineRule="auto"/>
        <w:rPr>
          <w:rFonts w:ascii="楷体_GB2312" w:eastAsia="楷体_GB2312" w:hAnsi="宋体" w:cs="宋体"/>
          <w:sz w:val="28"/>
          <w:szCs w:val="28"/>
        </w:rPr>
      </w:pPr>
      <w:r>
        <w:rPr>
          <w:rFonts w:ascii="楷体_GB2312" w:eastAsia="楷体_GB2312" w:hint="eastAsia"/>
          <w:sz w:val="28"/>
          <w:szCs w:val="28"/>
        </w:rPr>
        <w:t xml:space="preserve">      本知情同意书提供给您一些信息以帮助您决定是否参加此项临床研究。您参加本项研究是自愿的。本次研究已通过本研究机构伦理审查委员会审查。</w:t>
      </w:r>
      <w:r>
        <w:rPr>
          <w:rFonts w:ascii="楷体_GB2312" w:eastAsia="楷体_GB2312" w:cs="宋体" w:hint="eastAsia"/>
          <w:sz w:val="28"/>
          <w:szCs w:val="28"/>
        </w:rPr>
        <w:t>如果你同意加入此项研究，请看下列说明：</w:t>
      </w:r>
    </w:p>
    <w:p w14:paraId="363DB931" w14:textId="77777777" w:rsidR="00FA5BA2" w:rsidRDefault="00FA5BA2" w:rsidP="00FA5BA2">
      <w:pPr>
        <w:spacing w:line="360" w:lineRule="auto"/>
        <w:ind w:firstLineChars="200" w:firstLine="560"/>
        <w:rPr>
          <w:rFonts w:ascii="楷体_GB2312" w:eastAsia="楷体_GB2312"/>
          <w:sz w:val="28"/>
          <w:szCs w:val="28"/>
        </w:rPr>
      </w:pPr>
      <w:r>
        <w:rPr>
          <w:rFonts w:ascii="楷体_GB2312" w:eastAsia="楷体_GB2312" w:hint="eastAsia"/>
          <w:sz w:val="28"/>
          <w:szCs w:val="28"/>
        </w:rPr>
        <w:t>请您仔细阅读，如有任何疑问请向负责该项研究的研究者提出。</w:t>
      </w:r>
    </w:p>
    <w:p w14:paraId="78F66F8E" w14:textId="77777777" w:rsidR="00FA5BA2" w:rsidRDefault="00FA5BA2" w:rsidP="00FA5BA2">
      <w:pPr>
        <w:spacing w:line="360" w:lineRule="auto"/>
        <w:rPr>
          <w:rFonts w:ascii="楷体_GB2312" w:eastAsia="楷体_GB2312"/>
          <w:b/>
          <w:sz w:val="28"/>
          <w:szCs w:val="28"/>
        </w:rPr>
      </w:pPr>
      <w:r>
        <w:rPr>
          <w:rFonts w:ascii="楷体_GB2312" w:eastAsia="楷体_GB2312" w:hint="eastAsia"/>
          <w:b/>
          <w:sz w:val="28"/>
          <w:szCs w:val="28"/>
        </w:rPr>
        <w:t>研究目的：</w:t>
      </w:r>
    </w:p>
    <w:p w14:paraId="66E81F07" w14:textId="77777777" w:rsidR="0006466F" w:rsidRPr="0006466F" w:rsidRDefault="0006466F" w:rsidP="0006466F">
      <w:pPr>
        <w:spacing w:line="360" w:lineRule="auto"/>
        <w:ind w:firstLineChars="200" w:firstLine="560"/>
        <w:rPr>
          <w:rFonts w:ascii="楷体_GB2312" w:eastAsia="楷体_GB2312"/>
          <w:bCs/>
          <w:sz w:val="28"/>
          <w:szCs w:val="28"/>
        </w:rPr>
      </w:pPr>
      <w:proofErr w:type="gramStart"/>
      <w:r w:rsidRPr="0006466F">
        <w:rPr>
          <w:rFonts w:ascii="楷体_GB2312" w:eastAsia="楷体_GB2312" w:hint="eastAsia"/>
          <w:bCs/>
          <w:sz w:val="28"/>
          <w:szCs w:val="28"/>
        </w:rPr>
        <w:t>剖宫产常采用</w:t>
      </w:r>
      <w:proofErr w:type="gramEnd"/>
      <w:r w:rsidRPr="0006466F">
        <w:rPr>
          <w:rFonts w:ascii="楷体_GB2312" w:eastAsia="楷体_GB2312" w:hint="eastAsia"/>
          <w:bCs/>
          <w:sz w:val="28"/>
          <w:szCs w:val="28"/>
        </w:rPr>
        <w:t>硬膜外麻醉（</w:t>
      </w:r>
      <w:r w:rsidRPr="0006466F">
        <w:rPr>
          <w:rFonts w:ascii="楷体_GB2312" w:eastAsia="楷体_GB2312"/>
          <w:bCs/>
          <w:sz w:val="28"/>
          <w:szCs w:val="28"/>
        </w:rPr>
        <w:t>EA）以其优点，但也存在局限。辅助剂如舒芬太尼有助于缓解，但阿片类药物有副作用。镇静有望减少阿片类药物的使用，提高患者满意度。产科中早期母婴皮肤接触至关重要，但不当的镇静可能影响它。</w:t>
      </w:r>
      <w:proofErr w:type="gramStart"/>
      <w:r w:rsidRPr="0006466F">
        <w:rPr>
          <w:rFonts w:ascii="楷体_GB2312" w:eastAsia="楷体_GB2312"/>
          <w:bCs/>
          <w:sz w:val="28"/>
          <w:szCs w:val="28"/>
        </w:rPr>
        <w:t>右美托咪</w:t>
      </w:r>
      <w:proofErr w:type="gramEnd"/>
      <w:r w:rsidRPr="0006466F">
        <w:rPr>
          <w:rFonts w:ascii="楷体_GB2312" w:eastAsia="楷体_GB2312"/>
          <w:bCs/>
          <w:sz w:val="28"/>
          <w:szCs w:val="28"/>
        </w:rPr>
        <w:t>定，一种</w:t>
      </w:r>
      <w:r w:rsidRPr="0006466F">
        <w:rPr>
          <w:rFonts w:ascii="楷体_GB2312" w:eastAsia="楷体_GB2312"/>
          <w:bCs/>
          <w:sz w:val="28"/>
          <w:szCs w:val="28"/>
        </w:rPr>
        <w:t>α</w:t>
      </w:r>
      <w:r w:rsidRPr="0006466F">
        <w:rPr>
          <w:rFonts w:ascii="楷体_GB2312" w:eastAsia="楷体_GB2312"/>
          <w:bCs/>
          <w:sz w:val="28"/>
          <w:szCs w:val="28"/>
        </w:rPr>
        <w:t>2激动剂，通过与局麻药物联合</w:t>
      </w:r>
      <w:proofErr w:type="gramStart"/>
      <w:r w:rsidRPr="0006466F">
        <w:rPr>
          <w:rFonts w:ascii="楷体_GB2312" w:eastAsia="楷体_GB2312"/>
          <w:bCs/>
          <w:sz w:val="28"/>
          <w:szCs w:val="28"/>
        </w:rPr>
        <w:t>腰麻已在</w:t>
      </w:r>
      <w:proofErr w:type="gramEnd"/>
      <w:r w:rsidRPr="0006466F">
        <w:rPr>
          <w:rFonts w:ascii="楷体_GB2312" w:eastAsia="楷体_GB2312"/>
          <w:bCs/>
          <w:sz w:val="28"/>
          <w:szCs w:val="28"/>
        </w:rPr>
        <w:t>剖宫产中证明其有效性。然而，在硬膜外麻醉的情境下联合</w:t>
      </w:r>
      <w:proofErr w:type="gramStart"/>
      <w:r w:rsidRPr="0006466F">
        <w:rPr>
          <w:rFonts w:ascii="楷体_GB2312" w:eastAsia="楷体_GB2312"/>
          <w:bCs/>
          <w:sz w:val="28"/>
          <w:szCs w:val="28"/>
        </w:rPr>
        <w:t>右美托咪</w:t>
      </w:r>
      <w:proofErr w:type="gramEnd"/>
      <w:r w:rsidRPr="0006466F">
        <w:rPr>
          <w:rFonts w:ascii="楷体_GB2312" w:eastAsia="楷体_GB2312"/>
          <w:bCs/>
          <w:sz w:val="28"/>
          <w:szCs w:val="28"/>
        </w:rPr>
        <w:t>定和局麻药物尚需更深入了解。</w:t>
      </w:r>
    </w:p>
    <w:p w14:paraId="71FB403B" w14:textId="77777777" w:rsidR="0006466F" w:rsidRPr="0006466F" w:rsidRDefault="0006466F" w:rsidP="0006466F">
      <w:pPr>
        <w:spacing w:line="360" w:lineRule="auto"/>
        <w:ind w:firstLineChars="200" w:firstLine="560"/>
        <w:rPr>
          <w:rFonts w:ascii="楷体_GB2312" w:eastAsia="楷体_GB2312"/>
          <w:bCs/>
          <w:sz w:val="28"/>
          <w:szCs w:val="28"/>
        </w:rPr>
      </w:pPr>
      <w:r w:rsidRPr="0006466F">
        <w:rPr>
          <w:rFonts w:ascii="楷体_GB2312" w:eastAsia="楷体_GB2312" w:hint="eastAsia"/>
          <w:bCs/>
          <w:sz w:val="28"/>
          <w:szCs w:val="28"/>
        </w:rPr>
        <w:t>我们的研究旨在探讨硬膜外</w:t>
      </w:r>
      <w:proofErr w:type="gramStart"/>
      <w:r w:rsidRPr="0006466F">
        <w:rPr>
          <w:rFonts w:ascii="楷体_GB2312" w:eastAsia="楷体_GB2312" w:hint="eastAsia"/>
          <w:bCs/>
          <w:sz w:val="28"/>
          <w:szCs w:val="28"/>
        </w:rPr>
        <w:t>右美托咪定联合</w:t>
      </w:r>
      <w:proofErr w:type="gramEnd"/>
      <w:r w:rsidRPr="0006466F">
        <w:rPr>
          <w:rFonts w:ascii="楷体_GB2312" w:eastAsia="楷体_GB2312" w:hint="eastAsia"/>
          <w:bCs/>
          <w:sz w:val="28"/>
          <w:szCs w:val="28"/>
        </w:rPr>
        <w:t>罗哌卡因在硬膜外</w:t>
      </w:r>
      <w:r w:rsidRPr="0006466F">
        <w:rPr>
          <w:rFonts w:ascii="楷体_GB2312" w:eastAsia="楷体_GB2312" w:hint="eastAsia"/>
          <w:bCs/>
          <w:sz w:val="28"/>
          <w:szCs w:val="28"/>
        </w:rPr>
        <w:lastRenderedPageBreak/>
        <w:t>麻醉剖宫产中的有效性。弥补知识空白，为优化</w:t>
      </w:r>
      <w:proofErr w:type="gramStart"/>
      <w:r w:rsidRPr="0006466F">
        <w:rPr>
          <w:rFonts w:ascii="楷体_GB2312" w:eastAsia="楷体_GB2312" w:hint="eastAsia"/>
          <w:bCs/>
          <w:sz w:val="28"/>
          <w:szCs w:val="28"/>
        </w:rPr>
        <w:t>右美托咪</w:t>
      </w:r>
      <w:proofErr w:type="gramEnd"/>
      <w:r w:rsidRPr="0006466F">
        <w:rPr>
          <w:rFonts w:ascii="楷体_GB2312" w:eastAsia="楷体_GB2312" w:hint="eastAsia"/>
          <w:bCs/>
          <w:sz w:val="28"/>
          <w:szCs w:val="28"/>
        </w:rPr>
        <w:t>定的使用提供见解，为改善剖宫产麻醉结果提供宝贵信息。</w:t>
      </w:r>
    </w:p>
    <w:p w14:paraId="442970B4" w14:textId="77777777" w:rsidR="00FA5BA2" w:rsidRDefault="00FA5BA2" w:rsidP="00FA5BA2">
      <w:pPr>
        <w:spacing w:line="360" w:lineRule="auto"/>
        <w:rPr>
          <w:rFonts w:ascii="楷体_GB2312" w:eastAsia="楷体_GB2312"/>
          <w:b/>
          <w:sz w:val="28"/>
          <w:szCs w:val="28"/>
        </w:rPr>
      </w:pPr>
      <w:r>
        <w:rPr>
          <w:rFonts w:ascii="楷体_GB2312" w:eastAsia="楷体_GB2312" w:hint="eastAsia"/>
          <w:b/>
          <w:sz w:val="28"/>
          <w:szCs w:val="28"/>
        </w:rPr>
        <w:t>研究过程和方法：</w:t>
      </w:r>
    </w:p>
    <w:p w14:paraId="04D584CF" w14:textId="6B41A092" w:rsidR="00FA5BA2" w:rsidRDefault="00581C91" w:rsidP="00FA5BA2">
      <w:pPr>
        <w:spacing w:line="360" w:lineRule="auto"/>
        <w:rPr>
          <w:rFonts w:ascii="楷体_GB2312" w:eastAsia="楷体_GB2312"/>
          <w:sz w:val="28"/>
          <w:szCs w:val="28"/>
        </w:rPr>
      </w:pPr>
      <w:r w:rsidRPr="00581C91">
        <w:rPr>
          <w:rFonts w:ascii="楷体_GB2312" w:eastAsia="楷体_GB2312" w:hint="eastAsia"/>
          <w:sz w:val="28"/>
          <w:szCs w:val="28"/>
        </w:rPr>
        <w:t>产妇以</w:t>
      </w:r>
      <w:r w:rsidRPr="00581C91">
        <w:rPr>
          <w:rFonts w:ascii="楷体_GB2312" w:eastAsia="楷体_GB2312"/>
          <w:sz w:val="28"/>
          <w:szCs w:val="28"/>
        </w:rPr>
        <w:t>1:1的比例随机分配到R组（硬膜外90毫克罗哌卡因）或RD组（90毫克罗哌卡因与0.5</w:t>
      </w:r>
      <w:r w:rsidRPr="00581C91">
        <w:rPr>
          <w:rFonts w:ascii="楷体_GB2312" w:eastAsia="楷体_GB2312"/>
          <w:sz w:val="28"/>
          <w:szCs w:val="28"/>
        </w:rPr>
        <w:t>μ</w:t>
      </w:r>
      <w:r w:rsidRPr="00581C91">
        <w:rPr>
          <w:rFonts w:ascii="楷体_GB2312" w:eastAsia="楷体_GB2312"/>
          <w:sz w:val="28"/>
          <w:szCs w:val="28"/>
        </w:rPr>
        <w:t>g/kg</w:t>
      </w:r>
      <w:proofErr w:type="gramStart"/>
      <w:r w:rsidRPr="00581C91">
        <w:rPr>
          <w:rFonts w:ascii="楷体_GB2312" w:eastAsia="楷体_GB2312"/>
          <w:sz w:val="28"/>
          <w:szCs w:val="28"/>
        </w:rPr>
        <w:t>右美托咪</w:t>
      </w:r>
      <w:proofErr w:type="gramEnd"/>
      <w:r w:rsidRPr="00581C91">
        <w:rPr>
          <w:rFonts w:ascii="楷体_GB2312" w:eastAsia="楷体_GB2312"/>
          <w:sz w:val="28"/>
          <w:szCs w:val="28"/>
        </w:rPr>
        <w:t>定）。麻醉程序包括在右侧卧位2-3腰椎间隙进行硬膜外穿刺，插入硬膜外导管至头侧4厘米，随后注射3毫升1%利多卡因的试验剂量。然后根据随机分组方案给予特定组别的药物。监测和干预包括患者抵达手术室后的标准程序，术中评估，包括疼痛强度（NRS），镇静程度（Ramsay镇静评分），生命体征，并记录副作用。根据需要实施疼痛和镇静的干预，为在手术过程中进行评估定义了特定的时间点（T0到T4</w:t>
      </w:r>
      <w:r>
        <w:rPr>
          <w:rFonts w:ascii="楷体_GB2312" w:eastAsia="楷体_GB2312" w:hint="eastAsia"/>
          <w:sz w:val="28"/>
          <w:szCs w:val="28"/>
        </w:rPr>
        <w:t>）。</w:t>
      </w:r>
    </w:p>
    <w:p w14:paraId="0E549D65" w14:textId="77777777" w:rsidR="00FA5BA2" w:rsidRDefault="00FA5BA2" w:rsidP="00FA5BA2">
      <w:pPr>
        <w:spacing w:line="360" w:lineRule="auto"/>
        <w:rPr>
          <w:rFonts w:ascii="楷体_GB2312" w:eastAsia="楷体_GB2312"/>
          <w:sz w:val="28"/>
          <w:szCs w:val="28"/>
        </w:rPr>
      </w:pPr>
      <w:r>
        <w:rPr>
          <w:rFonts w:ascii="楷体_GB2312" w:eastAsia="楷体_GB2312" w:hint="eastAsia"/>
          <w:b/>
          <w:sz w:val="28"/>
          <w:szCs w:val="28"/>
        </w:rPr>
        <w:t>研究可能的受益</w:t>
      </w:r>
      <w:r>
        <w:rPr>
          <w:rFonts w:ascii="楷体_GB2312" w:eastAsia="楷体_GB2312" w:hint="eastAsia"/>
          <w:sz w:val="28"/>
          <w:szCs w:val="28"/>
        </w:rPr>
        <w:t>：</w:t>
      </w:r>
    </w:p>
    <w:p w14:paraId="169BFBCF" w14:textId="77777777" w:rsidR="006F321F" w:rsidRDefault="006F321F" w:rsidP="00FA5BA2">
      <w:pPr>
        <w:spacing w:line="360" w:lineRule="auto"/>
        <w:rPr>
          <w:rFonts w:ascii="楷体_GB2312" w:eastAsia="楷体_GB2312"/>
          <w:sz w:val="28"/>
          <w:szCs w:val="28"/>
        </w:rPr>
      </w:pPr>
      <w:r w:rsidRPr="006F321F">
        <w:rPr>
          <w:rFonts w:ascii="楷体_GB2312" w:eastAsia="楷体_GB2312" w:hint="eastAsia"/>
          <w:sz w:val="28"/>
          <w:szCs w:val="28"/>
        </w:rPr>
        <w:t>您将受到一对一的麻醉医生的服务，我们将免除您的麻醉药品费用，根据既往文献报道，您的麻醉效果将更加好。</w:t>
      </w:r>
    </w:p>
    <w:p w14:paraId="6FC27802" w14:textId="71EC7045" w:rsidR="00FA5BA2" w:rsidRDefault="00FA5BA2" w:rsidP="00FA5BA2">
      <w:pPr>
        <w:spacing w:line="360" w:lineRule="auto"/>
        <w:rPr>
          <w:rFonts w:ascii="楷体_GB2312" w:eastAsia="楷体_GB2312"/>
          <w:sz w:val="28"/>
          <w:szCs w:val="28"/>
        </w:rPr>
      </w:pPr>
      <w:r>
        <w:rPr>
          <w:rFonts w:ascii="楷体_GB2312" w:eastAsia="楷体_GB2312" w:hint="eastAsia"/>
          <w:b/>
          <w:sz w:val="28"/>
          <w:szCs w:val="28"/>
        </w:rPr>
        <w:t>研究风险与不适</w:t>
      </w:r>
      <w:r>
        <w:rPr>
          <w:rFonts w:ascii="楷体_GB2312" w:eastAsia="楷体_GB2312" w:hint="eastAsia"/>
          <w:sz w:val="28"/>
          <w:szCs w:val="28"/>
        </w:rPr>
        <w:t>：</w:t>
      </w:r>
    </w:p>
    <w:p w14:paraId="1282D99E" w14:textId="77777777" w:rsidR="00FA5BA2" w:rsidRDefault="00FA5BA2" w:rsidP="00FA5BA2">
      <w:pPr>
        <w:spacing w:line="360" w:lineRule="auto"/>
        <w:ind w:firstLineChars="200" w:firstLine="560"/>
        <w:rPr>
          <w:rFonts w:ascii="楷体_GB2312" w:eastAsia="楷体_GB2312"/>
          <w:sz w:val="28"/>
          <w:szCs w:val="28"/>
        </w:rPr>
      </w:pPr>
      <w:r>
        <w:rPr>
          <w:rFonts w:ascii="楷体_GB2312" w:eastAsia="楷体_GB2312" w:hint="eastAsia"/>
          <w:sz w:val="28"/>
          <w:szCs w:val="28"/>
        </w:rPr>
        <w:t>本次研究所使用</w:t>
      </w:r>
      <w:proofErr w:type="gramStart"/>
      <w:r>
        <w:rPr>
          <w:rFonts w:ascii="楷体_GB2312" w:eastAsia="楷体_GB2312" w:hint="eastAsia"/>
          <w:sz w:val="28"/>
          <w:szCs w:val="28"/>
        </w:rPr>
        <w:t>右美托咪</w:t>
      </w:r>
      <w:proofErr w:type="gramEnd"/>
      <w:r>
        <w:rPr>
          <w:rFonts w:ascii="楷体_GB2312" w:eastAsia="楷体_GB2312" w:hint="eastAsia"/>
          <w:sz w:val="28"/>
          <w:szCs w:val="28"/>
        </w:rPr>
        <w:t>定剂量均安全有效的剂量范围内。其次，研究中不良风险包括术中可能出现心动过缓、高血压或低血压、疼痛不能耐受，术后可能</w:t>
      </w:r>
      <w:r w:rsidRPr="00304F94">
        <w:rPr>
          <w:rFonts w:ascii="楷体_GB2312" w:eastAsia="楷体_GB2312" w:hint="eastAsia"/>
          <w:sz w:val="28"/>
          <w:szCs w:val="28"/>
        </w:rPr>
        <w:t>出现吻合口出血、手术部位感染等</w:t>
      </w:r>
      <w:r>
        <w:rPr>
          <w:rFonts w:ascii="楷体_GB2312" w:eastAsia="楷体_GB2312" w:hint="eastAsia"/>
          <w:sz w:val="28"/>
          <w:szCs w:val="28"/>
        </w:rPr>
        <w:t>风险。不良反应的发生与是否参加本研究无明显关系，即使不参加本研究，这些不良反应亦可能发生。根据以下标准评定不良反应是否和试验有关，即使与试验无关，也需妥善处治。1）肯定有关：有给予试验干预证据，不良事件的出现与给予试验干预的时间顺序是可信的；不良事件的产</w:t>
      </w:r>
      <w:r>
        <w:rPr>
          <w:rFonts w:ascii="楷体_GB2312" w:eastAsia="楷体_GB2312" w:hint="eastAsia"/>
          <w:sz w:val="28"/>
          <w:szCs w:val="28"/>
        </w:rPr>
        <w:lastRenderedPageBreak/>
        <w:t>生由试验干预</w:t>
      </w:r>
      <w:proofErr w:type="gramStart"/>
      <w:r>
        <w:rPr>
          <w:rFonts w:ascii="楷体_GB2312" w:eastAsia="楷体_GB2312" w:hint="eastAsia"/>
          <w:sz w:val="28"/>
          <w:szCs w:val="28"/>
        </w:rPr>
        <w:t>解释较</w:t>
      </w:r>
      <w:proofErr w:type="gramEnd"/>
      <w:r>
        <w:rPr>
          <w:rFonts w:ascii="楷体_GB2312" w:eastAsia="楷体_GB2312" w:hint="eastAsia"/>
          <w:sz w:val="28"/>
          <w:szCs w:val="28"/>
        </w:rPr>
        <w:t>其他原因更合适；停止干预反应阳性；不良事件模式与既往对这种或这类干预的了解一致。2）可能有关：有给予试验干预证据；不良事件的出现与给予试验干预的时间顺序是可信的；不良事件的产生由试验干预导致，也可能由其他原因所致；停止干预反应阳性。3）可能无关：有给予试验干预证据；不良事件更可能由其他原因所致；停止干预反应阴性或模棱两可。4）肯定无关：患者未给予试验干预；或不良事件的出现与给予试验干预的时间顺序不可信；或有其他显著的原因可导致不良事件。5）不确定：可疑不良反应不能用以上四个标准评价，则认定为不能确定。</w:t>
      </w:r>
      <w:proofErr w:type="gramStart"/>
      <w:r>
        <w:rPr>
          <w:rFonts w:ascii="楷体_GB2312" w:eastAsia="楷体_GB2312" w:hint="eastAsia"/>
          <w:sz w:val="28"/>
          <w:szCs w:val="28"/>
        </w:rPr>
        <w:t>围术期必须</w:t>
      </w:r>
      <w:proofErr w:type="gramEnd"/>
      <w:r>
        <w:rPr>
          <w:rFonts w:ascii="楷体_GB2312" w:eastAsia="楷体_GB2312" w:hint="eastAsia"/>
          <w:sz w:val="28"/>
          <w:szCs w:val="28"/>
        </w:rPr>
        <w:t>对患者进行严密的观察与监测。研究过程中，由重庆医科大学附属第一医院麻醉科</w:t>
      </w:r>
      <w:r>
        <w:rPr>
          <w:rFonts w:ascii="楷体_GB2312" w:eastAsia="楷体_GB2312" w:hint="eastAsia"/>
          <w:color w:val="000000"/>
          <w:sz w:val="28"/>
          <w:szCs w:val="28"/>
        </w:rPr>
        <w:t>王彬副教授</w:t>
      </w:r>
      <w:r>
        <w:rPr>
          <w:rFonts w:ascii="楷体_GB2312" w:eastAsia="楷体_GB2312" w:hint="eastAsia"/>
          <w:sz w:val="28"/>
          <w:szCs w:val="28"/>
        </w:rPr>
        <w:t>负责医疗监督及整个研究过程中受试者的安全，如发生不良事件，应详细记录不良事件发生的具体情况及相关处理措施，并保存患者资料。</w:t>
      </w:r>
    </w:p>
    <w:p w14:paraId="40E343A9" w14:textId="77777777" w:rsidR="00FA5BA2" w:rsidRDefault="00FA5BA2" w:rsidP="00FA5BA2">
      <w:pPr>
        <w:spacing w:line="360" w:lineRule="auto"/>
        <w:rPr>
          <w:rFonts w:ascii="楷体_GB2312" w:eastAsia="楷体_GB2312"/>
          <w:sz w:val="28"/>
          <w:szCs w:val="28"/>
        </w:rPr>
      </w:pPr>
      <w:r>
        <w:rPr>
          <w:rFonts w:ascii="楷体_GB2312" w:eastAsia="楷体_GB2312" w:hint="eastAsia"/>
          <w:b/>
          <w:sz w:val="28"/>
          <w:szCs w:val="28"/>
        </w:rPr>
        <w:t>隐私问题：</w:t>
      </w:r>
    </w:p>
    <w:p w14:paraId="69A78C40" w14:textId="77777777" w:rsidR="00FA5BA2" w:rsidRDefault="00FA5BA2" w:rsidP="00FA5BA2">
      <w:pPr>
        <w:spacing w:line="360" w:lineRule="auto"/>
        <w:ind w:firstLineChars="200" w:firstLine="560"/>
        <w:rPr>
          <w:rFonts w:ascii="楷体_GB2312" w:eastAsia="楷体_GB2312"/>
          <w:sz w:val="28"/>
          <w:szCs w:val="28"/>
        </w:rPr>
      </w:pPr>
      <w:r>
        <w:rPr>
          <w:rFonts w:ascii="楷体_GB2312" w:eastAsia="楷体_GB2312" w:hint="eastAsia"/>
          <w:sz w:val="28"/>
          <w:szCs w:val="28"/>
        </w:rPr>
        <w:t>如果您决定参加本项研究，如果您决定参加本项研究，您的全部相关数据，包括身份识别信息和全部个人医学资料应视作保密文件，按保密文件处理。数据核对程序应按最严格保密方式进行。研究工作组成员应对研究中的任何相关信息和结果保密，除非您本人认可，否则任何可以</w:t>
      </w:r>
      <w:proofErr w:type="gramStart"/>
      <w:r>
        <w:rPr>
          <w:rFonts w:ascii="楷体_GB2312" w:eastAsia="楷体_GB2312" w:hint="eastAsia"/>
          <w:sz w:val="28"/>
          <w:szCs w:val="28"/>
        </w:rPr>
        <w:t>识别您</w:t>
      </w:r>
      <w:proofErr w:type="gramEnd"/>
      <w:r>
        <w:rPr>
          <w:rFonts w:ascii="楷体_GB2312" w:eastAsia="楷体_GB2312" w:hint="eastAsia"/>
          <w:sz w:val="28"/>
          <w:szCs w:val="28"/>
        </w:rPr>
        <w:t>身份的信息将不会透露给研究小组以外的成员。试验完成后，全部病例报告表经研究人、监察员按本方案数据管理的要求填写、审核和签字，连同“知情同意书”交科室领导指定专人保存。全部研究相关文件必须在研究结束后保存至少15年。在这一时限到</w:t>
      </w:r>
      <w:r>
        <w:rPr>
          <w:rFonts w:ascii="楷体_GB2312" w:eastAsia="楷体_GB2312" w:hint="eastAsia"/>
          <w:sz w:val="28"/>
          <w:szCs w:val="28"/>
        </w:rPr>
        <w:lastRenderedPageBreak/>
        <w:t>期后，我们在征得重庆医科大学第一附属医院同意后销毁。此外这项研究结果发表时，我们也将对您的相关信息进行严格保密。</w:t>
      </w:r>
    </w:p>
    <w:p w14:paraId="5BBC55A1" w14:textId="77777777" w:rsidR="00FA5BA2" w:rsidRDefault="00FA5BA2" w:rsidP="00FA5BA2">
      <w:pPr>
        <w:spacing w:line="360" w:lineRule="auto"/>
        <w:rPr>
          <w:rFonts w:ascii="楷体_GB2312" w:eastAsia="楷体_GB2312"/>
          <w:b/>
          <w:sz w:val="28"/>
          <w:szCs w:val="28"/>
        </w:rPr>
      </w:pPr>
      <w:r>
        <w:rPr>
          <w:rFonts w:ascii="楷体_GB2312" w:eastAsia="楷体_GB2312" w:hint="eastAsia"/>
          <w:b/>
          <w:sz w:val="28"/>
          <w:szCs w:val="28"/>
        </w:rPr>
        <w:t>费用和补偿：</w:t>
      </w:r>
    </w:p>
    <w:p w14:paraId="632DEE48" w14:textId="77777777" w:rsidR="00FA5BA2" w:rsidRPr="00921B88" w:rsidRDefault="00FA5BA2" w:rsidP="00FA5BA2">
      <w:pPr>
        <w:spacing w:line="360" w:lineRule="auto"/>
        <w:ind w:firstLineChars="200" w:firstLine="560"/>
        <w:rPr>
          <w:rFonts w:ascii="楷体_GB2312" w:eastAsia="楷体_GB2312"/>
          <w:color w:val="000000"/>
          <w:sz w:val="28"/>
          <w:szCs w:val="28"/>
        </w:rPr>
      </w:pPr>
      <w:r w:rsidRPr="00921B88">
        <w:rPr>
          <w:rFonts w:ascii="楷体_GB2312" w:eastAsia="楷体_GB2312"/>
          <w:color w:val="000000"/>
          <w:sz w:val="28"/>
          <w:szCs w:val="28"/>
        </w:rPr>
        <w:t>此研究是在予以目前常用的疗效较好的治疗方法的情况下进行数据收集，不</w:t>
      </w:r>
      <w:proofErr w:type="gramStart"/>
      <w:r w:rsidRPr="00921B88">
        <w:rPr>
          <w:rFonts w:ascii="楷体_GB2312" w:eastAsia="楷体_GB2312"/>
          <w:color w:val="000000"/>
          <w:sz w:val="28"/>
          <w:szCs w:val="28"/>
        </w:rPr>
        <w:t>干涉您</w:t>
      </w:r>
      <w:proofErr w:type="gramEnd"/>
      <w:r w:rsidRPr="00921B88">
        <w:rPr>
          <w:rFonts w:ascii="楷体_GB2312" w:eastAsia="楷体_GB2312"/>
          <w:color w:val="000000"/>
          <w:sz w:val="28"/>
          <w:szCs w:val="28"/>
        </w:rPr>
        <w:t>的其他治疗，不会额外增加医疗费用。本研究所需的各项测试</w:t>
      </w:r>
      <w:r>
        <w:rPr>
          <w:rFonts w:ascii="楷体_GB2312" w:eastAsia="楷体_GB2312" w:hint="eastAsia"/>
          <w:color w:val="000000"/>
          <w:sz w:val="28"/>
          <w:szCs w:val="28"/>
        </w:rPr>
        <w:t>、评估</w:t>
      </w:r>
      <w:r w:rsidRPr="00921B88">
        <w:rPr>
          <w:rFonts w:ascii="楷体_GB2312" w:eastAsia="楷体_GB2312"/>
          <w:color w:val="000000"/>
          <w:sz w:val="28"/>
          <w:szCs w:val="28"/>
        </w:rPr>
        <w:t>费用由本课题组提供。如果您因参与这项研究而受到伤害：如因参与这项研究而出现的相关严重不良反应，您可以免费接受严重不良反应的治疗和相应的补偿。治疗和补偿费用由本课题组提供。</w:t>
      </w:r>
    </w:p>
    <w:p w14:paraId="741B3677" w14:textId="77777777" w:rsidR="00FA5BA2" w:rsidRDefault="00FA5BA2" w:rsidP="00FA5BA2">
      <w:pPr>
        <w:spacing w:line="360" w:lineRule="auto"/>
        <w:rPr>
          <w:rFonts w:ascii="楷体_GB2312" w:eastAsia="楷体_GB2312"/>
          <w:b/>
          <w:sz w:val="28"/>
          <w:szCs w:val="28"/>
        </w:rPr>
      </w:pPr>
      <w:r>
        <w:rPr>
          <w:rFonts w:ascii="楷体_GB2312" w:eastAsia="楷体_GB2312" w:hint="eastAsia"/>
          <w:b/>
          <w:sz w:val="28"/>
          <w:szCs w:val="28"/>
        </w:rPr>
        <w:t>自由退出：</w:t>
      </w:r>
    </w:p>
    <w:p w14:paraId="53056C2A" w14:textId="77777777" w:rsidR="00FA5BA2" w:rsidRDefault="00FA5BA2" w:rsidP="00FA5BA2">
      <w:pPr>
        <w:spacing w:line="360" w:lineRule="auto"/>
        <w:ind w:firstLineChars="200" w:firstLine="560"/>
        <w:rPr>
          <w:rFonts w:ascii="楷体_GB2312" w:eastAsia="楷体_GB2312"/>
          <w:sz w:val="28"/>
          <w:szCs w:val="28"/>
        </w:rPr>
      </w:pPr>
      <w:r>
        <w:rPr>
          <w:rFonts w:ascii="楷体_GB2312" w:eastAsia="楷体_GB2312" w:hint="eastAsia"/>
          <w:sz w:val="28"/>
          <w:szCs w:val="28"/>
        </w:rPr>
        <w:t>作为受试者，您可随时了解与本研究有关的信息资料和研究进展，自愿决定（继续）参加还是不（继续）参加。参加后，无论是否发生伤害，是否严重，您可以选择在任何时候不需要任何理由通知研究者要求退出研究，您的数据将不纳入研究结果，您的任何医疗待遇与权益不会因此而受到影响。如果继续参加研究，会对</w:t>
      </w:r>
      <w:proofErr w:type="gramStart"/>
      <w:r>
        <w:rPr>
          <w:rFonts w:ascii="楷体_GB2312" w:eastAsia="楷体_GB2312" w:hint="eastAsia"/>
          <w:sz w:val="28"/>
          <w:szCs w:val="28"/>
        </w:rPr>
        <w:t>您造成</w:t>
      </w:r>
      <w:proofErr w:type="gramEnd"/>
      <w:r>
        <w:rPr>
          <w:rFonts w:ascii="楷体_GB2312" w:eastAsia="楷体_GB2312" w:hint="eastAsia"/>
          <w:sz w:val="28"/>
          <w:szCs w:val="28"/>
        </w:rPr>
        <w:t>严重的伤害，研究者也将会终止研究的进行。</w:t>
      </w:r>
    </w:p>
    <w:p w14:paraId="121367B2" w14:textId="77777777" w:rsidR="00FA5BA2" w:rsidRDefault="00FA5BA2" w:rsidP="00FA5BA2">
      <w:pPr>
        <w:spacing w:line="360" w:lineRule="auto"/>
        <w:ind w:firstLineChars="200" w:firstLine="560"/>
        <w:rPr>
          <w:rFonts w:ascii="楷体_GB2312" w:eastAsia="楷体_GB2312"/>
          <w:sz w:val="28"/>
          <w:szCs w:val="28"/>
        </w:rPr>
      </w:pPr>
      <w:r>
        <w:rPr>
          <w:rFonts w:ascii="楷体_GB2312" w:eastAsia="楷体_GB2312" w:hint="eastAsia"/>
          <w:sz w:val="28"/>
          <w:szCs w:val="28"/>
        </w:rPr>
        <w:t>但在参加研究期间，请您提供有关自身病史和当前身体状况的真实情况；告诉研究医生自己在本次研究期间所出现的任何不适；不得服用受限制的药物、食物等；告诉研究医生自己在最近是否曾参与其他研究，或目前正参与其他研究。如果因为您没有遵守研究计划，或者发生了与研究相关的损伤或者有任何其它原因，研究医师可以终止您继续参与本项研究。</w:t>
      </w:r>
    </w:p>
    <w:p w14:paraId="0D7DC260" w14:textId="77777777" w:rsidR="00FA5BA2" w:rsidRDefault="00FA5BA2" w:rsidP="00FA5BA2">
      <w:pPr>
        <w:spacing w:line="360" w:lineRule="auto"/>
        <w:rPr>
          <w:rFonts w:ascii="楷体_GB2312" w:eastAsia="楷体_GB2312"/>
          <w:b/>
          <w:sz w:val="28"/>
          <w:szCs w:val="28"/>
        </w:rPr>
      </w:pPr>
      <w:r>
        <w:rPr>
          <w:rFonts w:ascii="楷体_GB2312" w:eastAsia="楷体_GB2312" w:hint="eastAsia"/>
          <w:b/>
          <w:sz w:val="28"/>
          <w:szCs w:val="28"/>
        </w:rPr>
        <w:lastRenderedPageBreak/>
        <w:t>联系方式：</w:t>
      </w:r>
    </w:p>
    <w:p w14:paraId="2C96A4E2" w14:textId="77777777" w:rsidR="00FA5BA2" w:rsidRDefault="00FA5BA2" w:rsidP="00FA5BA2">
      <w:pPr>
        <w:spacing w:line="360" w:lineRule="auto"/>
        <w:ind w:firstLineChars="200" w:firstLine="560"/>
        <w:rPr>
          <w:rFonts w:ascii="楷体_GB2312" w:eastAsia="楷体_GB2312"/>
          <w:b/>
          <w:sz w:val="28"/>
          <w:szCs w:val="28"/>
        </w:rPr>
      </w:pPr>
      <w:r>
        <w:rPr>
          <w:rFonts w:ascii="楷体_GB2312" w:eastAsia="楷体_GB2312" w:hint="eastAsia"/>
          <w:sz w:val="28"/>
          <w:szCs w:val="28"/>
        </w:rPr>
        <w:t>如果您有与本研究有关的问题，或您在研究过程中发生了任何不适与损伤，或有关于本项研究参加者权益方面的问题，您可以与我们联系</w:t>
      </w:r>
      <w:r w:rsidRPr="00D36CB8">
        <w:rPr>
          <w:rFonts w:ascii="楷体_GB2312" w:eastAsia="楷体_GB2312" w:hint="eastAsia"/>
          <w:bCs/>
          <w:sz w:val="28"/>
          <w:szCs w:val="28"/>
        </w:rPr>
        <w:t>，联系人：刘銘</w:t>
      </w:r>
      <w:proofErr w:type="gramStart"/>
      <w:r w:rsidRPr="00D36CB8">
        <w:rPr>
          <w:rFonts w:ascii="楷体_GB2312" w:eastAsia="楷体_GB2312" w:hint="eastAsia"/>
          <w:bCs/>
          <w:sz w:val="28"/>
          <w:szCs w:val="28"/>
        </w:rPr>
        <w:t>浩</w:t>
      </w:r>
      <w:proofErr w:type="gramEnd"/>
      <w:r>
        <w:rPr>
          <w:rFonts w:ascii="楷体_GB2312" w:eastAsia="楷体_GB2312" w:hint="eastAsia"/>
          <w:bCs/>
          <w:sz w:val="28"/>
          <w:szCs w:val="28"/>
        </w:rPr>
        <w:t xml:space="preserve"> </w:t>
      </w:r>
      <w:r w:rsidRPr="00D36CB8">
        <w:rPr>
          <w:rFonts w:ascii="楷体_GB2312" w:eastAsia="楷体_GB2312" w:hint="eastAsia"/>
          <w:bCs/>
          <w:sz w:val="28"/>
          <w:szCs w:val="28"/>
        </w:rPr>
        <w:t>电话：</w:t>
      </w:r>
      <w:r w:rsidRPr="00D36CB8">
        <w:rPr>
          <w:rFonts w:ascii="楷体_GB2312" w:eastAsia="楷体_GB2312"/>
          <w:bCs/>
          <w:sz w:val="28"/>
          <w:szCs w:val="28"/>
        </w:rPr>
        <w:t>17</w:t>
      </w:r>
      <w:r>
        <w:rPr>
          <w:rFonts w:ascii="楷体_GB2312" w:eastAsia="楷体_GB2312"/>
          <w:sz w:val="28"/>
          <w:szCs w:val="28"/>
        </w:rPr>
        <w:t>629720320</w:t>
      </w:r>
      <w:r>
        <w:rPr>
          <w:rFonts w:ascii="楷体_GB2312" w:eastAsia="楷体_GB2312" w:hint="eastAsia"/>
          <w:b/>
          <w:sz w:val="28"/>
          <w:szCs w:val="28"/>
        </w:rPr>
        <w:t>。</w:t>
      </w:r>
    </w:p>
    <w:p w14:paraId="2A403AEF" w14:textId="77777777" w:rsidR="00FA5BA2" w:rsidRDefault="00FA5BA2" w:rsidP="00FA5BA2">
      <w:pPr>
        <w:spacing w:line="360" w:lineRule="auto"/>
        <w:rPr>
          <w:rFonts w:ascii="楷体_GB2312" w:eastAsia="楷体_GB2312"/>
          <w:b/>
          <w:sz w:val="28"/>
          <w:szCs w:val="28"/>
        </w:rPr>
      </w:pPr>
      <w:r>
        <w:rPr>
          <w:rFonts w:ascii="楷体_GB2312" w:eastAsia="楷体_GB2312" w:hint="eastAsia"/>
          <w:b/>
          <w:sz w:val="28"/>
          <w:szCs w:val="28"/>
        </w:rPr>
        <w:t>试验</w:t>
      </w:r>
      <w:proofErr w:type="gramStart"/>
      <w:r>
        <w:rPr>
          <w:rFonts w:ascii="楷体_GB2312" w:eastAsia="楷体_GB2312" w:hint="eastAsia"/>
          <w:b/>
          <w:sz w:val="28"/>
          <w:szCs w:val="28"/>
        </w:rPr>
        <w:t>后利益</w:t>
      </w:r>
      <w:proofErr w:type="gramEnd"/>
      <w:r>
        <w:rPr>
          <w:rFonts w:ascii="楷体_GB2312" w:eastAsia="楷体_GB2312" w:hint="eastAsia"/>
          <w:b/>
          <w:sz w:val="28"/>
          <w:szCs w:val="28"/>
        </w:rPr>
        <w:t>分享：</w:t>
      </w:r>
    </w:p>
    <w:p w14:paraId="7D21AB94" w14:textId="77777777" w:rsidR="00FA5BA2" w:rsidRDefault="00FA5BA2" w:rsidP="00FA5BA2">
      <w:pPr>
        <w:spacing w:line="360" w:lineRule="auto"/>
        <w:ind w:firstLineChars="200" w:firstLine="560"/>
        <w:rPr>
          <w:rFonts w:ascii="楷体_GB2312" w:eastAsia="楷体_GB2312"/>
          <w:sz w:val="28"/>
          <w:szCs w:val="28"/>
        </w:rPr>
      </w:pPr>
      <w:r>
        <w:rPr>
          <w:rFonts w:ascii="楷体_GB2312" w:eastAsia="楷体_GB2312" w:hint="eastAsia"/>
          <w:sz w:val="28"/>
          <w:szCs w:val="28"/>
        </w:rPr>
        <w:t>当研究结束且研究证明安全有效时，不存在经济利益。</w:t>
      </w:r>
    </w:p>
    <w:p w14:paraId="0FC034EB" w14:textId="77777777" w:rsidR="00FA5BA2" w:rsidRDefault="00FA5BA2" w:rsidP="00FA5BA2">
      <w:pPr>
        <w:spacing w:line="360" w:lineRule="auto"/>
        <w:rPr>
          <w:rFonts w:ascii="楷体_GB2312" w:eastAsia="楷体_GB2312"/>
          <w:b/>
          <w:sz w:val="28"/>
          <w:szCs w:val="28"/>
        </w:rPr>
      </w:pPr>
      <w:r>
        <w:rPr>
          <w:rFonts w:ascii="楷体_GB2312" w:eastAsia="楷体_GB2312" w:hint="eastAsia"/>
          <w:b/>
          <w:sz w:val="28"/>
          <w:szCs w:val="28"/>
        </w:rPr>
        <w:t>知情同意签字：</w:t>
      </w:r>
    </w:p>
    <w:p w14:paraId="5BBAE16D" w14:textId="77777777" w:rsidR="00FA5BA2" w:rsidRDefault="00FA5BA2" w:rsidP="00FA5BA2">
      <w:pPr>
        <w:spacing w:line="360" w:lineRule="auto"/>
        <w:rPr>
          <w:rFonts w:ascii="楷体_GB2312" w:eastAsia="楷体_GB2312"/>
          <w:sz w:val="28"/>
          <w:szCs w:val="28"/>
        </w:rPr>
      </w:pPr>
      <w:r>
        <w:rPr>
          <w:rFonts w:ascii="楷体_GB2312" w:eastAsia="楷体_GB2312" w:hint="eastAsia"/>
          <w:sz w:val="28"/>
          <w:szCs w:val="28"/>
        </w:rPr>
        <w:t xml:space="preserve">    我已经阅读了本知情同意书，并且我的医生</w:t>
      </w:r>
      <w:r>
        <w:rPr>
          <w:rFonts w:ascii="楷体_GB2312" w:eastAsia="楷体_GB2312" w:hint="eastAsia"/>
          <w:sz w:val="28"/>
          <w:szCs w:val="28"/>
          <w:u w:val="single"/>
        </w:rPr>
        <w:t xml:space="preserve">             </w:t>
      </w:r>
      <w:r>
        <w:rPr>
          <w:rFonts w:ascii="楷体_GB2312" w:eastAsia="楷体_GB2312" w:hint="eastAsia"/>
          <w:sz w:val="28"/>
          <w:szCs w:val="28"/>
        </w:rPr>
        <w:t>已经将此次临床试验的目的、内容、风险和受益情况向我作了详细的解释说明，对我询问的所有问题也给予了解答，我对此项临床研究已经了解，我自愿参加本项研究。</w:t>
      </w:r>
    </w:p>
    <w:p w14:paraId="2B670C6F" w14:textId="77777777" w:rsidR="00FA5BA2" w:rsidRDefault="00FA5BA2" w:rsidP="00FA5BA2">
      <w:pPr>
        <w:spacing w:line="360" w:lineRule="auto"/>
        <w:ind w:firstLineChars="200" w:firstLine="480"/>
        <w:rPr>
          <w:rFonts w:ascii="楷体_GB2312" w:eastAsia="楷体_GB2312"/>
          <w:sz w:val="24"/>
        </w:rPr>
      </w:pPr>
      <w:r>
        <w:rPr>
          <w:rFonts w:ascii="楷体_GB2312" w:eastAsia="楷体_GB2312" w:hint="eastAsia"/>
          <w:sz w:val="24"/>
        </w:rPr>
        <w:t>受试者签名：</w:t>
      </w:r>
      <w:r>
        <w:rPr>
          <w:rFonts w:ascii="楷体_GB2312" w:eastAsia="楷体_GB2312" w:hint="eastAsia"/>
          <w:sz w:val="24"/>
          <w:u w:val="single"/>
        </w:rPr>
        <w:t xml:space="preserve">                     </w:t>
      </w:r>
      <w:r>
        <w:rPr>
          <w:rFonts w:ascii="楷体_GB2312" w:eastAsia="楷体_GB2312"/>
          <w:sz w:val="24"/>
          <w:u w:val="single"/>
        </w:rPr>
        <w:t xml:space="preserve"> </w:t>
      </w:r>
      <w:r>
        <w:rPr>
          <w:rFonts w:ascii="楷体_GB2312" w:eastAsia="楷体_GB2312" w:hint="eastAsia"/>
          <w:sz w:val="24"/>
          <w:u w:val="single"/>
        </w:rPr>
        <w:t xml:space="preserve"> </w:t>
      </w:r>
      <w:r>
        <w:rPr>
          <w:rFonts w:ascii="楷体_GB2312" w:eastAsia="楷体_GB2312" w:hint="eastAsia"/>
          <w:sz w:val="24"/>
        </w:rPr>
        <w:t xml:space="preserve"> 日期：     年    月    日</w:t>
      </w:r>
    </w:p>
    <w:p w14:paraId="2B54BF24" w14:textId="77777777" w:rsidR="00FA5BA2" w:rsidRDefault="00FA5BA2" w:rsidP="00FA5BA2">
      <w:pPr>
        <w:spacing w:line="360" w:lineRule="auto"/>
        <w:ind w:firstLineChars="200" w:firstLine="480"/>
        <w:rPr>
          <w:rFonts w:ascii="楷体_GB2312" w:eastAsia="楷体_GB2312"/>
          <w:sz w:val="24"/>
        </w:rPr>
      </w:pPr>
      <w:r>
        <w:rPr>
          <w:rFonts w:ascii="楷体_GB2312" w:eastAsia="楷体_GB2312" w:hint="eastAsia"/>
          <w:sz w:val="24"/>
        </w:rPr>
        <w:t>研究者签名：</w:t>
      </w:r>
      <w:r>
        <w:rPr>
          <w:rFonts w:ascii="楷体_GB2312" w:eastAsia="楷体_GB2312" w:hint="eastAsia"/>
          <w:sz w:val="24"/>
          <w:u w:val="single"/>
        </w:rPr>
        <w:t xml:space="preserve">                        </w:t>
      </w:r>
      <w:r>
        <w:rPr>
          <w:rFonts w:ascii="楷体_GB2312" w:eastAsia="楷体_GB2312" w:hint="eastAsia"/>
          <w:sz w:val="24"/>
        </w:rPr>
        <w:t>日期：    年     月     日</w:t>
      </w:r>
    </w:p>
    <w:p w14:paraId="6D35801F" w14:textId="77777777" w:rsidR="00FA5BA2" w:rsidRDefault="00FA5BA2" w:rsidP="00FA5BA2">
      <w:pPr>
        <w:spacing w:line="360" w:lineRule="auto"/>
        <w:rPr>
          <w:rFonts w:ascii="楷体_GB2312" w:eastAsia="楷体_GB2312"/>
          <w:sz w:val="24"/>
        </w:rPr>
      </w:pPr>
      <w:r>
        <w:rPr>
          <w:rFonts w:ascii="楷体_GB2312" w:eastAsia="楷体_GB2312" w:hint="eastAsia"/>
          <w:sz w:val="24"/>
        </w:rPr>
        <w:t>（注：如果受试者不识字时尚需见证人签名，如果受试者无行为能力时则需代理人同意）</w:t>
      </w:r>
    </w:p>
    <w:p w14:paraId="105C413B" w14:textId="77777777" w:rsidR="00904CED" w:rsidRPr="007104CC" w:rsidRDefault="00904CED" w:rsidP="00FA5BA2">
      <w:pPr>
        <w:spacing w:line="360" w:lineRule="auto"/>
        <w:rPr>
          <w:rFonts w:ascii="楷体_GB2312" w:eastAsia="楷体_GB2312"/>
          <w:sz w:val="24"/>
        </w:rPr>
      </w:pPr>
    </w:p>
    <w:p w14:paraId="0F243425" w14:textId="7557846C" w:rsidR="00DB021E" w:rsidRPr="00DB021E" w:rsidRDefault="00DB021E" w:rsidP="00DB021E">
      <w:pPr>
        <w:widowControl/>
        <w:spacing w:line="480" w:lineRule="auto"/>
        <w:jc w:val="left"/>
        <w:textAlignment w:val="bottom"/>
        <w:rPr>
          <w:rFonts w:ascii="Noto Sans" w:eastAsia="宋体" w:hAnsi="Noto Sans" w:cs="Noto Sans"/>
          <w:b/>
          <w:bCs/>
          <w:kern w:val="0"/>
          <w:sz w:val="24"/>
          <w:szCs w:val="24"/>
        </w:rPr>
      </w:pPr>
      <w:r w:rsidRPr="00DB021E">
        <w:rPr>
          <w:rFonts w:ascii="Noto Sans" w:eastAsia="宋体" w:hAnsi="Noto Sans" w:cs="Noto Sans"/>
          <w:b/>
          <w:bCs/>
          <w:kern w:val="0"/>
          <w:sz w:val="24"/>
          <w:szCs w:val="24"/>
        </w:rPr>
        <w:t>Research protocol: part 2</w:t>
      </w:r>
    </w:p>
    <w:p w14:paraId="7AF13964" w14:textId="77777777" w:rsidR="00DB021E" w:rsidRPr="00DB021E" w:rsidRDefault="00DB021E" w:rsidP="00DB021E">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t>Budget</w:t>
      </w:r>
    </w:p>
    <w:p w14:paraId="48AB760E" w14:textId="656C67AE" w:rsidR="00140325" w:rsidRPr="002E556C" w:rsidRDefault="00140325" w:rsidP="00140325">
      <w:pPr>
        <w:widowControl/>
        <w:spacing w:before="100" w:beforeAutospacing="1" w:after="100" w:afterAutospacing="1" w:line="300" w:lineRule="atLeast"/>
        <w:jc w:val="left"/>
        <w:outlineLvl w:val="2"/>
        <w:rPr>
          <w:rFonts w:ascii="Noto Sans" w:eastAsia="宋体" w:hAnsi="Noto Sans" w:cs="Noto Sans"/>
          <w:b/>
          <w:bCs/>
          <w:kern w:val="0"/>
          <w:sz w:val="24"/>
          <w:szCs w:val="24"/>
        </w:rPr>
      </w:pPr>
      <w:r w:rsidRPr="002E556C">
        <w:rPr>
          <w:rFonts w:ascii="Noto Sans" w:eastAsia="宋体" w:hAnsi="Noto Sans" w:cs="Noto Sans"/>
          <w:b/>
          <w:bCs/>
          <w:kern w:val="0"/>
          <w:sz w:val="24"/>
          <w:szCs w:val="24"/>
        </w:rPr>
        <w:t>Personnel Costs (30% of Budget) - $1500</w:t>
      </w:r>
      <w:r w:rsidR="002E556C" w:rsidRPr="002E556C">
        <w:rPr>
          <w:rFonts w:ascii="Noto Sans" w:eastAsia="宋体" w:hAnsi="Noto Sans" w:cs="Noto Sans" w:hint="eastAsia"/>
          <w:b/>
          <w:bCs/>
          <w:kern w:val="0"/>
          <w:sz w:val="24"/>
          <w:szCs w:val="24"/>
        </w:rPr>
        <w:t>：</w:t>
      </w:r>
    </w:p>
    <w:p w14:paraId="57F43280" w14:textId="77777777" w:rsidR="00140325" w:rsidRPr="00140325" w:rsidRDefault="00140325" w:rsidP="00140325">
      <w:pPr>
        <w:widowControl/>
        <w:spacing w:before="100" w:beforeAutospacing="1" w:after="100" w:afterAutospacing="1" w:line="300" w:lineRule="atLeast"/>
        <w:jc w:val="left"/>
        <w:outlineLvl w:val="2"/>
        <w:rPr>
          <w:rFonts w:ascii="Noto Sans" w:eastAsia="宋体" w:hAnsi="Noto Sans" w:cs="Noto Sans"/>
          <w:kern w:val="0"/>
          <w:sz w:val="24"/>
          <w:szCs w:val="24"/>
        </w:rPr>
      </w:pPr>
      <w:r w:rsidRPr="00140325">
        <w:rPr>
          <w:rFonts w:ascii="Noto Sans" w:eastAsia="宋体" w:hAnsi="Noto Sans" w:cs="Noto Sans"/>
          <w:kern w:val="0"/>
          <w:sz w:val="24"/>
          <w:szCs w:val="24"/>
        </w:rPr>
        <w:t>Principal Investigator (PI) Salary: $1000</w:t>
      </w:r>
    </w:p>
    <w:p w14:paraId="4E4231BD" w14:textId="77777777" w:rsidR="00140325" w:rsidRPr="00140325" w:rsidRDefault="00140325" w:rsidP="00140325">
      <w:pPr>
        <w:widowControl/>
        <w:spacing w:before="100" w:beforeAutospacing="1" w:after="100" w:afterAutospacing="1" w:line="300" w:lineRule="atLeast"/>
        <w:jc w:val="left"/>
        <w:outlineLvl w:val="2"/>
        <w:rPr>
          <w:rFonts w:ascii="Noto Sans" w:eastAsia="宋体" w:hAnsi="Noto Sans" w:cs="Noto Sans"/>
          <w:kern w:val="0"/>
          <w:sz w:val="24"/>
          <w:szCs w:val="24"/>
        </w:rPr>
      </w:pPr>
      <w:r w:rsidRPr="00140325">
        <w:rPr>
          <w:rFonts w:ascii="Noto Sans" w:eastAsia="宋体" w:hAnsi="Noto Sans" w:cs="Noto Sans"/>
          <w:kern w:val="0"/>
          <w:sz w:val="24"/>
          <w:szCs w:val="24"/>
        </w:rPr>
        <w:lastRenderedPageBreak/>
        <w:t>Research Assistants (X): $500</w:t>
      </w:r>
    </w:p>
    <w:p w14:paraId="5C7B064F" w14:textId="77777777" w:rsidR="00140325" w:rsidRPr="002E556C" w:rsidRDefault="00140325" w:rsidP="00140325">
      <w:pPr>
        <w:widowControl/>
        <w:spacing w:before="100" w:beforeAutospacing="1" w:after="100" w:afterAutospacing="1" w:line="300" w:lineRule="atLeast"/>
        <w:jc w:val="left"/>
        <w:outlineLvl w:val="2"/>
        <w:rPr>
          <w:rFonts w:ascii="Noto Sans" w:eastAsia="宋体" w:hAnsi="Noto Sans" w:cs="Noto Sans"/>
          <w:b/>
          <w:bCs/>
          <w:kern w:val="0"/>
          <w:sz w:val="24"/>
          <w:szCs w:val="24"/>
        </w:rPr>
      </w:pPr>
      <w:r w:rsidRPr="002E556C">
        <w:rPr>
          <w:rFonts w:ascii="Noto Sans" w:eastAsia="宋体" w:hAnsi="Noto Sans" w:cs="Noto Sans"/>
          <w:b/>
          <w:bCs/>
          <w:kern w:val="0"/>
          <w:sz w:val="24"/>
          <w:szCs w:val="24"/>
        </w:rPr>
        <w:t>Medical Supplies and Drug Procurement (25% of Budget) - $1250</w:t>
      </w:r>
    </w:p>
    <w:p w14:paraId="0C1EADAE" w14:textId="77777777" w:rsidR="00140325" w:rsidRPr="00140325" w:rsidRDefault="00140325" w:rsidP="00140325">
      <w:pPr>
        <w:widowControl/>
        <w:spacing w:before="100" w:beforeAutospacing="1" w:after="100" w:afterAutospacing="1" w:line="300" w:lineRule="atLeast"/>
        <w:jc w:val="left"/>
        <w:outlineLvl w:val="2"/>
        <w:rPr>
          <w:rFonts w:ascii="Noto Sans" w:eastAsia="宋体" w:hAnsi="Noto Sans" w:cs="Noto Sans"/>
          <w:kern w:val="0"/>
          <w:sz w:val="24"/>
          <w:szCs w:val="24"/>
        </w:rPr>
      </w:pPr>
      <w:r w:rsidRPr="00140325">
        <w:rPr>
          <w:rFonts w:ascii="Noto Sans" w:eastAsia="宋体" w:hAnsi="Noto Sans" w:cs="Noto Sans"/>
          <w:kern w:val="0"/>
          <w:sz w:val="24"/>
          <w:szCs w:val="24"/>
        </w:rPr>
        <w:t>Purchase of Investigational Drugs: $750</w:t>
      </w:r>
    </w:p>
    <w:p w14:paraId="0FF9ADC7" w14:textId="77777777" w:rsidR="00140325" w:rsidRPr="00140325" w:rsidRDefault="00140325" w:rsidP="00140325">
      <w:pPr>
        <w:widowControl/>
        <w:spacing w:before="100" w:beforeAutospacing="1" w:after="100" w:afterAutospacing="1" w:line="300" w:lineRule="atLeast"/>
        <w:jc w:val="left"/>
        <w:outlineLvl w:val="2"/>
        <w:rPr>
          <w:rFonts w:ascii="Noto Sans" w:eastAsia="宋体" w:hAnsi="Noto Sans" w:cs="Noto Sans"/>
          <w:kern w:val="0"/>
          <w:sz w:val="24"/>
          <w:szCs w:val="24"/>
        </w:rPr>
      </w:pPr>
      <w:r w:rsidRPr="00140325">
        <w:rPr>
          <w:rFonts w:ascii="Noto Sans" w:eastAsia="宋体" w:hAnsi="Noto Sans" w:cs="Noto Sans"/>
          <w:kern w:val="0"/>
          <w:sz w:val="24"/>
          <w:szCs w:val="24"/>
        </w:rPr>
        <w:t>Lab Supplies: $500</w:t>
      </w:r>
    </w:p>
    <w:p w14:paraId="468086A1" w14:textId="77777777" w:rsidR="00140325" w:rsidRPr="00DD3325" w:rsidRDefault="00140325" w:rsidP="00140325">
      <w:pPr>
        <w:widowControl/>
        <w:spacing w:before="100" w:beforeAutospacing="1" w:after="100" w:afterAutospacing="1" w:line="300" w:lineRule="atLeast"/>
        <w:jc w:val="left"/>
        <w:outlineLvl w:val="2"/>
        <w:rPr>
          <w:rFonts w:ascii="Noto Sans" w:eastAsia="宋体" w:hAnsi="Noto Sans" w:cs="Noto Sans"/>
          <w:b/>
          <w:bCs/>
          <w:kern w:val="0"/>
          <w:sz w:val="24"/>
          <w:szCs w:val="24"/>
        </w:rPr>
      </w:pPr>
      <w:r w:rsidRPr="00DD3325">
        <w:rPr>
          <w:rFonts w:ascii="Noto Sans" w:eastAsia="宋体" w:hAnsi="Noto Sans" w:cs="Noto Sans"/>
          <w:b/>
          <w:bCs/>
          <w:kern w:val="0"/>
          <w:sz w:val="24"/>
          <w:szCs w:val="24"/>
        </w:rPr>
        <w:t>Data Management and Analysis (15% of Budget) - $750</w:t>
      </w:r>
    </w:p>
    <w:p w14:paraId="29EC0DAD" w14:textId="77777777" w:rsidR="00140325" w:rsidRPr="00DD3325" w:rsidRDefault="00140325" w:rsidP="00140325">
      <w:pPr>
        <w:widowControl/>
        <w:spacing w:before="100" w:beforeAutospacing="1" w:after="100" w:afterAutospacing="1" w:line="300" w:lineRule="atLeast"/>
        <w:jc w:val="left"/>
        <w:outlineLvl w:val="2"/>
        <w:rPr>
          <w:rFonts w:ascii="Noto Sans" w:eastAsia="宋体" w:hAnsi="Noto Sans" w:cs="Noto Sans"/>
          <w:kern w:val="0"/>
          <w:sz w:val="24"/>
          <w:szCs w:val="24"/>
        </w:rPr>
      </w:pPr>
      <w:r w:rsidRPr="00DD3325">
        <w:rPr>
          <w:rFonts w:ascii="Noto Sans" w:eastAsia="宋体" w:hAnsi="Noto Sans" w:cs="Noto Sans"/>
          <w:kern w:val="0"/>
          <w:sz w:val="24"/>
          <w:szCs w:val="24"/>
        </w:rPr>
        <w:t>Database Software License: $500</w:t>
      </w:r>
    </w:p>
    <w:p w14:paraId="5FD56BC1" w14:textId="77777777" w:rsidR="00140325" w:rsidRPr="00DD3325" w:rsidRDefault="00140325" w:rsidP="00140325">
      <w:pPr>
        <w:widowControl/>
        <w:spacing w:before="100" w:beforeAutospacing="1" w:after="100" w:afterAutospacing="1" w:line="300" w:lineRule="atLeast"/>
        <w:jc w:val="left"/>
        <w:outlineLvl w:val="2"/>
        <w:rPr>
          <w:rFonts w:ascii="Noto Sans" w:eastAsia="宋体" w:hAnsi="Noto Sans" w:cs="Noto Sans"/>
          <w:kern w:val="0"/>
          <w:sz w:val="24"/>
          <w:szCs w:val="24"/>
        </w:rPr>
      </w:pPr>
      <w:r w:rsidRPr="00DD3325">
        <w:rPr>
          <w:rFonts w:ascii="Noto Sans" w:eastAsia="宋体" w:hAnsi="Noto Sans" w:cs="Noto Sans"/>
          <w:kern w:val="0"/>
          <w:sz w:val="24"/>
          <w:szCs w:val="24"/>
        </w:rPr>
        <w:t>Statistical Analysis Software: $250</w:t>
      </w:r>
    </w:p>
    <w:p w14:paraId="1993B703" w14:textId="77777777" w:rsidR="00140325" w:rsidRPr="00DD3325" w:rsidRDefault="00140325" w:rsidP="00140325">
      <w:pPr>
        <w:widowControl/>
        <w:spacing w:before="100" w:beforeAutospacing="1" w:after="100" w:afterAutospacing="1" w:line="300" w:lineRule="atLeast"/>
        <w:jc w:val="left"/>
        <w:outlineLvl w:val="2"/>
        <w:rPr>
          <w:rFonts w:ascii="Noto Sans" w:eastAsia="宋体" w:hAnsi="Noto Sans" w:cs="Noto Sans"/>
          <w:b/>
          <w:bCs/>
          <w:kern w:val="0"/>
          <w:sz w:val="24"/>
          <w:szCs w:val="24"/>
        </w:rPr>
      </w:pPr>
      <w:r w:rsidRPr="00DD3325">
        <w:rPr>
          <w:rFonts w:ascii="Noto Sans" w:eastAsia="宋体" w:hAnsi="Noto Sans" w:cs="Noto Sans"/>
          <w:b/>
          <w:bCs/>
          <w:kern w:val="0"/>
          <w:sz w:val="24"/>
          <w:szCs w:val="24"/>
        </w:rPr>
        <w:t>Ethics Committee Fees and Regulatory Compliance (5% of Budget) - $250</w:t>
      </w:r>
    </w:p>
    <w:p w14:paraId="11DEE41B" w14:textId="77777777" w:rsidR="00140325" w:rsidRPr="00140325" w:rsidRDefault="00140325" w:rsidP="00140325">
      <w:pPr>
        <w:widowControl/>
        <w:spacing w:before="100" w:beforeAutospacing="1" w:after="100" w:afterAutospacing="1" w:line="300" w:lineRule="atLeast"/>
        <w:jc w:val="left"/>
        <w:outlineLvl w:val="2"/>
        <w:rPr>
          <w:rFonts w:ascii="Noto Sans" w:eastAsia="宋体" w:hAnsi="Noto Sans" w:cs="Noto Sans"/>
          <w:kern w:val="0"/>
          <w:sz w:val="24"/>
          <w:szCs w:val="24"/>
        </w:rPr>
      </w:pPr>
      <w:r w:rsidRPr="00140325">
        <w:rPr>
          <w:rFonts w:ascii="Noto Sans" w:eastAsia="宋体" w:hAnsi="Noto Sans" w:cs="Noto Sans"/>
          <w:kern w:val="0"/>
          <w:sz w:val="24"/>
          <w:szCs w:val="24"/>
        </w:rPr>
        <w:t>Institutional Review Board (IRB) Submission Fees: $250</w:t>
      </w:r>
    </w:p>
    <w:p w14:paraId="2EE1953C" w14:textId="77777777" w:rsidR="00140325" w:rsidRPr="00E111CE" w:rsidRDefault="00140325" w:rsidP="00140325">
      <w:pPr>
        <w:widowControl/>
        <w:spacing w:before="100" w:beforeAutospacing="1" w:after="100" w:afterAutospacing="1" w:line="300" w:lineRule="atLeast"/>
        <w:jc w:val="left"/>
        <w:outlineLvl w:val="2"/>
        <w:rPr>
          <w:rFonts w:ascii="Noto Sans" w:eastAsia="宋体" w:hAnsi="Noto Sans" w:cs="Noto Sans"/>
          <w:b/>
          <w:bCs/>
          <w:kern w:val="0"/>
          <w:sz w:val="24"/>
          <w:szCs w:val="24"/>
        </w:rPr>
      </w:pPr>
      <w:r w:rsidRPr="00E111CE">
        <w:rPr>
          <w:rFonts w:ascii="Noto Sans" w:eastAsia="宋体" w:hAnsi="Noto Sans" w:cs="Noto Sans"/>
          <w:b/>
          <w:bCs/>
          <w:kern w:val="0"/>
          <w:sz w:val="24"/>
          <w:szCs w:val="24"/>
        </w:rPr>
        <w:t>Publication and Dissemination (5% of Budget) - $250</w:t>
      </w:r>
    </w:p>
    <w:p w14:paraId="324BD759" w14:textId="77777777" w:rsidR="00140325" w:rsidRPr="00140325" w:rsidRDefault="00140325" w:rsidP="00140325">
      <w:pPr>
        <w:widowControl/>
        <w:spacing w:before="100" w:beforeAutospacing="1" w:after="100" w:afterAutospacing="1" w:line="300" w:lineRule="atLeast"/>
        <w:jc w:val="left"/>
        <w:outlineLvl w:val="2"/>
        <w:rPr>
          <w:rFonts w:ascii="Noto Sans" w:eastAsia="宋体" w:hAnsi="Noto Sans" w:cs="Noto Sans"/>
          <w:kern w:val="0"/>
          <w:sz w:val="24"/>
          <w:szCs w:val="24"/>
        </w:rPr>
      </w:pPr>
      <w:r w:rsidRPr="00140325">
        <w:rPr>
          <w:rFonts w:ascii="Noto Sans" w:eastAsia="宋体" w:hAnsi="Noto Sans" w:cs="Noto Sans"/>
          <w:kern w:val="0"/>
          <w:sz w:val="24"/>
          <w:szCs w:val="24"/>
        </w:rPr>
        <w:t>Manuscript Preparation and Submission: $150</w:t>
      </w:r>
    </w:p>
    <w:p w14:paraId="2291494D" w14:textId="77777777" w:rsidR="00140325" w:rsidRPr="00140325" w:rsidRDefault="00140325" w:rsidP="00140325">
      <w:pPr>
        <w:widowControl/>
        <w:spacing w:before="100" w:beforeAutospacing="1" w:after="100" w:afterAutospacing="1" w:line="300" w:lineRule="atLeast"/>
        <w:jc w:val="left"/>
        <w:outlineLvl w:val="2"/>
        <w:rPr>
          <w:rFonts w:ascii="Noto Sans" w:eastAsia="宋体" w:hAnsi="Noto Sans" w:cs="Noto Sans"/>
          <w:kern w:val="0"/>
          <w:sz w:val="24"/>
          <w:szCs w:val="24"/>
        </w:rPr>
      </w:pPr>
      <w:r w:rsidRPr="00140325">
        <w:rPr>
          <w:rFonts w:ascii="Noto Sans" w:eastAsia="宋体" w:hAnsi="Noto Sans" w:cs="Noto Sans"/>
          <w:kern w:val="0"/>
          <w:sz w:val="24"/>
          <w:szCs w:val="24"/>
        </w:rPr>
        <w:t>Conference Participation: $100</w:t>
      </w:r>
    </w:p>
    <w:p w14:paraId="614CD506" w14:textId="5F87FEBC" w:rsidR="00E111CE" w:rsidRDefault="00140325" w:rsidP="00140325">
      <w:pPr>
        <w:widowControl/>
        <w:spacing w:before="100" w:beforeAutospacing="1" w:after="100" w:afterAutospacing="1" w:line="300" w:lineRule="atLeast"/>
        <w:jc w:val="left"/>
        <w:outlineLvl w:val="2"/>
        <w:rPr>
          <w:rFonts w:ascii="Noto Sans" w:eastAsia="宋体" w:hAnsi="Noto Sans" w:cs="Noto Sans"/>
          <w:b/>
          <w:bCs/>
          <w:kern w:val="0"/>
          <w:sz w:val="24"/>
          <w:szCs w:val="24"/>
        </w:rPr>
      </w:pPr>
      <w:r w:rsidRPr="00E111CE">
        <w:rPr>
          <w:rFonts w:ascii="Noto Sans" w:eastAsia="宋体" w:hAnsi="Noto Sans" w:cs="Noto Sans"/>
          <w:b/>
          <w:bCs/>
          <w:kern w:val="0"/>
          <w:sz w:val="24"/>
          <w:szCs w:val="24"/>
        </w:rPr>
        <w:t>Total Project Budget: $</w:t>
      </w:r>
      <w:r w:rsidR="00C07082">
        <w:rPr>
          <w:rFonts w:ascii="Noto Sans" w:eastAsia="宋体" w:hAnsi="Noto Sans" w:cs="Noto Sans"/>
          <w:b/>
          <w:bCs/>
          <w:kern w:val="0"/>
          <w:sz w:val="24"/>
          <w:szCs w:val="24"/>
        </w:rPr>
        <w:t>6</w:t>
      </w:r>
      <w:r w:rsidRPr="00E111CE">
        <w:rPr>
          <w:rFonts w:ascii="Noto Sans" w:eastAsia="宋体" w:hAnsi="Noto Sans" w:cs="Noto Sans"/>
          <w:b/>
          <w:bCs/>
          <w:kern w:val="0"/>
          <w:sz w:val="24"/>
          <w:szCs w:val="24"/>
        </w:rPr>
        <w:t>000</w:t>
      </w:r>
    </w:p>
    <w:p w14:paraId="79AE11F2" w14:textId="77777777" w:rsidR="00C07082" w:rsidRPr="00E111CE" w:rsidRDefault="00C07082" w:rsidP="00140325">
      <w:pPr>
        <w:widowControl/>
        <w:spacing w:before="100" w:beforeAutospacing="1" w:after="100" w:afterAutospacing="1" w:line="300" w:lineRule="atLeast"/>
        <w:jc w:val="left"/>
        <w:outlineLvl w:val="2"/>
        <w:rPr>
          <w:rFonts w:ascii="Noto Sans" w:eastAsia="宋体" w:hAnsi="Noto Sans" w:cs="Noto Sans"/>
          <w:b/>
          <w:bCs/>
          <w:kern w:val="0"/>
          <w:sz w:val="24"/>
          <w:szCs w:val="24"/>
        </w:rPr>
      </w:pPr>
    </w:p>
    <w:p w14:paraId="42C98DBC" w14:textId="0D2BB85F" w:rsidR="00DB021E" w:rsidRPr="00DB021E" w:rsidRDefault="00DB021E" w:rsidP="00140325">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t>Other support for the project</w:t>
      </w:r>
    </w:p>
    <w:p w14:paraId="16BD2D4A" w14:textId="77777777" w:rsidR="00675527" w:rsidRDefault="00675527" w:rsidP="00DB021E">
      <w:pPr>
        <w:widowControl/>
        <w:spacing w:before="100" w:beforeAutospacing="1" w:after="100" w:afterAutospacing="1" w:line="300" w:lineRule="atLeast"/>
        <w:jc w:val="left"/>
        <w:outlineLvl w:val="2"/>
        <w:rPr>
          <w:rFonts w:ascii="Segoe UI" w:hAnsi="Segoe UI" w:cs="Segoe UI"/>
          <w:color w:val="374151"/>
        </w:rPr>
      </w:pPr>
      <w:r w:rsidRPr="00675527">
        <w:rPr>
          <w:rFonts w:ascii="Times New Roman" w:hAnsi="Times New Roman" w:cs="Times New Roman"/>
          <w:sz w:val="24"/>
          <w:szCs w:val="28"/>
        </w:rPr>
        <w:lastRenderedPageBreak/>
        <w:t>Not applicable</w:t>
      </w:r>
    </w:p>
    <w:p w14:paraId="0027940A" w14:textId="022D164D" w:rsidR="00DB021E" w:rsidRDefault="00DB021E" w:rsidP="00DB021E">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t>Collaboration with other scientists or research institutions</w:t>
      </w:r>
    </w:p>
    <w:p w14:paraId="707E6A24" w14:textId="77777777" w:rsidR="00AF3011" w:rsidRDefault="00AF3011" w:rsidP="00AF3011">
      <w:pPr>
        <w:widowControl/>
        <w:spacing w:before="100" w:beforeAutospacing="1" w:after="100" w:afterAutospacing="1" w:line="300" w:lineRule="atLeast"/>
        <w:jc w:val="left"/>
        <w:outlineLvl w:val="2"/>
        <w:rPr>
          <w:rFonts w:ascii="Segoe UI" w:hAnsi="Segoe UI" w:cs="Segoe UI"/>
          <w:color w:val="374151"/>
        </w:rPr>
      </w:pPr>
      <w:r w:rsidRPr="00675527">
        <w:rPr>
          <w:rFonts w:ascii="Times New Roman" w:hAnsi="Times New Roman" w:cs="Times New Roman"/>
          <w:sz w:val="24"/>
          <w:szCs w:val="28"/>
        </w:rPr>
        <w:t>Not applicable</w:t>
      </w:r>
    </w:p>
    <w:p w14:paraId="0966E4E8" w14:textId="77777777" w:rsidR="00DB021E" w:rsidRDefault="00DB021E" w:rsidP="00DB021E">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t>Links to other projects</w:t>
      </w:r>
    </w:p>
    <w:p w14:paraId="33937690" w14:textId="77777777" w:rsidR="00AF3011" w:rsidRDefault="00AF3011" w:rsidP="00AF3011">
      <w:pPr>
        <w:widowControl/>
        <w:spacing w:before="100" w:beforeAutospacing="1" w:after="100" w:afterAutospacing="1" w:line="300" w:lineRule="atLeast"/>
        <w:jc w:val="left"/>
        <w:outlineLvl w:val="2"/>
        <w:rPr>
          <w:rFonts w:ascii="Segoe UI" w:hAnsi="Segoe UI" w:cs="Segoe UI"/>
          <w:color w:val="374151"/>
        </w:rPr>
      </w:pPr>
      <w:r w:rsidRPr="00675527">
        <w:rPr>
          <w:rFonts w:ascii="Times New Roman" w:hAnsi="Times New Roman" w:cs="Times New Roman"/>
          <w:sz w:val="24"/>
          <w:szCs w:val="28"/>
        </w:rPr>
        <w:t>Not applicable</w:t>
      </w:r>
    </w:p>
    <w:p w14:paraId="4B683E45" w14:textId="77777777" w:rsidR="00DB021E" w:rsidRPr="00DB021E" w:rsidRDefault="00DB021E" w:rsidP="00DB021E">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t>Curriculum Vitae of investigators</w:t>
      </w:r>
    </w:p>
    <w:p w14:paraId="3198B12D" w14:textId="77777777" w:rsidR="003F4CA4" w:rsidRPr="00E65500" w:rsidRDefault="003F4CA4" w:rsidP="003F4CA4">
      <w:pPr>
        <w:rPr>
          <w:rFonts w:ascii="Times New Roman" w:hAnsi="Times New Roman" w:cs="Times New Roman"/>
          <w:b/>
          <w:bCs/>
          <w:szCs w:val="21"/>
        </w:rPr>
      </w:pPr>
      <w:bookmarkStart w:id="5" w:name="OLE_LINK35"/>
      <w:r w:rsidRPr="00E23255">
        <w:rPr>
          <w:rFonts w:ascii="Times New Roman" w:hAnsi="Times New Roman" w:cs="Times New Roman" w:hint="eastAsia"/>
          <w:b/>
          <w:bCs/>
          <w:szCs w:val="21"/>
        </w:rPr>
        <w:t>M</w:t>
      </w:r>
      <w:r>
        <w:rPr>
          <w:rFonts w:ascii="Times New Roman" w:hAnsi="Times New Roman" w:cs="Times New Roman" w:hint="eastAsia"/>
          <w:b/>
          <w:bCs/>
          <w:szCs w:val="21"/>
        </w:rPr>
        <w:t>inghao</w:t>
      </w:r>
      <w:r w:rsidRPr="00E23255">
        <w:rPr>
          <w:rFonts w:ascii="Times New Roman" w:hAnsi="Times New Roman" w:cs="Times New Roman"/>
          <w:b/>
          <w:bCs/>
          <w:szCs w:val="21"/>
        </w:rPr>
        <w:t xml:space="preserve"> L</w:t>
      </w:r>
      <w:r w:rsidRPr="00E23255">
        <w:rPr>
          <w:rFonts w:ascii="Times New Roman" w:hAnsi="Times New Roman" w:cs="Times New Roman" w:hint="eastAsia"/>
          <w:b/>
          <w:bCs/>
          <w:szCs w:val="21"/>
        </w:rPr>
        <w:t>iu</w:t>
      </w:r>
      <w:bookmarkEnd w:id="5"/>
      <w:r w:rsidRPr="0019529D">
        <w:rPr>
          <w:rFonts w:ascii="Times New Roman" w:hAnsi="Times New Roman" w:cs="Times New Roman"/>
          <w:b/>
          <w:bCs/>
          <w:szCs w:val="21"/>
          <w:vertAlign w:val="superscript"/>
        </w:rPr>
        <w:t>1</w:t>
      </w:r>
      <w:r>
        <w:rPr>
          <w:rFonts w:ascii="Times New Roman" w:hAnsi="Times New Roman" w:cs="Times New Roman"/>
          <w:b/>
          <w:bCs/>
          <w:szCs w:val="21"/>
        </w:rPr>
        <w:t xml:space="preserve">, </w:t>
      </w:r>
      <w:proofErr w:type="spellStart"/>
      <w:r>
        <w:rPr>
          <w:rFonts w:ascii="Times New Roman" w:hAnsi="Times New Roman" w:cs="Times New Roman"/>
          <w:b/>
          <w:bCs/>
          <w:szCs w:val="21"/>
        </w:rPr>
        <w:t>Xuezi</w:t>
      </w:r>
      <w:proofErr w:type="spellEnd"/>
      <w:r>
        <w:rPr>
          <w:rFonts w:ascii="Times New Roman" w:hAnsi="Times New Roman" w:cs="Times New Roman"/>
          <w:b/>
          <w:bCs/>
          <w:szCs w:val="21"/>
        </w:rPr>
        <w:t xml:space="preserve"> Chen</w:t>
      </w:r>
      <w:r>
        <w:rPr>
          <w:rFonts w:ascii="Times New Roman" w:hAnsi="Times New Roman" w:cs="Times New Roman"/>
          <w:b/>
          <w:bCs/>
          <w:szCs w:val="21"/>
          <w:vertAlign w:val="superscript"/>
        </w:rPr>
        <w:t>2</w:t>
      </w:r>
      <w:r>
        <w:rPr>
          <w:rFonts w:ascii="Times New Roman" w:hAnsi="Times New Roman" w:cs="Times New Roman"/>
          <w:b/>
          <w:bCs/>
          <w:szCs w:val="21"/>
        </w:rPr>
        <w:t>, and D</w:t>
      </w:r>
      <w:r>
        <w:rPr>
          <w:rFonts w:ascii="Times New Roman" w:hAnsi="Times New Roman" w:cs="Times New Roman" w:hint="eastAsia"/>
          <w:b/>
          <w:bCs/>
          <w:szCs w:val="21"/>
        </w:rPr>
        <w:t>an</w:t>
      </w:r>
      <w:r>
        <w:rPr>
          <w:rFonts w:ascii="Times New Roman" w:hAnsi="Times New Roman" w:cs="Times New Roman"/>
          <w:b/>
          <w:bCs/>
          <w:szCs w:val="21"/>
        </w:rPr>
        <w:t xml:space="preserve"> G</w:t>
      </w:r>
      <w:r>
        <w:rPr>
          <w:rFonts w:ascii="Times New Roman" w:hAnsi="Times New Roman" w:cs="Times New Roman" w:hint="eastAsia"/>
          <w:b/>
          <w:bCs/>
          <w:szCs w:val="21"/>
        </w:rPr>
        <w:t>uo</w:t>
      </w:r>
      <w:r w:rsidRPr="00E65500">
        <w:rPr>
          <w:rFonts w:ascii="Times New Roman" w:hAnsi="Times New Roman" w:cs="Times New Roman"/>
          <w:b/>
          <w:bCs/>
          <w:szCs w:val="21"/>
          <w:vertAlign w:val="superscript"/>
        </w:rPr>
        <w:t>3</w:t>
      </w:r>
      <w:r>
        <w:rPr>
          <w:rFonts w:ascii="Times New Roman" w:hAnsi="Times New Roman" w:cs="Times New Roman"/>
          <w:b/>
          <w:bCs/>
          <w:szCs w:val="21"/>
          <w:vertAlign w:val="superscript"/>
        </w:rPr>
        <w:t>*</w:t>
      </w:r>
    </w:p>
    <w:p w14:paraId="49D1D5FA" w14:textId="77777777" w:rsidR="003F4CA4" w:rsidRDefault="003F4CA4" w:rsidP="003F4CA4">
      <w:pPr>
        <w:rPr>
          <w:rFonts w:ascii="Times New Roman" w:hAnsi="Times New Roman" w:cs="Times New Roman"/>
          <w:szCs w:val="21"/>
        </w:rPr>
      </w:pPr>
      <w:r>
        <w:rPr>
          <w:rFonts w:ascii="Times New Roman" w:hAnsi="Times New Roman" w:cs="Times New Roman"/>
          <w:szCs w:val="21"/>
          <w:vertAlign w:val="superscript"/>
        </w:rPr>
        <w:t xml:space="preserve">1 </w:t>
      </w:r>
      <w:r w:rsidRPr="009A5944">
        <w:rPr>
          <w:rFonts w:ascii="Times New Roman" w:hAnsi="Times New Roman" w:cs="Times New Roman"/>
          <w:szCs w:val="21"/>
        </w:rPr>
        <w:t>Department of Anesthesiology, Chengdu Fifth People's Hospital (The Second Clinical Medical College, Geriatric Diseases Institute of Chengdu/Cancer Prevention and Treatment Institute of Chengdu, Affiliated Fifth People's Hospital of Chengdu University of Traditional Chinese Medicine), Chengdu, China.</w:t>
      </w:r>
    </w:p>
    <w:p w14:paraId="120AAE5E" w14:textId="77777777" w:rsidR="003F4CA4" w:rsidRDefault="003F4CA4" w:rsidP="003F4CA4">
      <w:pPr>
        <w:rPr>
          <w:rFonts w:ascii="Times New Roman" w:hAnsi="Times New Roman" w:cs="Times New Roman"/>
          <w:szCs w:val="21"/>
        </w:rPr>
      </w:pPr>
      <w:r>
        <w:rPr>
          <w:rFonts w:ascii="Times New Roman" w:hAnsi="Times New Roman" w:cs="Times New Roman"/>
          <w:szCs w:val="21"/>
          <w:vertAlign w:val="superscript"/>
        </w:rPr>
        <w:t>2</w:t>
      </w:r>
      <w:r w:rsidRPr="00E65500">
        <w:rPr>
          <w:rFonts w:ascii="Times New Roman" w:hAnsi="Times New Roman" w:cs="Times New Roman"/>
          <w:szCs w:val="21"/>
        </w:rPr>
        <w:t xml:space="preserve"> </w:t>
      </w:r>
      <w:r w:rsidRPr="002961B3">
        <w:rPr>
          <w:rFonts w:ascii="Times New Roman" w:hAnsi="Times New Roman" w:cs="Times New Roman"/>
          <w:szCs w:val="21"/>
        </w:rPr>
        <w:t>Department of Anesthesiology, the First Affiliated Hospital of Chongqing Medical University, Chongqing, China</w:t>
      </w:r>
    </w:p>
    <w:p w14:paraId="3ECFF7C2" w14:textId="77777777" w:rsidR="003F4CA4" w:rsidRDefault="003F4CA4" w:rsidP="003F4CA4">
      <w:pPr>
        <w:rPr>
          <w:rFonts w:ascii="Times New Roman" w:hAnsi="Times New Roman" w:cs="Times New Roman"/>
          <w:szCs w:val="21"/>
        </w:rPr>
      </w:pPr>
      <w:bookmarkStart w:id="6" w:name="OLE_LINK29"/>
      <w:r w:rsidRPr="0047286C">
        <w:rPr>
          <w:rFonts w:ascii="Times New Roman" w:hAnsi="Times New Roman" w:cs="Times New Roman"/>
          <w:szCs w:val="21"/>
          <w:vertAlign w:val="superscript"/>
        </w:rPr>
        <w:t>3</w:t>
      </w:r>
      <w:bookmarkEnd w:id="6"/>
      <w:r>
        <w:rPr>
          <w:rFonts w:ascii="Times New Roman" w:hAnsi="Times New Roman" w:cs="Times New Roman"/>
          <w:szCs w:val="21"/>
          <w:vertAlign w:val="superscript"/>
        </w:rPr>
        <w:t xml:space="preserve"> </w:t>
      </w:r>
      <w:r w:rsidRPr="00F100AB">
        <w:rPr>
          <w:rFonts w:ascii="Times New Roman" w:hAnsi="Times New Roman" w:cs="Times New Roman"/>
          <w:szCs w:val="21"/>
        </w:rPr>
        <w:t>Department of Ultrasound Imaging</w:t>
      </w:r>
      <w:r w:rsidRPr="009A5944">
        <w:rPr>
          <w:rFonts w:ascii="Times New Roman" w:hAnsi="Times New Roman" w:cs="Times New Roman"/>
          <w:szCs w:val="21"/>
        </w:rPr>
        <w:t xml:space="preserve">, Chengdu Fifth People's Hospital (The Second Clinical Medical College, Geriatric Diseases Institute of Chengdu/Cancer Prevention and Treatment Institute of Chengdu, Affiliated Fifth People's Hospital of Chengdu University of Traditional Chinese Medicine), Chengdu, </w:t>
      </w:r>
      <w:r w:rsidRPr="00E432A0">
        <w:rPr>
          <w:rFonts w:ascii="Times New Roman" w:hAnsi="Times New Roman" w:cs="Times New Roman"/>
          <w:szCs w:val="21"/>
        </w:rPr>
        <w:t>611137</w:t>
      </w:r>
      <w:r>
        <w:rPr>
          <w:rFonts w:ascii="Times New Roman" w:hAnsi="Times New Roman" w:cs="Times New Roman"/>
          <w:szCs w:val="21"/>
        </w:rPr>
        <w:t xml:space="preserve">, </w:t>
      </w:r>
      <w:r w:rsidRPr="009A5944">
        <w:rPr>
          <w:rFonts w:ascii="Times New Roman" w:hAnsi="Times New Roman" w:cs="Times New Roman"/>
          <w:szCs w:val="21"/>
        </w:rPr>
        <w:t>China</w:t>
      </w:r>
      <w:r>
        <w:rPr>
          <w:rFonts w:ascii="Times New Roman" w:hAnsi="Times New Roman" w:cs="Times New Roman"/>
          <w:szCs w:val="21"/>
        </w:rPr>
        <w:t xml:space="preserve">; </w:t>
      </w:r>
      <w:r w:rsidRPr="00E432A0">
        <w:rPr>
          <w:rFonts w:ascii="Times New Roman" w:hAnsi="Times New Roman" w:cs="Times New Roman"/>
          <w:szCs w:val="21"/>
        </w:rPr>
        <w:t>E-mail:</w:t>
      </w:r>
      <w:r>
        <w:rPr>
          <w:rFonts w:ascii="Times New Roman" w:hAnsi="Times New Roman" w:cs="Times New Roman"/>
          <w:szCs w:val="21"/>
        </w:rPr>
        <w:t xml:space="preserve"> </w:t>
      </w:r>
      <w:r w:rsidRPr="00E432A0">
        <w:rPr>
          <w:rFonts w:ascii="Times New Roman" w:hAnsi="Times New Roman" w:cs="Times New Roman"/>
          <w:szCs w:val="21"/>
        </w:rPr>
        <w:t>924251258@qq.com</w:t>
      </w:r>
      <w:r>
        <w:rPr>
          <w:rFonts w:ascii="Times New Roman" w:hAnsi="Times New Roman" w:cs="Times New Roman"/>
          <w:szCs w:val="21"/>
        </w:rPr>
        <w:t>.</w:t>
      </w:r>
    </w:p>
    <w:p w14:paraId="0698DCBC" w14:textId="77777777" w:rsidR="00DB021E" w:rsidRPr="00DB021E" w:rsidRDefault="00DB021E" w:rsidP="00DB021E">
      <w:pPr>
        <w:widowControl/>
        <w:spacing w:before="100" w:beforeAutospacing="1" w:after="100" w:afterAutospacing="1" w:line="300" w:lineRule="atLeast"/>
        <w:jc w:val="left"/>
        <w:outlineLvl w:val="2"/>
        <w:rPr>
          <w:rFonts w:ascii="Noto Sans" w:eastAsia="宋体" w:hAnsi="Noto Sans" w:cs="Noto Sans"/>
          <w:b/>
          <w:bCs/>
          <w:kern w:val="0"/>
          <w:sz w:val="27"/>
          <w:szCs w:val="27"/>
        </w:rPr>
      </w:pPr>
      <w:r w:rsidRPr="00DB021E">
        <w:rPr>
          <w:rFonts w:ascii="Noto Sans" w:eastAsia="宋体" w:hAnsi="Noto Sans" w:cs="Noto Sans"/>
          <w:b/>
          <w:bCs/>
          <w:kern w:val="0"/>
          <w:sz w:val="27"/>
          <w:szCs w:val="27"/>
        </w:rPr>
        <w:t>Financing and insurance</w:t>
      </w:r>
    </w:p>
    <w:p w14:paraId="5BFEB1A0" w14:textId="77777777" w:rsidR="006B4D31" w:rsidRDefault="006B4D31" w:rsidP="006B4D31">
      <w:pPr>
        <w:widowControl/>
        <w:spacing w:before="100" w:beforeAutospacing="1" w:after="100" w:afterAutospacing="1" w:line="300" w:lineRule="atLeast"/>
        <w:jc w:val="left"/>
        <w:outlineLvl w:val="2"/>
        <w:rPr>
          <w:rFonts w:ascii="Segoe UI" w:hAnsi="Segoe UI" w:cs="Segoe UI"/>
          <w:color w:val="374151"/>
        </w:rPr>
      </w:pPr>
      <w:r w:rsidRPr="00675527">
        <w:rPr>
          <w:rFonts w:ascii="Times New Roman" w:hAnsi="Times New Roman" w:cs="Times New Roman"/>
          <w:sz w:val="24"/>
          <w:szCs w:val="28"/>
        </w:rPr>
        <w:t>Not applicable</w:t>
      </w:r>
    </w:p>
    <w:p w14:paraId="50A4BD86" w14:textId="77777777" w:rsidR="00C3768A" w:rsidRPr="00EE3D64" w:rsidRDefault="00C3768A"/>
    <w:sectPr w:rsidR="00C3768A" w:rsidRPr="00EE3D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C7C6F" w14:textId="77777777" w:rsidR="00A06A4D" w:rsidRDefault="00A06A4D" w:rsidP="008719DB">
      <w:r>
        <w:separator/>
      </w:r>
    </w:p>
  </w:endnote>
  <w:endnote w:type="continuationSeparator" w:id="0">
    <w:p w14:paraId="46BB26AB" w14:textId="77777777" w:rsidR="00A06A4D" w:rsidRDefault="00A06A4D" w:rsidP="0087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Noto Sans">
    <w:charset w:val="00"/>
    <w:family w:val="swiss"/>
    <w:pitch w:val="variable"/>
    <w:sig w:usb0="E00082FF" w:usb1="400078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楷体_GB2312">
    <w:altName w:val="微软雅黑"/>
    <w:charset w:val="86"/>
    <w:family w:val="modern"/>
    <w:pitch w:val="fixed"/>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173ED" w14:textId="77777777" w:rsidR="00A06A4D" w:rsidRDefault="00A06A4D" w:rsidP="008719DB">
      <w:r>
        <w:separator/>
      </w:r>
    </w:p>
  </w:footnote>
  <w:footnote w:type="continuationSeparator" w:id="0">
    <w:p w14:paraId="16A40341" w14:textId="77777777" w:rsidR="00A06A4D" w:rsidRDefault="00A06A4D" w:rsidP="008719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90B68"/>
    <w:multiLevelType w:val="hybridMultilevel"/>
    <w:tmpl w:val="A6269CA0"/>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4E512C25"/>
    <w:multiLevelType w:val="hybridMultilevel"/>
    <w:tmpl w:val="8FE6D9F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554211A1"/>
    <w:multiLevelType w:val="hybridMultilevel"/>
    <w:tmpl w:val="11DED2F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5C58616D"/>
    <w:multiLevelType w:val="hybridMultilevel"/>
    <w:tmpl w:val="9786886C"/>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60B72949"/>
    <w:multiLevelType w:val="multilevel"/>
    <w:tmpl w:val="2318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500DE9"/>
    <w:multiLevelType w:val="hybridMultilevel"/>
    <w:tmpl w:val="82DCCB5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315064920">
    <w:abstractNumId w:val="4"/>
  </w:num>
  <w:num w:numId="2" w16cid:durableId="1310670601">
    <w:abstractNumId w:val="5"/>
  </w:num>
  <w:num w:numId="3" w16cid:durableId="159272453">
    <w:abstractNumId w:val="2"/>
  </w:num>
  <w:num w:numId="4" w16cid:durableId="91560893">
    <w:abstractNumId w:val="3"/>
  </w:num>
  <w:num w:numId="5" w16cid:durableId="1295137417">
    <w:abstractNumId w:val="1"/>
  </w:num>
  <w:num w:numId="6" w16cid:durableId="1188908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CB9"/>
    <w:rsid w:val="0006466F"/>
    <w:rsid w:val="00064CB9"/>
    <w:rsid w:val="00093DF2"/>
    <w:rsid w:val="00096E92"/>
    <w:rsid w:val="000C1877"/>
    <w:rsid w:val="000F67D6"/>
    <w:rsid w:val="00140325"/>
    <w:rsid w:val="00154BED"/>
    <w:rsid w:val="001555F6"/>
    <w:rsid w:val="001A0B89"/>
    <w:rsid w:val="001D0BB0"/>
    <w:rsid w:val="001D330D"/>
    <w:rsid w:val="001F415B"/>
    <w:rsid w:val="002176D3"/>
    <w:rsid w:val="00233899"/>
    <w:rsid w:val="002719DF"/>
    <w:rsid w:val="00297F1D"/>
    <w:rsid w:val="002A0C27"/>
    <w:rsid w:val="002B40B9"/>
    <w:rsid w:val="002C7824"/>
    <w:rsid w:val="002D5E27"/>
    <w:rsid w:val="002D73E9"/>
    <w:rsid w:val="002E556C"/>
    <w:rsid w:val="002E6768"/>
    <w:rsid w:val="002F5B3F"/>
    <w:rsid w:val="00300811"/>
    <w:rsid w:val="0031385B"/>
    <w:rsid w:val="003215C5"/>
    <w:rsid w:val="0033090F"/>
    <w:rsid w:val="00341379"/>
    <w:rsid w:val="003437EF"/>
    <w:rsid w:val="00346D18"/>
    <w:rsid w:val="003535CD"/>
    <w:rsid w:val="0037322A"/>
    <w:rsid w:val="00395916"/>
    <w:rsid w:val="003A2DAA"/>
    <w:rsid w:val="003E68C9"/>
    <w:rsid w:val="003F065E"/>
    <w:rsid w:val="003F33F5"/>
    <w:rsid w:val="003F4CA4"/>
    <w:rsid w:val="00477F55"/>
    <w:rsid w:val="004F39C0"/>
    <w:rsid w:val="00510D81"/>
    <w:rsid w:val="00536077"/>
    <w:rsid w:val="00545B60"/>
    <w:rsid w:val="00555DF5"/>
    <w:rsid w:val="00581C91"/>
    <w:rsid w:val="00590117"/>
    <w:rsid w:val="00597E00"/>
    <w:rsid w:val="005B288E"/>
    <w:rsid w:val="005C0D3D"/>
    <w:rsid w:val="005C14FB"/>
    <w:rsid w:val="005C7171"/>
    <w:rsid w:val="006051FC"/>
    <w:rsid w:val="00631D3E"/>
    <w:rsid w:val="00675527"/>
    <w:rsid w:val="0067558B"/>
    <w:rsid w:val="00677225"/>
    <w:rsid w:val="0069328C"/>
    <w:rsid w:val="006B4D31"/>
    <w:rsid w:val="006D1D36"/>
    <w:rsid w:val="006F321F"/>
    <w:rsid w:val="006F7D69"/>
    <w:rsid w:val="0070415C"/>
    <w:rsid w:val="00705D93"/>
    <w:rsid w:val="00746285"/>
    <w:rsid w:val="007678F4"/>
    <w:rsid w:val="00775FE5"/>
    <w:rsid w:val="007E1741"/>
    <w:rsid w:val="007E4D01"/>
    <w:rsid w:val="00815801"/>
    <w:rsid w:val="00820ED9"/>
    <w:rsid w:val="00824417"/>
    <w:rsid w:val="00853A62"/>
    <w:rsid w:val="00862B5C"/>
    <w:rsid w:val="008719DB"/>
    <w:rsid w:val="008A0AA1"/>
    <w:rsid w:val="008A1178"/>
    <w:rsid w:val="008C794E"/>
    <w:rsid w:val="008F01CE"/>
    <w:rsid w:val="008F3831"/>
    <w:rsid w:val="00904CED"/>
    <w:rsid w:val="00991BF0"/>
    <w:rsid w:val="00995A7D"/>
    <w:rsid w:val="009B1800"/>
    <w:rsid w:val="009D4E5E"/>
    <w:rsid w:val="009E26C0"/>
    <w:rsid w:val="009E52B0"/>
    <w:rsid w:val="00A06A4D"/>
    <w:rsid w:val="00A31F49"/>
    <w:rsid w:val="00A76B5D"/>
    <w:rsid w:val="00A970A7"/>
    <w:rsid w:val="00AA1129"/>
    <w:rsid w:val="00AF109D"/>
    <w:rsid w:val="00AF3011"/>
    <w:rsid w:val="00B212E2"/>
    <w:rsid w:val="00B24C1F"/>
    <w:rsid w:val="00B24FDD"/>
    <w:rsid w:val="00B256D2"/>
    <w:rsid w:val="00B42277"/>
    <w:rsid w:val="00B70436"/>
    <w:rsid w:val="00B9443D"/>
    <w:rsid w:val="00BA6546"/>
    <w:rsid w:val="00C07082"/>
    <w:rsid w:val="00C3768A"/>
    <w:rsid w:val="00C62798"/>
    <w:rsid w:val="00C9444A"/>
    <w:rsid w:val="00CA6755"/>
    <w:rsid w:val="00CB11BB"/>
    <w:rsid w:val="00CD0BC4"/>
    <w:rsid w:val="00CE0E58"/>
    <w:rsid w:val="00CE4DB7"/>
    <w:rsid w:val="00CF63CC"/>
    <w:rsid w:val="00D0232D"/>
    <w:rsid w:val="00D10128"/>
    <w:rsid w:val="00D25922"/>
    <w:rsid w:val="00D46D45"/>
    <w:rsid w:val="00D74919"/>
    <w:rsid w:val="00D77E41"/>
    <w:rsid w:val="00D85CC5"/>
    <w:rsid w:val="00DB021E"/>
    <w:rsid w:val="00DD3325"/>
    <w:rsid w:val="00DF2531"/>
    <w:rsid w:val="00DF4350"/>
    <w:rsid w:val="00DF7D10"/>
    <w:rsid w:val="00E111CE"/>
    <w:rsid w:val="00E60658"/>
    <w:rsid w:val="00EA27F2"/>
    <w:rsid w:val="00EA375D"/>
    <w:rsid w:val="00ED2954"/>
    <w:rsid w:val="00EE3D64"/>
    <w:rsid w:val="00EE7499"/>
    <w:rsid w:val="00F31569"/>
    <w:rsid w:val="00F43F45"/>
    <w:rsid w:val="00F74E43"/>
    <w:rsid w:val="00FA5BA2"/>
    <w:rsid w:val="00FB5745"/>
    <w:rsid w:val="00FE4DEA"/>
    <w:rsid w:val="00FE65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29D76"/>
  <w15:chartTrackingRefBased/>
  <w15:docId w15:val="{C091918D-8742-4397-87CE-95BA676E1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7F2"/>
    <w:pPr>
      <w:widowControl w:val="0"/>
      <w:jc w:val="both"/>
    </w:pPr>
  </w:style>
  <w:style w:type="paragraph" w:styleId="3">
    <w:name w:val="heading 3"/>
    <w:basedOn w:val="a"/>
    <w:link w:val="30"/>
    <w:uiPriority w:val="9"/>
    <w:qFormat/>
    <w:rsid w:val="00DB021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DB021E"/>
    <w:rPr>
      <w:rFonts w:ascii="宋体" w:eastAsia="宋体" w:hAnsi="宋体" w:cs="宋体"/>
      <w:b/>
      <w:bCs/>
      <w:kern w:val="0"/>
      <w:sz w:val="27"/>
      <w:szCs w:val="27"/>
    </w:rPr>
  </w:style>
  <w:style w:type="paragraph" w:styleId="a3">
    <w:name w:val="Normal (Web)"/>
    <w:basedOn w:val="a"/>
    <w:uiPriority w:val="99"/>
    <w:semiHidden/>
    <w:unhideWhenUsed/>
    <w:rsid w:val="00DB021E"/>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DB021E"/>
    <w:rPr>
      <w:color w:val="0000FF"/>
      <w:u w:val="single"/>
    </w:rPr>
  </w:style>
  <w:style w:type="paragraph" w:styleId="a5">
    <w:name w:val="header"/>
    <w:basedOn w:val="a"/>
    <w:link w:val="a6"/>
    <w:uiPriority w:val="99"/>
    <w:unhideWhenUsed/>
    <w:rsid w:val="008719DB"/>
    <w:pPr>
      <w:tabs>
        <w:tab w:val="center" w:pos="4153"/>
        <w:tab w:val="right" w:pos="8306"/>
      </w:tabs>
      <w:snapToGrid w:val="0"/>
      <w:jc w:val="center"/>
    </w:pPr>
    <w:rPr>
      <w:sz w:val="18"/>
      <w:szCs w:val="18"/>
    </w:rPr>
  </w:style>
  <w:style w:type="character" w:customStyle="1" w:styleId="a6">
    <w:name w:val="页眉 字符"/>
    <w:basedOn w:val="a0"/>
    <w:link w:val="a5"/>
    <w:uiPriority w:val="99"/>
    <w:rsid w:val="008719DB"/>
    <w:rPr>
      <w:sz w:val="18"/>
      <w:szCs w:val="18"/>
    </w:rPr>
  </w:style>
  <w:style w:type="paragraph" w:styleId="a7">
    <w:name w:val="footer"/>
    <w:basedOn w:val="a"/>
    <w:link w:val="a8"/>
    <w:uiPriority w:val="99"/>
    <w:unhideWhenUsed/>
    <w:rsid w:val="008719DB"/>
    <w:pPr>
      <w:tabs>
        <w:tab w:val="center" w:pos="4153"/>
        <w:tab w:val="right" w:pos="8306"/>
      </w:tabs>
      <w:snapToGrid w:val="0"/>
      <w:jc w:val="left"/>
    </w:pPr>
    <w:rPr>
      <w:sz w:val="18"/>
      <w:szCs w:val="18"/>
    </w:rPr>
  </w:style>
  <w:style w:type="character" w:customStyle="1" w:styleId="a8">
    <w:name w:val="页脚 字符"/>
    <w:basedOn w:val="a0"/>
    <w:link w:val="a7"/>
    <w:uiPriority w:val="99"/>
    <w:rsid w:val="008719DB"/>
    <w:rPr>
      <w:sz w:val="18"/>
      <w:szCs w:val="18"/>
    </w:rPr>
  </w:style>
  <w:style w:type="paragraph" w:styleId="a9">
    <w:name w:val="List Paragraph"/>
    <w:basedOn w:val="a"/>
    <w:uiPriority w:val="34"/>
    <w:qFormat/>
    <w:rsid w:val="00CA675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5703">
      <w:bodyDiv w:val="1"/>
      <w:marLeft w:val="0"/>
      <w:marRight w:val="0"/>
      <w:marTop w:val="0"/>
      <w:marBottom w:val="0"/>
      <w:divBdr>
        <w:top w:val="none" w:sz="0" w:space="0" w:color="auto"/>
        <w:left w:val="none" w:sz="0" w:space="0" w:color="auto"/>
        <w:bottom w:val="none" w:sz="0" w:space="0" w:color="auto"/>
        <w:right w:val="none" w:sz="0" w:space="0" w:color="auto"/>
      </w:divBdr>
      <w:divsChild>
        <w:div w:id="376511812">
          <w:marLeft w:val="0"/>
          <w:marRight w:val="0"/>
          <w:marTop w:val="0"/>
          <w:marBottom w:val="0"/>
          <w:divBdr>
            <w:top w:val="single" w:sz="2" w:space="0" w:color="D9D9E3"/>
            <w:left w:val="single" w:sz="2" w:space="0" w:color="D9D9E3"/>
            <w:bottom w:val="single" w:sz="2" w:space="0" w:color="D9D9E3"/>
            <w:right w:val="single" w:sz="2" w:space="0" w:color="D9D9E3"/>
          </w:divBdr>
          <w:divsChild>
            <w:div w:id="1538930869">
              <w:marLeft w:val="0"/>
              <w:marRight w:val="0"/>
              <w:marTop w:val="0"/>
              <w:marBottom w:val="0"/>
              <w:divBdr>
                <w:top w:val="single" w:sz="2" w:space="0" w:color="D9D9E3"/>
                <w:left w:val="single" w:sz="2" w:space="0" w:color="D9D9E3"/>
                <w:bottom w:val="single" w:sz="2" w:space="0" w:color="D9D9E3"/>
                <w:right w:val="single" w:sz="2" w:space="0" w:color="D9D9E3"/>
              </w:divBdr>
              <w:divsChild>
                <w:div w:id="653334779">
                  <w:marLeft w:val="0"/>
                  <w:marRight w:val="0"/>
                  <w:marTop w:val="0"/>
                  <w:marBottom w:val="0"/>
                  <w:divBdr>
                    <w:top w:val="single" w:sz="2" w:space="0" w:color="D9D9E3"/>
                    <w:left w:val="single" w:sz="2" w:space="0" w:color="D9D9E3"/>
                    <w:bottom w:val="single" w:sz="2" w:space="0" w:color="D9D9E3"/>
                    <w:right w:val="single" w:sz="2" w:space="0" w:color="D9D9E3"/>
                  </w:divBdr>
                  <w:divsChild>
                    <w:div w:id="1489401742">
                      <w:marLeft w:val="0"/>
                      <w:marRight w:val="0"/>
                      <w:marTop w:val="0"/>
                      <w:marBottom w:val="0"/>
                      <w:divBdr>
                        <w:top w:val="single" w:sz="2" w:space="0" w:color="D9D9E3"/>
                        <w:left w:val="single" w:sz="2" w:space="0" w:color="D9D9E3"/>
                        <w:bottom w:val="single" w:sz="2" w:space="0" w:color="D9D9E3"/>
                        <w:right w:val="single" w:sz="2" w:space="0" w:color="D9D9E3"/>
                      </w:divBdr>
                      <w:divsChild>
                        <w:div w:id="1547915058">
                          <w:marLeft w:val="0"/>
                          <w:marRight w:val="0"/>
                          <w:marTop w:val="0"/>
                          <w:marBottom w:val="0"/>
                          <w:divBdr>
                            <w:top w:val="single" w:sz="2" w:space="0" w:color="D9D9E3"/>
                            <w:left w:val="single" w:sz="2" w:space="0" w:color="D9D9E3"/>
                            <w:bottom w:val="single" w:sz="2" w:space="0" w:color="D9D9E3"/>
                            <w:right w:val="single" w:sz="2" w:space="0" w:color="D9D9E3"/>
                          </w:divBdr>
                          <w:divsChild>
                            <w:div w:id="1708288593">
                              <w:marLeft w:val="0"/>
                              <w:marRight w:val="0"/>
                              <w:marTop w:val="100"/>
                              <w:marBottom w:val="100"/>
                              <w:divBdr>
                                <w:top w:val="single" w:sz="2" w:space="0" w:color="D9D9E3"/>
                                <w:left w:val="single" w:sz="2" w:space="0" w:color="D9D9E3"/>
                                <w:bottom w:val="single" w:sz="2" w:space="0" w:color="D9D9E3"/>
                                <w:right w:val="single" w:sz="2" w:space="0" w:color="D9D9E3"/>
                              </w:divBdr>
                              <w:divsChild>
                                <w:div w:id="676343070">
                                  <w:marLeft w:val="0"/>
                                  <w:marRight w:val="0"/>
                                  <w:marTop w:val="0"/>
                                  <w:marBottom w:val="0"/>
                                  <w:divBdr>
                                    <w:top w:val="single" w:sz="2" w:space="0" w:color="D9D9E3"/>
                                    <w:left w:val="single" w:sz="2" w:space="0" w:color="D9D9E3"/>
                                    <w:bottom w:val="single" w:sz="2" w:space="0" w:color="D9D9E3"/>
                                    <w:right w:val="single" w:sz="2" w:space="0" w:color="D9D9E3"/>
                                  </w:divBdr>
                                  <w:divsChild>
                                    <w:div w:id="1683166607">
                                      <w:marLeft w:val="0"/>
                                      <w:marRight w:val="0"/>
                                      <w:marTop w:val="0"/>
                                      <w:marBottom w:val="0"/>
                                      <w:divBdr>
                                        <w:top w:val="single" w:sz="2" w:space="0" w:color="D9D9E3"/>
                                        <w:left w:val="single" w:sz="2" w:space="0" w:color="D9D9E3"/>
                                        <w:bottom w:val="single" w:sz="2" w:space="0" w:color="D9D9E3"/>
                                        <w:right w:val="single" w:sz="2" w:space="0" w:color="D9D9E3"/>
                                      </w:divBdr>
                                      <w:divsChild>
                                        <w:div w:id="648629106">
                                          <w:marLeft w:val="0"/>
                                          <w:marRight w:val="0"/>
                                          <w:marTop w:val="0"/>
                                          <w:marBottom w:val="0"/>
                                          <w:divBdr>
                                            <w:top w:val="single" w:sz="2" w:space="0" w:color="D9D9E3"/>
                                            <w:left w:val="single" w:sz="2" w:space="0" w:color="D9D9E3"/>
                                            <w:bottom w:val="single" w:sz="2" w:space="0" w:color="D9D9E3"/>
                                            <w:right w:val="single" w:sz="2" w:space="0" w:color="D9D9E3"/>
                                          </w:divBdr>
                                          <w:divsChild>
                                            <w:div w:id="595093322">
                                              <w:marLeft w:val="0"/>
                                              <w:marRight w:val="0"/>
                                              <w:marTop w:val="0"/>
                                              <w:marBottom w:val="0"/>
                                              <w:divBdr>
                                                <w:top w:val="single" w:sz="2" w:space="0" w:color="D9D9E3"/>
                                                <w:left w:val="single" w:sz="2" w:space="0" w:color="D9D9E3"/>
                                                <w:bottom w:val="single" w:sz="2" w:space="0" w:color="D9D9E3"/>
                                                <w:right w:val="single" w:sz="2" w:space="0" w:color="D9D9E3"/>
                                              </w:divBdr>
                                              <w:divsChild>
                                                <w:div w:id="1395154688">
                                                  <w:marLeft w:val="0"/>
                                                  <w:marRight w:val="0"/>
                                                  <w:marTop w:val="0"/>
                                                  <w:marBottom w:val="0"/>
                                                  <w:divBdr>
                                                    <w:top w:val="single" w:sz="2" w:space="0" w:color="D9D9E3"/>
                                                    <w:left w:val="single" w:sz="2" w:space="0" w:color="D9D9E3"/>
                                                    <w:bottom w:val="single" w:sz="2" w:space="0" w:color="D9D9E3"/>
                                                    <w:right w:val="single" w:sz="2" w:space="0" w:color="D9D9E3"/>
                                                  </w:divBdr>
                                                  <w:divsChild>
                                                    <w:div w:id="693485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65853534">
          <w:marLeft w:val="0"/>
          <w:marRight w:val="0"/>
          <w:marTop w:val="0"/>
          <w:marBottom w:val="0"/>
          <w:divBdr>
            <w:top w:val="none" w:sz="0" w:space="0" w:color="auto"/>
            <w:left w:val="none" w:sz="0" w:space="0" w:color="auto"/>
            <w:bottom w:val="none" w:sz="0" w:space="0" w:color="auto"/>
            <w:right w:val="none" w:sz="0" w:space="0" w:color="auto"/>
          </w:divBdr>
        </w:div>
      </w:divsChild>
    </w:div>
    <w:div w:id="375546557">
      <w:bodyDiv w:val="1"/>
      <w:marLeft w:val="0"/>
      <w:marRight w:val="0"/>
      <w:marTop w:val="0"/>
      <w:marBottom w:val="0"/>
      <w:divBdr>
        <w:top w:val="none" w:sz="0" w:space="0" w:color="auto"/>
        <w:left w:val="none" w:sz="0" w:space="0" w:color="auto"/>
        <w:bottom w:val="none" w:sz="0" w:space="0" w:color="auto"/>
        <w:right w:val="none" w:sz="0" w:space="0" w:color="auto"/>
      </w:divBdr>
    </w:div>
    <w:div w:id="638651801">
      <w:bodyDiv w:val="1"/>
      <w:marLeft w:val="0"/>
      <w:marRight w:val="0"/>
      <w:marTop w:val="0"/>
      <w:marBottom w:val="0"/>
      <w:divBdr>
        <w:top w:val="none" w:sz="0" w:space="0" w:color="auto"/>
        <w:left w:val="none" w:sz="0" w:space="0" w:color="auto"/>
        <w:bottom w:val="none" w:sz="0" w:space="0" w:color="auto"/>
        <w:right w:val="none" w:sz="0" w:space="0" w:color="auto"/>
      </w:divBdr>
    </w:div>
    <w:div w:id="741414534">
      <w:bodyDiv w:val="1"/>
      <w:marLeft w:val="0"/>
      <w:marRight w:val="0"/>
      <w:marTop w:val="0"/>
      <w:marBottom w:val="0"/>
      <w:divBdr>
        <w:top w:val="none" w:sz="0" w:space="0" w:color="auto"/>
        <w:left w:val="none" w:sz="0" w:space="0" w:color="auto"/>
        <w:bottom w:val="none" w:sz="0" w:space="0" w:color="auto"/>
        <w:right w:val="none" w:sz="0" w:space="0" w:color="auto"/>
      </w:divBdr>
      <w:divsChild>
        <w:div w:id="427627307">
          <w:marLeft w:val="0"/>
          <w:marRight w:val="0"/>
          <w:marTop w:val="0"/>
          <w:marBottom w:val="0"/>
          <w:divBdr>
            <w:top w:val="single" w:sz="2" w:space="0" w:color="D9D9E3"/>
            <w:left w:val="single" w:sz="2" w:space="0" w:color="D9D9E3"/>
            <w:bottom w:val="single" w:sz="2" w:space="0" w:color="D9D9E3"/>
            <w:right w:val="single" w:sz="2" w:space="0" w:color="D9D9E3"/>
          </w:divBdr>
          <w:divsChild>
            <w:div w:id="1269393015">
              <w:marLeft w:val="0"/>
              <w:marRight w:val="0"/>
              <w:marTop w:val="0"/>
              <w:marBottom w:val="0"/>
              <w:divBdr>
                <w:top w:val="single" w:sz="2" w:space="0" w:color="D9D9E3"/>
                <w:left w:val="single" w:sz="2" w:space="0" w:color="D9D9E3"/>
                <w:bottom w:val="single" w:sz="2" w:space="0" w:color="D9D9E3"/>
                <w:right w:val="single" w:sz="2" w:space="0" w:color="D9D9E3"/>
              </w:divBdr>
              <w:divsChild>
                <w:div w:id="1785229118">
                  <w:marLeft w:val="0"/>
                  <w:marRight w:val="0"/>
                  <w:marTop w:val="0"/>
                  <w:marBottom w:val="0"/>
                  <w:divBdr>
                    <w:top w:val="single" w:sz="2" w:space="0" w:color="D9D9E3"/>
                    <w:left w:val="single" w:sz="2" w:space="0" w:color="D9D9E3"/>
                    <w:bottom w:val="single" w:sz="2" w:space="0" w:color="D9D9E3"/>
                    <w:right w:val="single" w:sz="2" w:space="0" w:color="D9D9E3"/>
                  </w:divBdr>
                  <w:divsChild>
                    <w:div w:id="1736585736">
                      <w:marLeft w:val="0"/>
                      <w:marRight w:val="0"/>
                      <w:marTop w:val="0"/>
                      <w:marBottom w:val="0"/>
                      <w:divBdr>
                        <w:top w:val="single" w:sz="2" w:space="0" w:color="D9D9E3"/>
                        <w:left w:val="single" w:sz="2" w:space="0" w:color="D9D9E3"/>
                        <w:bottom w:val="single" w:sz="2" w:space="0" w:color="D9D9E3"/>
                        <w:right w:val="single" w:sz="2" w:space="0" w:color="D9D9E3"/>
                      </w:divBdr>
                      <w:divsChild>
                        <w:div w:id="904223780">
                          <w:marLeft w:val="0"/>
                          <w:marRight w:val="0"/>
                          <w:marTop w:val="0"/>
                          <w:marBottom w:val="0"/>
                          <w:divBdr>
                            <w:top w:val="single" w:sz="2" w:space="0" w:color="D9D9E3"/>
                            <w:left w:val="single" w:sz="2" w:space="0" w:color="D9D9E3"/>
                            <w:bottom w:val="single" w:sz="2" w:space="0" w:color="D9D9E3"/>
                            <w:right w:val="single" w:sz="2" w:space="0" w:color="D9D9E3"/>
                          </w:divBdr>
                          <w:divsChild>
                            <w:div w:id="213590697">
                              <w:marLeft w:val="0"/>
                              <w:marRight w:val="0"/>
                              <w:marTop w:val="100"/>
                              <w:marBottom w:val="100"/>
                              <w:divBdr>
                                <w:top w:val="single" w:sz="2" w:space="0" w:color="D9D9E3"/>
                                <w:left w:val="single" w:sz="2" w:space="0" w:color="D9D9E3"/>
                                <w:bottom w:val="single" w:sz="2" w:space="0" w:color="D9D9E3"/>
                                <w:right w:val="single" w:sz="2" w:space="0" w:color="D9D9E3"/>
                              </w:divBdr>
                              <w:divsChild>
                                <w:div w:id="1645771788">
                                  <w:marLeft w:val="0"/>
                                  <w:marRight w:val="0"/>
                                  <w:marTop w:val="0"/>
                                  <w:marBottom w:val="0"/>
                                  <w:divBdr>
                                    <w:top w:val="single" w:sz="2" w:space="0" w:color="D9D9E3"/>
                                    <w:left w:val="single" w:sz="2" w:space="0" w:color="D9D9E3"/>
                                    <w:bottom w:val="single" w:sz="2" w:space="0" w:color="D9D9E3"/>
                                    <w:right w:val="single" w:sz="2" w:space="0" w:color="D9D9E3"/>
                                  </w:divBdr>
                                  <w:divsChild>
                                    <w:div w:id="340200445">
                                      <w:marLeft w:val="0"/>
                                      <w:marRight w:val="0"/>
                                      <w:marTop w:val="0"/>
                                      <w:marBottom w:val="0"/>
                                      <w:divBdr>
                                        <w:top w:val="single" w:sz="2" w:space="0" w:color="D9D9E3"/>
                                        <w:left w:val="single" w:sz="2" w:space="0" w:color="D9D9E3"/>
                                        <w:bottom w:val="single" w:sz="2" w:space="0" w:color="D9D9E3"/>
                                        <w:right w:val="single" w:sz="2" w:space="0" w:color="D9D9E3"/>
                                      </w:divBdr>
                                      <w:divsChild>
                                        <w:div w:id="1531065305">
                                          <w:marLeft w:val="0"/>
                                          <w:marRight w:val="0"/>
                                          <w:marTop w:val="0"/>
                                          <w:marBottom w:val="0"/>
                                          <w:divBdr>
                                            <w:top w:val="single" w:sz="2" w:space="0" w:color="D9D9E3"/>
                                            <w:left w:val="single" w:sz="2" w:space="0" w:color="D9D9E3"/>
                                            <w:bottom w:val="single" w:sz="2" w:space="0" w:color="D9D9E3"/>
                                            <w:right w:val="single" w:sz="2" w:space="0" w:color="D9D9E3"/>
                                          </w:divBdr>
                                          <w:divsChild>
                                            <w:div w:id="1776366164">
                                              <w:marLeft w:val="0"/>
                                              <w:marRight w:val="0"/>
                                              <w:marTop w:val="0"/>
                                              <w:marBottom w:val="0"/>
                                              <w:divBdr>
                                                <w:top w:val="single" w:sz="2" w:space="0" w:color="D9D9E3"/>
                                                <w:left w:val="single" w:sz="2" w:space="0" w:color="D9D9E3"/>
                                                <w:bottom w:val="single" w:sz="2" w:space="0" w:color="D9D9E3"/>
                                                <w:right w:val="single" w:sz="2" w:space="0" w:color="D9D9E3"/>
                                              </w:divBdr>
                                              <w:divsChild>
                                                <w:div w:id="1781874001">
                                                  <w:marLeft w:val="0"/>
                                                  <w:marRight w:val="0"/>
                                                  <w:marTop w:val="0"/>
                                                  <w:marBottom w:val="0"/>
                                                  <w:divBdr>
                                                    <w:top w:val="single" w:sz="2" w:space="0" w:color="D9D9E3"/>
                                                    <w:left w:val="single" w:sz="2" w:space="0" w:color="D9D9E3"/>
                                                    <w:bottom w:val="single" w:sz="2" w:space="0" w:color="D9D9E3"/>
                                                    <w:right w:val="single" w:sz="2" w:space="0" w:color="D9D9E3"/>
                                                  </w:divBdr>
                                                  <w:divsChild>
                                                    <w:div w:id="17983333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48644623">
          <w:marLeft w:val="0"/>
          <w:marRight w:val="0"/>
          <w:marTop w:val="0"/>
          <w:marBottom w:val="0"/>
          <w:divBdr>
            <w:top w:val="none" w:sz="0" w:space="0" w:color="auto"/>
            <w:left w:val="none" w:sz="0" w:space="0" w:color="auto"/>
            <w:bottom w:val="none" w:sz="0" w:space="0" w:color="auto"/>
            <w:right w:val="none" w:sz="0" w:space="0" w:color="auto"/>
          </w:divBdr>
          <w:divsChild>
            <w:div w:id="1153059033">
              <w:marLeft w:val="0"/>
              <w:marRight w:val="0"/>
              <w:marTop w:val="0"/>
              <w:marBottom w:val="0"/>
              <w:divBdr>
                <w:top w:val="single" w:sz="2" w:space="0" w:color="D9D9E3"/>
                <w:left w:val="single" w:sz="2" w:space="0" w:color="D9D9E3"/>
                <w:bottom w:val="single" w:sz="2" w:space="0" w:color="D9D9E3"/>
                <w:right w:val="single" w:sz="2" w:space="0" w:color="D9D9E3"/>
              </w:divBdr>
              <w:divsChild>
                <w:div w:id="163594456">
                  <w:marLeft w:val="0"/>
                  <w:marRight w:val="0"/>
                  <w:marTop w:val="0"/>
                  <w:marBottom w:val="0"/>
                  <w:divBdr>
                    <w:top w:val="single" w:sz="2" w:space="0" w:color="D9D9E3"/>
                    <w:left w:val="single" w:sz="2" w:space="0" w:color="D9D9E3"/>
                    <w:bottom w:val="single" w:sz="2" w:space="0" w:color="D9D9E3"/>
                    <w:right w:val="single" w:sz="2" w:space="0" w:color="D9D9E3"/>
                  </w:divBdr>
                  <w:divsChild>
                    <w:div w:id="6490056">
                      <w:marLeft w:val="0"/>
                      <w:marRight w:val="0"/>
                      <w:marTop w:val="0"/>
                      <w:marBottom w:val="0"/>
                      <w:divBdr>
                        <w:top w:val="single" w:sz="6" w:space="0" w:color="auto"/>
                        <w:left w:val="single" w:sz="6" w:space="0" w:color="auto"/>
                        <w:bottom w:val="single" w:sz="6" w:space="0" w:color="auto"/>
                        <w:right w:val="single" w:sz="6" w:space="0" w:color="auto"/>
                      </w:divBdr>
                      <w:divsChild>
                        <w:div w:id="1295210005">
                          <w:marLeft w:val="0"/>
                          <w:marRight w:val="0"/>
                          <w:marTop w:val="0"/>
                          <w:marBottom w:val="0"/>
                          <w:divBdr>
                            <w:top w:val="single" w:sz="2" w:space="0" w:color="D9D9E3"/>
                            <w:left w:val="single" w:sz="2" w:space="0" w:color="D9D9E3"/>
                            <w:bottom w:val="single" w:sz="2" w:space="0" w:color="D9D9E3"/>
                            <w:right w:val="single" w:sz="2" w:space="0" w:color="D9D9E3"/>
                          </w:divBdr>
                          <w:divsChild>
                            <w:div w:id="1214849581">
                              <w:marLeft w:val="0"/>
                              <w:marRight w:val="0"/>
                              <w:marTop w:val="0"/>
                              <w:marBottom w:val="0"/>
                              <w:divBdr>
                                <w:top w:val="single" w:sz="6" w:space="0" w:color="auto"/>
                                <w:left w:val="single" w:sz="6" w:space="0" w:color="auto"/>
                                <w:bottom w:val="single" w:sz="6" w:space="0" w:color="auto"/>
                                <w:right w:val="single" w:sz="6" w:space="0" w:color="auto"/>
                              </w:divBdr>
                              <w:divsChild>
                                <w:div w:id="1872381741">
                                  <w:marLeft w:val="0"/>
                                  <w:marRight w:val="0"/>
                                  <w:marTop w:val="0"/>
                                  <w:marBottom w:val="0"/>
                                  <w:divBdr>
                                    <w:top w:val="single" w:sz="2" w:space="0" w:color="D9D9E3"/>
                                    <w:left w:val="single" w:sz="2" w:space="0" w:color="D9D9E3"/>
                                    <w:bottom w:val="single" w:sz="2" w:space="0" w:color="D9D9E3"/>
                                    <w:right w:val="single" w:sz="2" w:space="0" w:color="D9D9E3"/>
                                  </w:divBdr>
                                </w:div>
                                <w:div w:id="843938207">
                                  <w:marLeft w:val="0"/>
                                  <w:marRight w:val="0"/>
                                  <w:marTop w:val="0"/>
                                  <w:marBottom w:val="0"/>
                                  <w:divBdr>
                                    <w:top w:val="single" w:sz="2" w:space="0" w:color="D9D9E3"/>
                                    <w:left w:val="single" w:sz="2" w:space="0" w:color="D9D9E3"/>
                                    <w:bottom w:val="single" w:sz="2" w:space="0" w:color="D9D9E3"/>
                                    <w:right w:val="single" w:sz="2" w:space="0" w:color="D9D9E3"/>
                                  </w:divBdr>
                                </w:div>
                                <w:div w:id="92750735">
                                  <w:marLeft w:val="0"/>
                                  <w:marRight w:val="0"/>
                                  <w:marTop w:val="0"/>
                                  <w:marBottom w:val="0"/>
                                  <w:divBdr>
                                    <w:top w:val="single" w:sz="2" w:space="0" w:color="D9D9E3"/>
                                    <w:left w:val="single" w:sz="2" w:space="0" w:color="D9D9E3"/>
                                    <w:bottom w:val="single" w:sz="2" w:space="0" w:color="D9D9E3"/>
                                    <w:right w:val="single" w:sz="2" w:space="0" w:color="D9D9E3"/>
                                  </w:divBdr>
                                </w:div>
                                <w:div w:id="1621454530">
                                  <w:marLeft w:val="0"/>
                                  <w:marRight w:val="0"/>
                                  <w:marTop w:val="0"/>
                                  <w:marBottom w:val="0"/>
                                  <w:divBdr>
                                    <w:top w:val="single" w:sz="2" w:space="0" w:color="D9D9E3"/>
                                    <w:left w:val="single" w:sz="2" w:space="0" w:color="D9D9E3"/>
                                    <w:bottom w:val="single" w:sz="2" w:space="0" w:color="D9D9E3"/>
                                    <w:right w:val="single" w:sz="2" w:space="0" w:color="D9D9E3"/>
                                  </w:divBdr>
                                </w:div>
                                <w:div w:id="1393386932">
                                  <w:marLeft w:val="0"/>
                                  <w:marRight w:val="0"/>
                                  <w:marTop w:val="0"/>
                                  <w:marBottom w:val="0"/>
                                  <w:divBdr>
                                    <w:top w:val="single" w:sz="2" w:space="0" w:color="D9D9E3"/>
                                    <w:left w:val="single" w:sz="2" w:space="0" w:color="D9D9E3"/>
                                    <w:bottom w:val="single" w:sz="2" w:space="0" w:color="D9D9E3"/>
                                    <w:right w:val="single" w:sz="2" w:space="0" w:color="D9D9E3"/>
                                  </w:divBdr>
                                  <w:divsChild>
                                    <w:div w:id="660230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637333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31324434">
      <w:bodyDiv w:val="1"/>
      <w:marLeft w:val="0"/>
      <w:marRight w:val="0"/>
      <w:marTop w:val="0"/>
      <w:marBottom w:val="0"/>
      <w:divBdr>
        <w:top w:val="none" w:sz="0" w:space="0" w:color="auto"/>
        <w:left w:val="none" w:sz="0" w:space="0" w:color="auto"/>
        <w:bottom w:val="none" w:sz="0" w:space="0" w:color="auto"/>
        <w:right w:val="none" w:sz="0" w:space="0" w:color="auto"/>
      </w:divBdr>
      <w:divsChild>
        <w:div w:id="764375145">
          <w:marLeft w:val="0"/>
          <w:marRight w:val="0"/>
          <w:marTop w:val="0"/>
          <w:marBottom w:val="0"/>
          <w:divBdr>
            <w:top w:val="none" w:sz="0" w:space="0" w:color="auto"/>
            <w:left w:val="none" w:sz="0" w:space="0" w:color="auto"/>
            <w:bottom w:val="none" w:sz="0" w:space="0" w:color="auto"/>
            <w:right w:val="none" w:sz="0" w:space="0" w:color="auto"/>
          </w:divBdr>
          <w:divsChild>
            <w:div w:id="1041439974">
              <w:marLeft w:val="-225"/>
              <w:marRight w:val="-225"/>
              <w:marTop w:val="0"/>
              <w:marBottom w:val="0"/>
              <w:divBdr>
                <w:top w:val="none" w:sz="0" w:space="0" w:color="auto"/>
                <w:left w:val="none" w:sz="0" w:space="0" w:color="auto"/>
                <w:bottom w:val="none" w:sz="0" w:space="0" w:color="auto"/>
                <w:right w:val="none" w:sz="0" w:space="0" w:color="auto"/>
              </w:divBdr>
              <w:divsChild>
                <w:div w:id="1122308789">
                  <w:marLeft w:val="0"/>
                  <w:marRight w:val="0"/>
                  <w:marTop w:val="0"/>
                  <w:marBottom w:val="0"/>
                  <w:divBdr>
                    <w:top w:val="none" w:sz="0" w:space="0" w:color="auto"/>
                    <w:left w:val="none" w:sz="0" w:space="0" w:color="auto"/>
                    <w:bottom w:val="none" w:sz="0" w:space="0" w:color="auto"/>
                    <w:right w:val="none" w:sz="0" w:space="0" w:color="auto"/>
                  </w:divBdr>
                  <w:divsChild>
                    <w:div w:id="452751943">
                      <w:marLeft w:val="-225"/>
                      <w:marRight w:val="-225"/>
                      <w:marTop w:val="0"/>
                      <w:marBottom w:val="0"/>
                      <w:divBdr>
                        <w:top w:val="none" w:sz="0" w:space="0" w:color="auto"/>
                        <w:left w:val="none" w:sz="0" w:space="0" w:color="auto"/>
                        <w:bottom w:val="none" w:sz="0" w:space="0" w:color="auto"/>
                        <w:right w:val="none" w:sz="0" w:space="0" w:color="auto"/>
                      </w:divBdr>
                      <w:divsChild>
                        <w:div w:id="1592736869">
                          <w:marLeft w:val="0"/>
                          <w:marRight w:val="0"/>
                          <w:marTop w:val="0"/>
                          <w:marBottom w:val="0"/>
                          <w:divBdr>
                            <w:top w:val="none" w:sz="0" w:space="0" w:color="auto"/>
                            <w:left w:val="none" w:sz="0" w:space="0" w:color="auto"/>
                            <w:bottom w:val="none" w:sz="0" w:space="0" w:color="auto"/>
                            <w:right w:val="none" w:sz="0" w:space="0" w:color="auto"/>
                          </w:divBdr>
                          <w:divsChild>
                            <w:div w:id="1410881501">
                              <w:marLeft w:val="-225"/>
                              <w:marRight w:val="-225"/>
                              <w:marTop w:val="0"/>
                              <w:marBottom w:val="0"/>
                              <w:divBdr>
                                <w:top w:val="none" w:sz="0" w:space="0" w:color="auto"/>
                                <w:left w:val="none" w:sz="0" w:space="0" w:color="auto"/>
                                <w:bottom w:val="none" w:sz="0" w:space="0" w:color="auto"/>
                                <w:right w:val="none" w:sz="0" w:space="0" w:color="auto"/>
                              </w:divBdr>
                              <w:divsChild>
                                <w:div w:id="316033024">
                                  <w:marLeft w:val="0"/>
                                  <w:marRight w:val="0"/>
                                  <w:marTop w:val="0"/>
                                  <w:marBottom w:val="0"/>
                                  <w:divBdr>
                                    <w:top w:val="none" w:sz="0" w:space="0" w:color="auto"/>
                                    <w:left w:val="none" w:sz="0" w:space="0" w:color="auto"/>
                                    <w:bottom w:val="none" w:sz="0" w:space="0" w:color="auto"/>
                                    <w:right w:val="none" w:sz="0" w:space="0" w:color="auto"/>
                                  </w:divBdr>
                                  <w:divsChild>
                                    <w:div w:id="1484397075">
                                      <w:marLeft w:val="0"/>
                                      <w:marRight w:val="0"/>
                                      <w:marTop w:val="450"/>
                                      <w:marBottom w:val="300"/>
                                      <w:divBdr>
                                        <w:top w:val="none" w:sz="0" w:space="0" w:color="auto"/>
                                        <w:left w:val="none" w:sz="0" w:space="0" w:color="auto"/>
                                        <w:bottom w:val="none" w:sz="0" w:space="0" w:color="auto"/>
                                        <w:right w:val="none" w:sz="0" w:space="0" w:color="auto"/>
                                      </w:divBdr>
                                    </w:div>
                                    <w:div w:id="1626354170">
                                      <w:marLeft w:val="0"/>
                                      <w:marRight w:val="0"/>
                                      <w:marTop w:val="450"/>
                                      <w:marBottom w:val="300"/>
                                      <w:divBdr>
                                        <w:top w:val="none" w:sz="0" w:space="0" w:color="auto"/>
                                        <w:left w:val="none" w:sz="0" w:space="0" w:color="auto"/>
                                        <w:bottom w:val="none" w:sz="0" w:space="0" w:color="auto"/>
                                        <w:right w:val="none" w:sz="0" w:space="0" w:color="auto"/>
                                      </w:divBdr>
                                    </w:div>
                                    <w:div w:id="774250979">
                                      <w:marLeft w:val="0"/>
                                      <w:marRight w:val="0"/>
                                      <w:marTop w:val="0"/>
                                      <w:marBottom w:val="0"/>
                                      <w:divBdr>
                                        <w:top w:val="none" w:sz="0" w:space="0" w:color="auto"/>
                                        <w:left w:val="none" w:sz="0" w:space="0" w:color="auto"/>
                                        <w:bottom w:val="none" w:sz="0" w:space="0" w:color="auto"/>
                                        <w:right w:val="none" w:sz="0" w:space="0" w:color="auto"/>
                                      </w:divBdr>
                                      <w:divsChild>
                                        <w:div w:id="62338093">
                                          <w:marLeft w:val="0"/>
                                          <w:marRight w:val="0"/>
                                          <w:marTop w:val="0"/>
                                          <w:marBottom w:val="0"/>
                                          <w:divBdr>
                                            <w:top w:val="none" w:sz="0" w:space="0" w:color="auto"/>
                                            <w:left w:val="none" w:sz="0" w:space="0" w:color="auto"/>
                                            <w:bottom w:val="none" w:sz="0" w:space="0" w:color="auto"/>
                                            <w:right w:val="none" w:sz="0" w:space="0" w:color="auto"/>
                                          </w:divBdr>
                                        </w:div>
                                      </w:divsChild>
                                    </w:div>
                                    <w:div w:id="311182070">
                                      <w:marLeft w:val="0"/>
                                      <w:marRight w:val="0"/>
                                      <w:marTop w:val="0"/>
                                      <w:marBottom w:val="0"/>
                                      <w:divBdr>
                                        <w:top w:val="none" w:sz="0" w:space="0" w:color="auto"/>
                                        <w:left w:val="none" w:sz="0" w:space="0" w:color="auto"/>
                                        <w:bottom w:val="none" w:sz="0" w:space="0" w:color="auto"/>
                                        <w:right w:val="none" w:sz="0" w:space="0" w:color="auto"/>
                                      </w:divBdr>
                                      <w:divsChild>
                                        <w:div w:id="565990049">
                                          <w:marLeft w:val="-225"/>
                                          <w:marRight w:val="-225"/>
                                          <w:marTop w:val="0"/>
                                          <w:marBottom w:val="0"/>
                                          <w:divBdr>
                                            <w:top w:val="none" w:sz="0" w:space="0" w:color="auto"/>
                                            <w:left w:val="none" w:sz="0" w:space="0" w:color="auto"/>
                                            <w:bottom w:val="none" w:sz="0" w:space="0" w:color="auto"/>
                                            <w:right w:val="none" w:sz="0" w:space="0" w:color="auto"/>
                                          </w:divBdr>
                                          <w:divsChild>
                                            <w:div w:id="1648709041">
                                              <w:marLeft w:val="0"/>
                                              <w:marRight w:val="0"/>
                                              <w:marTop w:val="0"/>
                                              <w:marBottom w:val="0"/>
                                              <w:divBdr>
                                                <w:top w:val="none" w:sz="0" w:space="0" w:color="auto"/>
                                                <w:left w:val="none" w:sz="0" w:space="0" w:color="auto"/>
                                                <w:bottom w:val="none" w:sz="0" w:space="0" w:color="auto"/>
                                                <w:right w:val="none" w:sz="0" w:space="0" w:color="auto"/>
                                              </w:divBdr>
                                              <w:divsChild>
                                                <w:div w:id="156000746">
                                                  <w:marLeft w:val="0"/>
                                                  <w:marRight w:val="0"/>
                                                  <w:marTop w:val="0"/>
                                                  <w:marBottom w:val="0"/>
                                                  <w:divBdr>
                                                    <w:top w:val="none" w:sz="0" w:space="0" w:color="auto"/>
                                                    <w:left w:val="none" w:sz="0" w:space="0" w:color="auto"/>
                                                    <w:bottom w:val="none" w:sz="0" w:space="0" w:color="auto"/>
                                                    <w:right w:val="none" w:sz="0" w:space="0" w:color="auto"/>
                                                  </w:divBdr>
                                                  <w:divsChild>
                                                    <w:div w:id="1773547934">
                                                      <w:marLeft w:val="0"/>
                                                      <w:marRight w:val="0"/>
                                                      <w:marTop w:val="0"/>
                                                      <w:marBottom w:val="0"/>
                                                      <w:divBdr>
                                                        <w:top w:val="none" w:sz="0" w:space="0" w:color="auto"/>
                                                        <w:left w:val="none" w:sz="0" w:space="0" w:color="auto"/>
                                                        <w:bottom w:val="none" w:sz="0" w:space="0" w:color="auto"/>
                                                        <w:right w:val="none" w:sz="0" w:space="0" w:color="auto"/>
                                                      </w:divBdr>
                                                      <w:divsChild>
                                                        <w:div w:id="2094348647">
                                                          <w:marLeft w:val="0"/>
                                                          <w:marRight w:val="0"/>
                                                          <w:marTop w:val="0"/>
                                                          <w:marBottom w:val="0"/>
                                                          <w:divBdr>
                                                            <w:top w:val="none" w:sz="0" w:space="0" w:color="auto"/>
                                                            <w:left w:val="none" w:sz="0" w:space="0" w:color="auto"/>
                                                            <w:bottom w:val="none" w:sz="0" w:space="0" w:color="auto"/>
                                                            <w:right w:val="none" w:sz="0" w:space="0" w:color="auto"/>
                                                          </w:divBdr>
                                                          <w:divsChild>
                                                            <w:div w:id="77794012">
                                                              <w:marLeft w:val="0"/>
                                                              <w:marRight w:val="0"/>
                                                              <w:marTop w:val="0"/>
                                                              <w:marBottom w:val="0"/>
                                                              <w:divBdr>
                                                                <w:top w:val="none" w:sz="0" w:space="0" w:color="auto"/>
                                                                <w:left w:val="none" w:sz="0" w:space="0" w:color="auto"/>
                                                                <w:bottom w:val="none" w:sz="0" w:space="0" w:color="auto"/>
                                                                <w:right w:val="none" w:sz="0" w:space="0" w:color="auto"/>
                                                              </w:divBdr>
                                                            </w:div>
                                                          </w:divsChild>
                                                        </w:div>
                                                        <w:div w:id="918055097">
                                                          <w:marLeft w:val="0"/>
                                                          <w:marRight w:val="0"/>
                                                          <w:marTop w:val="0"/>
                                                          <w:marBottom w:val="0"/>
                                                          <w:divBdr>
                                                            <w:top w:val="none" w:sz="0" w:space="0" w:color="auto"/>
                                                            <w:left w:val="none" w:sz="0" w:space="0" w:color="auto"/>
                                                            <w:bottom w:val="none" w:sz="0" w:space="0" w:color="auto"/>
                                                            <w:right w:val="none" w:sz="0" w:space="0" w:color="auto"/>
                                                          </w:divBdr>
                                                        </w:div>
                                                        <w:div w:id="1927035404">
                                                          <w:marLeft w:val="0"/>
                                                          <w:marRight w:val="0"/>
                                                          <w:marTop w:val="0"/>
                                                          <w:marBottom w:val="0"/>
                                                          <w:divBdr>
                                                            <w:top w:val="none" w:sz="0" w:space="0" w:color="auto"/>
                                                            <w:left w:val="none" w:sz="0" w:space="0" w:color="auto"/>
                                                            <w:bottom w:val="none" w:sz="0" w:space="0" w:color="auto"/>
                                                            <w:right w:val="none" w:sz="0" w:space="0" w:color="auto"/>
                                                          </w:divBdr>
                                                          <w:divsChild>
                                                            <w:div w:id="1449086576">
                                                              <w:marLeft w:val="0"/>
                                                              <w:marRight w:val="150"/>
                                                              <w:marTop w:val="0"/>
                                                              <w:marBottom w:val="0"/>
                                                              <w:divBdr>
                                                                <w:top w:val="none" w:sz="0" w:space="0" w:color="auto"/>
                                                                <w:left w:val="none" w:sz="0" w:space="0" w:color="auto"/>
                                                                <w:bottom w:val="none" w:sz="0" w:space="0" w:color="auto"/>
                                                                <w:right w:val="none" w:sz="0" w:space="0" w:color="auto"/>
                                                              </w:divBdr>
                                                              <w:divsChild>
                                                                <w:div w:id="503282155">
                                                                  <w:marLeft w:val="0"/>
                                                                  <w:marRight w:val="0"/>
                                                                  <w:marTop w:val="150"/>
                                                                  <w:marBottom w:val="0"/>
                                                                  <w:divBdr>
                                                                    <w:top w:val="none" w:sz="0" w:space="0" w:color="auto"/>
                                                                    <w:left w:val="none" w:sz="0" w:space="0" w:color="auto"/>
                                                                    <w:bottom w:val="none" w:sz="0" w:space="0" w:color="auto"/>
                                                                    <w:right w:val="none" w:sz="0" w:space="0" w:color="auto"/>
                                                                  </w:divBdr>
                                                                </w:div>
                                                              </w:divsChild>
                                                            </w:div>
                                                            <w:div w:id="236280594">
                                                              <w:marLeft w:val="0"/>
                                                              <w:marRight w:val="0"/>
                                                              <w:marTop w:val="0"/>
                                                              <w:marBottom w:val="0"/>
                                                              <w:divBdr>
                                                                <w:top w:val="none" w:sz="0" w:space="0" w:color="auto"/>
                                                                <w:left w:val="none" w:sz="0" w:space="0" w:color="auto"/>
                                                                <w:bottom w:val="none" w:sz="0" w:space="0" w:color="auto"/>
                                                                <w:right w:val="none" w:sz="0" w:space="0" w:color="auto"/>
                                                              </w:divBdr>
                                                              <w:divsChild>
                                                                <w:div w:id="756444595">
                                                                  <w:marLeft w:val="0"/>
                                                                  <w:marRight w:val="0"/>
                                                                  <w:marTop w:val="150"/>
                                                                  <w:marBottom w:val="0"/>
                                                                  <w:divBdr>
                                                                    <w:top w:val="single" w:sz="12" w:space="0" w:color="00205C"/>
                                                                    <w:left w:val="single" w:sz="12" w:space="0" w:color="00205C"/>
                                                                    <w:bottom w:val="single" w:sz="12" w:space="0" w:color="00205C"/>
                                                                    <w:right w:val="single" w:sz="12" w:space="0" w:color="00205C"/>
                                                                  </w:divBdr>
                                                                </w:div>
                                                              </w:divsChild>
                                                            </w:div>
                                                          </w:divsChild>
                                                        </w:div>
                                                      </w:divsChild>
                                                    </w:div>
                                                  </w:divsChild>
                                                </w:div>
                                              </w:divsChild>
                                            </w:div>
                                          </w:divsChild>
                                        </w:div>
                                      </w:divsChild>
                                    </w:div>
                                    <w:div w:id="73623888">
                                      <w:marLeft w:val="0"/>
                                      <w:marRight w:val="0"/>
                                      <w:marTop w:val="0"/>
                                      <w:marBottom w:val="0"/>
                                      <w:divBdr>
                                        <w:top w:val="none" w:sz="0" w:space="0" w:color="auto"/>
                                        <w:left w:val="none" w:sz="0" w:space="0" w:color="auto"/>
                                        <w:bottom w:val="none" w:sz="0" w:space="0" w:color="auto"/>
                                        <w:right w:val="none" w:sz="0" w:space="0" w:color="auto"/>
                                      </w:divBdr>
                                      <w:divsChild>
                                        <w:div w:id="1740327384">
                                          <w:marLeft w:val="0"/>
                                          <w:marRight w:val="0"/>
                                          <w:marTop w:val="0"/>
                                          <w:marBottom w:val="0"/>
                                          <w:divBdr>
                                            <w:top w:val="none" w:sz="0" w:space="0" w:color="auto"/>
                                            <w:left w:val="none" w:sz="0" w:space="0" w:color="auto"/>
                                            <w:bottom w:val="none" w:sz="0" w:space="0" w:color="auto"/>
                                            <w:right w:val="none" w:sz="0" w:space="0" w:color="auto"/>
                                          </w:divBdr>
                                        </w:div>
                                      </w:divsChild>
                                    </w:div>
                                    <w:div w:id="1491557581">
                                      <w:marLeft w:val="0"/>
                                      <w:marRight w:val="0"/>
                                      <w:marTop w:val="450"/>
                                      <w:marBottom w:val="300"/>
                                      <w:divBdr>
                                        <w:top w:val="none" w:sz="0" w:space="0" w:color="auto"/>
                                        <w:left w:val="none" w:sz="0" w:space="0" w:color="auto"/>
                                        <w:bottom w:val="none" w:sz="0" w:space="0" w:color="auto"/>
                                        <w:right w:val="none" w:sz="0" w:space="0" w:color="auto"/>
                                      </w:divBdr>
                                    </w:div>
                                    <w:div w:id="33310028">
                                      <w:marLeft w:val="0"/>
                                      <w:marRight w:val="0"/>
                                      <w:marTop w:val="0"/>
                                      <w:marBottom w:val="0"/>
                                      <w:divBdr>
                                        <w:top w:val="none" w:sz="0" w:space="0" w:color="auto"/>
                                        <w:left w:val="none" w:sz="0" w:space="0" w:color="auto"/>
                                        <w:bottom w:val="none" w:sz="0" w:space="0" w:color="auto"/>
                                        <w:right w:val="none" w:sz="0" w:space="0" w:color="auto"/>
                                      </w:divBdr>
                                      <w:divsChild>
                                        <w:div w:id="132966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853253">
      <w:bodyDiv w:val="1"/>
      <w:marLeft w:val="0"/>
      <w:marRight w:val="0"/>
      <w:marTop w:val="0"/>
      <w:marBottom w:val="0"/>
      <w:divBdr>
        <w:top w:val="none" w:sz="0" w:space="0" w:color="auto"/>
        <w:left w:val="none" w:sz="0" w:space="0" w:color="auto"/>
        <w:bottom w:val="none" w:sz="0" w:space="0" w:color="auto"/>
        <w:right w:val="none" w:sz="0" w:space="0" w:color="auto"/>
      </w:divBdr>
    </w:div>
    <w:div w:id="1557664392">
      <w:bodyDiv w:val="1"/>
      <w:marLeft w:val="0"/>
      <w:marRight w:val="0"/>
      <w:marTop w:val="0"/>
      <w:marBottom w:val="0"/>
      <w:divBdr>
        <w:top w:val="none" w:sz="0" w:space="0" w:color="auto"/>
        <w:left w:val="none" w:sz="0" w:space="0" w:color="auto"/>
        <w:bottom w:val="none" w:sz="0" w:space="0" w:color="auto"/>
        <w:right w:val="none" w:sz="0" w:space="0" w:color="auto"/>
      </w:divBdr>
      <w:divsChild>
        <w:div w:id="1981181195">
          <w:marLeft w:val="0"/>
          <w:marRight w:val="0"/>
          <w:marTop w:val="0"/>
          <w:marBottom w:val="0"/>
          <w:divBdr>
            <w:top w:val="single" w:sz="2" w:space="0" w:color="D9D9E3"/>
            <w:left w:val="single" w:sz="2" w:space="0" w:color="D9D9E3"/>
            <w:bottom w:val="single" w:sz="2" w:space="0" w:color="D9D9E3"/>
            <w:right w:val="single" w:sz="2" w:space="0" w:color="D9D9E3"/>
          </w:divBdr>
          <w:divsChild>
            <w:div w:id="1869490562">
              <w:marLeft w:val="0"/>
              <w:marRight w:val="0"/>
              <w:marTop w:val="0"/>
              <w:marBottom w:val="0"/>
              <w:divBdr>
                <w:top w:val="single" w:sz="2" w:space="0" w:color="D9D9E3"/>
                <w:left w:val="single" w:sz="2" w:space="0" w:color="D9D9E3"/>
                <w:bottom w:val="single" w:sz="2" w:space="0" w:color="D9D9E3"/>
                <w:right w:val="single" w:sz="2" w:space="0" w:color="D9D9E3"/>
              </w:divBdr>
              <w:divsChild>
                <w:div w:id="11800033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4342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1C3D2-F419-46A6-B8B0-EBBD46E4F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12380</Words>
  <Characters>70568</Characters>
  <Application>Microsoft Office Word</Application>
  <DocSecurity>0</DocSecurity>
  <Lines>588</Lines>
  <Paragraphs>165</Paragraphs>
  <ScaleCrop>false</ScaleCrop>
  <Company/>
  <LinksUpToDate>false</LinksUpToDate>
  <CharactersWithSpaces>82783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minghao liu</dc:creator>
  <cp:keywords/>
  <dc:description/>
  <cp:lastModifiedBy>minghao liu</cp:lastModifiedBy>
  <cp:revision>3</cp:revision>
  <cp:lastPrinted>2023-12-25T13:34:00Z</cp:lastPrinted>
  <dcterms:created xsi:type="dcterms:W3CDTF">2023-12-29T18:06:00Z</dcterms:created>
  <dcterms:modified xsi:type="dcterms:W3CDTF">2023-12-31T15:26:00Z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12th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9th edition</vt:lpwstr>
  </property>
  <property fmtid="{D5CDD505-2E9C-101B-9397-08002B2CF9AE}" pid="14" name="Mendeley Recent Style Id 6_1">
    <vt:lpwstr>http://www.zotero.org/styles/national-institute-of-organisation-dynamics-australia-harvard</vt:lpwstr>
  </property>
  <property fmtid="{D5CDD505-2E9C-101B-9397-08002B2CF9AE}" pid="15" name="Mendeley Recent Style Name 6_1">
    <vt:lpwstr>National Institute of Organisation Dynamics Australia - Harvard</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e93ae4d4-e43a-3eba-8719-f9af2ca9aa86</vt:lpwstr>
  </property>
  <property fmtid="{D5CDD505-2E9C-101B-9397-08002B2CF9AE}" pid="24" name="Mendeley Citation Style_1">
    <vt:lpwstr>http://www.zotero.org/styles/vancouver</vt:lpwstr>
  </property>
</Properties>
</file>