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00" w:rsidRPr="00700165" w:rsidRDefault="003C0600" w:rsidP="003C060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00165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Supplemental table 2. </w:t>
      </w:r>
      <w:r w:rsidRPr="00700165">
        <w:rPr>
          <w:rFonts w:ascii="Times New Roman" w:hAnsi="Times New Roman" w:cs="Times New Roman"/>
          <w:sz w:val="20"/>
          <w:szCs w:val="20"/>
          <w:lang w:val="en-GB"/>
        </w:rPr>
        <w:t xml:space="preserve">Implementation of secondary preventive treatment with aspirin, statins, ACEI/ARBs, and </w:t>
      </w:r>
      <w:proofErr w:type="gramStart"/>
      <w:r w:rsidRPr="00700165">
        <w:rPr>
          <w:rFonts w:ascii="Times New Roman" w:hAnsi="Times New Roman" w:cs="Times New Roman"/>
          <w:sz w:val="20"/>
          <w:szCs w:val="20"/>
          <w:lang w:val="en-GB"/>
        </w:rPr>
        <w:t>beta blockers</w:t>
      </w:r>
      <w:proofErr w:type="gramEnd"/>
      <w:r w:rsidRPr="00700165">
        <w:rPr>
          <w:rFonts w:ascii="Times New Roman" w:hAnsi="Times New Roman" w:cs="Times New Roman"/>
          <w:sz w:val="20"/>
          <w:szCs w:val="20"/>
          <w:lang w:val="en-GB"/>
        </w:rPr>
        <w:t xml:space="preserve"> in patients with MINOCA and MI-CAD. Medication possession ratio (MPR) ≥</w:t>
      </w:r>
      <w:proofErr w:type="gramStart"/>
      <w:r w:rsidRPr="00700165">
        <w:rPr>
          <w:rFonts w:ascii="Times New Roman" w:hAnsi="Times New Roman" w:cs="Times New Roman"/>
          <w:sz w:val="20"/>
          <w:szCs w:val="20"/>
          <w:lang w:val="en-GB"/>
        </w:rPr>
        <w:t>80%</w:t>
      </w:r>
      <w:proofErr w:type="gramEnd"/>
      <w:r w:rsidRPr="00700165">
        <w:rPr>
          <w:rFonts w:ascii="Times New Roman" w:hAnsi="Times New Roman" w:cs="Times New Roman"/>
          <w:sz w:val="20"/>
          <w:szCs w:val="20"/>
          <w:lang w:val="en-GB"/>
        </w:rPr>
        <w:t xml:space="preserve"> was defined as high adherence.</w:t>
      </w:r>
    </w:p>
    <w:tbl>
      <w:tblPr>
        <w:tblW w:w="14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640"/>
        <w:gridCol w:w="2080"/>
        <w:gridCol w:w="1180"/>
        <w:gridCol w:w="2740"/>
        <w:gridCol w:w="1660"/>
        <w:gridCol w:w="1840"/>
        <w:gridCol w:w="994"/>
      </w:tblGrid>
      <w:tr w:rsidR="003C0600" w:rsidRPr="00700165" w:rsidTr="004E4070">
        <w:trPr>
          <w:trHeight w:val="33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Aspirin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MINOCA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MI-CAD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p-value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Statin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MINOCA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MI-CAD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p-value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MPR 2–6 months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5209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69718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MPR 2–6 months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5014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71892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80 </w:t>
            </w: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-100%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5074 (97.4%)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68503 (98.3%)</w:t>
            </w:r>
          </w:p>
        </w:tc>
        <w:tc>
          <w:tcPr>
            <w:tcW w:w="11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4553 (90.8%)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68146 (94.8%)</w:t>
            </w:r>
          </w:p>
        </w:tc>
        <w:tc>
          <w:tcPr>
            <w:tcW w:w="9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106 (2.0%)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973 (1.4%)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406 (8.1%)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3365 (4.7%)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6–12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4590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63517</w:t>
            </w:r>
          </w:p>
        </w:tc>
        <w:tc>
          <w:tcPr>
            <w:tcW w:w="11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6–12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4288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65347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4353 (94.8%)</w:t>
            </w:r>
          </w:p>
        </w:tc>
        <w:tc>
          <w:tcPr>
            <w:tcW w:w="2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61725 (97.2%)</w:t>
            </w:r>
          </w:p>
        </w:tc>
        <w:tc>
          <w:tcPr>
            <w:tcW w:w="118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7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3874 (90.3%)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61872 (94.7%)</w:t>
            </w:r>
          </w:p>
        </w:tc>
        <w:tc>
          <w:tcPr>
            <w:tcW w:w="99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188 (4.1%)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1478 (2.3%)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332 (7.7%)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2960 (4.5%)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1–2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3854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54381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1–2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3372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54647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3630 (94.2%)</w:t>
            </w:r>
          </w:p>
        </w:tc>
        <w:tc>
          <w:tcPr>
            <w:tcW w:w="2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52390 (96.3%)</w:t>
            </w:r>
          </w:p>
        </w:tc>
        <w:tc>
          <w:tcPr>
            <w:tcW w:w="1180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2947 (87.4%)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50905 (93.2%)</w:t>
            </w:r>
          </w:p>
        </w:tc>
        <w:tc>
          <w:tcPr>
            <w:tcW w:w="99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172 (4.5%)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1673 (3.1%)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350 (10.4%)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3102 (5.7%)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2–3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3274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46448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2–3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2789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45803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3072 (93.8%)</w:t>
            </w:r>
          </w:p>
        </w:tc>
        <w:tc>
          <w:tcPr>
            <w:tcW w:w="2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44724 (96.3%)</w:t>
            </w:r>
          </w:p>
        </w:tc>
        <w:tc>
          <w:tcPr>
            <w:tcW w:w="1180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2394 (85.8%)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42130 (92.0%)</w:t>
            </w:r>
          </w:p>
        </w:tc>
        <w:tc>
          <w:tcPr>
            <w:tcW w:w="99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169 (5.2%)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1482 (3.2%)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320 (11.5%)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3014 (6.6%)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3–5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2307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32457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3–5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1838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31131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2165 (93.8%)</w:t>
            </w:r>
          </w:p>
        </w:tc>
        <w:tc>
          <w:tcPr>
            <w:tcW w:w="2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31110 (95.8%)</w:t>
            </w:r>
          </w:p>
        </w:tc>
        <w:tc>
          <w:tcPr>
            <w:tcW w:w="1180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1507 (82.0%)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27667 (88.9%)</w:t>
            </w:r>
          </w:p>
        </w:tc>
        <w:tc>
          <w:tcPr>
            <w:tcW w:w="99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115 (5.0%)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1146 (3.5%)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262 (14.3%)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2847 (9.1%)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3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ACEI/ARB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MINOCA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MI-CAD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p-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Betablockers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MINOCA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MI-CAD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p-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2–6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2742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49562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2–6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4056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60959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2680 (97.7%)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48836 (98.5%)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0.002</w:t>
            </w: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3841 (94.7%)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58543 (96.0%)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 (1.8%)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525 (1.1%)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151 (3.7%)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1666 (2.7%)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6–12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2408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44805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6–12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3544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54440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2345 (97.4%)</w:t>
            </w:r>
          </w:p>
        </w:tc>
        <w:tc>
          <w:tcPr>
            <w:tcW w:w="2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43984 (98.2%)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0.017</w:t>
            </w:r>
          </w:p>
        </w:tc>
        <w:tc>
          <w:tcPr>
            <w:tcW w:w="2740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3310 (93.4%)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51382 (94.4%)</w:t>
            </w:r>
          </w:p>
        </w:tc>
        <w:tc>
          <w:tcPr>
            <w:tcW w:w="99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0.045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44 (1.8%9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602 (1.3%)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 (4.7%)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2204 (4.0%)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1–2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1996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38200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1–2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2967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45907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1933 (96.9%)</w:t>
            </w:r>
          </w:p>
        </w:tc>
        <w:tc>
          <w:tcPr>
            <w:tcW w:w="2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37374 (97.8%)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0.020</w:t>
            </w:r>
          </w:p>
        </w:tc>
        <w:tc>
          <w:tcPr>
            <w:tcW w:w="2740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2751 (92.7%)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42888 (93.4%)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0.108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 (2.3%)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612 (1.6%)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154 (5.2%)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2283 (5.0%)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 xml:space="preserve">MPR 2–3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1711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32547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2–3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2544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39249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1664 (97.3%)</w:t>
            </w:r>
          </w:p>
        </w:tc>
        <w:tc>
          <w:tcPr>
            <w:tcW w:w="2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31850 (97.9%)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0.163</w:t>
            </w:r>
          </w:p>
        </w:tc>
        <w:tc>
          <w:tcPr>
            <w:tcW w:w="2740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2373 (93.3%)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36913 (94.0%)</w:t>
            </w:r>
          </w:p>
        </w:tc>
        <w:tc>
          <w:tcPr>
            <w:tcW w:w="994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0.110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 (2.2%)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527 (1.6%)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137 (5.4%)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1768 (4.5%)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3–5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1196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22624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3–5 </w:t>
            </w:r>
            <w:proofErr w:type="spellStart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700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1832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27632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1162 (97.2%)</w:t>
            </w:r>
          </w:p>
        </w:tc>
        <w:tc>
          <w:tcPr>
            <w:tcW w:w="20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22056 (97.5%)</w:t>
            </w:r>
          </w:p>
        </w:tc>
        <w:tc>
          <w:tcPr>
            <w:tcW w:w="11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0.680</w:t>
            </w:r>
          </w:p>
        </w:tc>
        <w:tc>
          <w:tcPr>
            <w:tcW w:w="2740" w:type="dxa"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80 -100%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1704 (93.0%)</w:t>
            </w:r>
          </w:p>
        </w:tc>
        <w:tc>
          <w:tcPr>
            <w:tcW w:w="18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25997 (94.1%)</w:t>
            </w:r>
          </w:p>
        </w:tc>
        <w:tc>
          <w:tcPr>
            <w:tcW w:w="994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0.022</w:t>
            </w:r>
          </w:p>
        </w:tc>
      </w:tr>
      <w:tr w:rsidR="003C0600" w:rsidRPr="00700165" w:rsidTr="004E4070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 (2.3%)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448 (2.0%)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50 -80%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90 (4.9%)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1269 (4.6%)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3C0600" w:rsidRPr="00700165" w:rsidTr="004E4070">
        <w:trPr>
          <w:trHeight w:val="300"/>
        </w:trPr>
        <w:tc>
          <w:tcPr>
            <w:tcW w:w="138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All results presented as n (%).</w:t>
            </w:r>
          </w:p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*p-values for comparisons of persistent patients with MINOCA and MI-CAD. ACEI/ARB: </w:t>
            </w:r>
          </w:p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00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ACE inhibitor or angiotensin receptor blocker.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600" w:rsidRPr="00700165" w:rsidRDefault="003C0600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</w:tr>
    </w:tbl>
    <w:p w:rsidR="00B65F52" w:rsidRPr="00700165" w:rsidRDefault="0070016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65F52" w:rsidRPr="00700165" w:rsidSect="003C06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00"/>
    <w:rsid w:val="002B69F7"/>
    <w:rsid w:val="003C0600"/>
    <w:rsid w:val="00700165"/>
    <w:rsid w:val="00D9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0D283-88C9-4EDC-BF1C-4714AFFE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60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Nordenskjöld</dc:creator>
  <cp:keywords/>
  <dc:description/>
  <cp:lastModifiedBy>Anna Nordenskjöld</cp:lastModifiedBy>
  <cp:revision>2</cp:revision>
  <dcterms:created xsi:type="dcterms:W3CDTF">2023-10-16T08:28:00Z</dcterms:created>
  <dcterms:modified xsi:type="dcterms:W3CDTF">2023-10-16T08:28:00Z</dcterms:modified>
</cp:coreProperties>
</file>