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94D" w:rsidRDefault="0051194D" w:rsidP="0051194D">
      <w:pPr>
        <w:spacing w:afterLines="100" w:after="312"/>
        <w:jc w:val="center"/>
        <w:rPr>
          <w:rFonts w:ascii="Times New Roman" w:eastAsia="等线" w:hAnsi="Times New Roman" w:cs="Times New Roman"/>
          <w:b/>
          <w:color w:val="000000"/>
          <w:sz w:val="28"/>
        </w:rPr>
      </w:pPr>
      <w:r w:rsidRPr="00FF0B78">
        <w:rPr>
          <w:rFonts w:ascii="Times New Roman" w:hAnsi="Times New Roman" w:cs="Times New Roman" w:hint="eastAsia"/>
          <w:b/>
          <w:color w:val="000000" w:themeColor="text1"/>
          <w:sz w:val="28"/>
        </w:rPr>
        <w:t>MOF-Based Nanoagent Enables NIR-Triggered Dual Damage to Mitochondria via Synergistically Reinforced Oxidative Stress and C</w:t>
      </w:r>
      <w:r w:rsidRPr="00FF0B78">
        <w:rPr>
          <w:rFonts w:ascii="Times New Roman" w:hAnsi="Times New Roman" w:cs="Times New Roman"/>
          <w:b/>
          <w:color w:val="000000" w:themeColor="text1"/>
          <w:sz w:val="28"/>
        </w:rPr>
        <w:t>alcium</w:t>
      </w:r>
      <w:r w:rsidRPr="00FF0B78">
        <w:rPr>
          <w:rFonts w:ascii="Times New Roman" w:hAnsi="Times New Roman" w:cs="Times New Roman" w:hint="eastAsia"/>
          <w:b/>
          <w:color w:val="000000" w:themeColor="text1"/>
          <w:sz w:val="28"/>
        </w:rPr>
        <w:t xml:space="preserve"> </w:t>
      </w:r>
      <w:r w:rsidRPr="00FF0B78">
        <w:rPr>
          <w:rFonts w:ascii="Times New Roman" w:eastAsia="等线" w:hAnsi="Times New Roman" w:cs="Times New Roman"/>
          <w:b/>
          <w:color w:val="000000"/>
          <w:sz w:val="28"/>
        </w:rPr>
        <w:t>Overload</w:t>
      </w:r>
    </w:p>
    <w:p w:rsidR="0051194D" w:rsidRPr="00174F70" w:rsidRDefault="0051194D" w:rsidP="0051194D">
      <w:pPr>
        <w:pStyle w:val="Teaser"/>
      </w:pPr>
      <w:r w:rsidRPr="00174F70">
        <w:rPr>
          <w:b/>
        </w:rPr>
        <w:t>Authors:</w:t>
      </w:r>
      <w:r>
        <w:t xml:space="preserve"> </w:t>
      </w:r>
      <w:proofErr w:type="spellStart"/>
      <w:r>
        <w:t>Weier</w:t>
      </w:r>
      <w:proofErr w:type="spellEnd"/>
      <w:r>
        <w:t xml:space="preserve"> Bao</w:t>
      </w:r>
      <w:r>
        <w:rPr>
          <w:vertAlign w:val="superscript"/>
        </w:rPr>
        <w:t>1</w:t>
      </w:r>
      <w:proofErr w:type="gramStart"/>
      <w:r>
        <w:rPr>
          <w:vertAlign w:val="superscript"/>
        </w:rPr>
        <w:t>,2</w:t>
      </w:r>
      <w:proofErr w:type="gramEnd"/>
      <w:r w:rsidRPr="00174F70">
        <w:t xml:space="preserve">, </w:t>
      </w:r>
      <w:r w:rsidR="00DF05F7">
        <w:rPr>
          <w:lang w:val="en-GB"/>
        </w:rPr>
        <w:t>Ming Liu</w:t>
      </w:r>
      <w:r w:rsidR="00DF05F7" w:rsidRPr="00174F70">
        <w:rPr>
          <w:rFonts w:hint="eastAsia"/>
          <w:vertAlign w:val="superscript"/>
          <w:lang w:val="en-GB"/>
        </w:rPr>
        <w:t>1</w:t>
      </w:r>
      <w:r w:rsidR="00DF05F7">
        <w:rPr>
          <w:rFonts w:hint="eastAsia"/>
          <w:lang w:val="en-GB"/>
        </w:rPr>
        <w:t>,</w:t>
      </w:r>
      <w:r w:rsidR="00DF05F7">
        <w:rPr>
          <w:lang w:val="en-GB"/>
        </w:rPr>
        <w:t xml:space="preserve"> </w:t>
      </w:r>
      <w:proofErr w:type="spellStart"/>
      <w:r>
        <w:rPr>
          <w:lang w:val="en-GB"/>
        </w:rPr>
        <w:t>Jiaqi</w:t>
      </w:r>
      <w:proofErr w:type="spellEnd"/>
      <w:r>
        <w:rPr>
          <w:lang w:val="en-GB"/>
        </w:rPr>
        <w:t xml:space="preserve"> Meng</w:t>
      </w:r>
      <w:r>
        <w:rPr>
          <w:vertAlign w:val="superscript"/>
          <w:lang w:val="en-GB"/>
        </w:rPr>
        <w:t>1,2</w:t>
      </w:r>
      <w:r w:rsidRPr="00174F70">
        <w:rPr>
          <w:rFonts w:hint="eastAsia"/>
          <w:lang w:val="en-GB"/>
        </w:rPr>
        <w:t>,</w:t>
      </w:r>
      <w:r>
        <w:rPr>
          <w:lang w:val="en-GB"/>
        </w:rPr>
        <w:t xml:space="preserve"> </w:t>
      </w:r>
      <w:proofErr w:type="spellStart"/>
      <w:r w:rsidRPr="00174F70">
        <w:rPr>
          <w:rFonts w:hint="eastAsia"/>
          <w:lang w:val="en-GB"/>
        </w:rPr>
        <w:t>Shuang</w:t>
      </w:r>
      <w:proofErr w:type="spellEnd"/>
      <w:r w:rsidRPr="00174F70">
        <w:rPr>
          <w:rFonts w:hint="eastAsia"/>
          <w:lang w:val="en-GB"/>
        </w:rPr>
        <w:t xml:space="preserve"> Wang</w:t>
      </w:r>
      <w:r>
        <w:rPr>
          <w:vertAlign w:val="superscript"/>
          <w:lang w:val="en-GB"/>
        </w:rPr>
        <w:t>2</w:t>
      </w:r>
      <w:r w:rsidRPr="00174F70">
        <w:rPr>
          <w:rFonts w:hint="eastAsia"/>
          <w:lang w:val="en-GB"/>
        </w:rPr>
        <w:t>,</w:t>
      </w:r>
      <w:r>
        <w:rPr>
          <w:lang w:val="en-GB"/>
        </w:rPr>
        <w:t xml:space="preserve"> </w:t>
      </w:r>
      <w:proofErr w:type="spellStart"/>
      <w:r w:rsidR="00207B42" w:rsidRPr="00A260ED">
        <w:rPr>
          <w:lang w:val="en-GB"/>
        </w:rPr>
        <w:t>Rongrong</w:t>
      </w:r>
      <w:proofErr w:type="spellEnd"/>
      <w:r w:rsidR="00207B42" w:rsidRPr="00A260ED">
        <w:rPr>
          <w:lang w:val="en-GB"/>
        </w:rPr>
        <w:t xml:space="preserve"> Jia</w:t>
      </w:r>
      <w:r w:rsidR="00207B42" w:rsidRPr="00A260ED">
        <w:rPr>
          <w:vertAlign w:val="superscript"/>
          <w:lang w:val="en-GB"/>
        </w:rPr>
        <w:t>4</w:t>
      </w:r>
      <w:r w:rsidR="00207B42">
        <w:rPr>
          <w:lang w:val="en-GB"/>
        </w:rPr>
        <w:t xml:space="preserve">, </w:t>
      </w:r>
      <w:proofErr w:type="spellStart"/>
      <w:r w:rsidRPr="00174F70">
        <w:rPr>
          <w:rFonts w:hint="eastAsia"/>
          <w:lang w:val="en-GB"/>
        </w:rPr>
        <w:t>Yugang</w:t>
      </w:r>
      <w:proofErr w:type="spellEnd"/>
      <w:r w:rsidRPr="00174F70">
        <w:rPr>
          <w:rFonts w:hint="eastAsia"/>
          <w:lang w:val="en-GB"/>
        </w:rPr>
        <w:t xml:space="preserve"> Wang</w:t>
      </w:r>
      <w:r>
        <w:rPr>
          <w:vertAlign w:val="superscript"/>
          <w:lang w:val="en-GB"/>
        </w:rPr>
        <w:t>4</w:t>
      </w:r>
      <w:r w:rsidRPr="00174F70">
        <w:rPr>
          <w:rFonts w:hint="eastAsia"/>
          <w:lang w:val="en-GB"/>
        </w:rPr>
        <w:t xml:space="preserve">, </w:t>
      </w:r>
      <w:proofErr w:type="spellStart"/>
      <w:r w:rsidRPr="00174F70">
        <w:rPr>
          <w:rFonts w:hint="eastAsia"/>
          <w:lang w:val="en-GB"/>
        </w:rPr>
        <w:t>Guanghui</w:t>
      </w:r>
      <w:proofErr w:type="spellEnd"/>
      <w:r w:rsidRPr="00174F70">
        <w:rPr>
          <w:rFonts w:hint="eastAsia"/>
          <w:lang w:val="en-GB"/>
        </w:rPr>
        <w:t xml:space="preserve"> Ma</w:t>
      </w:r>
      <w:r>
        <w:rPr>
          <w:vertAlign w:val="superscript"/>
          <w:lang w:val="en-GB"/>
        </w:rPr>
        <w:t>2</w:t>
      </w:r>
      <w:r w:rsidRPr="00174F70">
        <w:rPr>
          <w:rFonts w:hint="eastAsia"/>
          <w:vertAlign w:val="superscript"/>
          <w:lang w:val="en-GB"/>
        </w:rPr>
        <w:t>,3</w:t>
      </w:r>
      <w:r w:rsidRPr="00174F70">
        <w:rPr>
          <w:rFonts w:hint="eastAsia"/>
          <w:lang w:val="en-GB"/>
        </w:rPr>
        <w:t>*</w:t>
      </w:r>
      <w:r w:rsidRPr="00FF0B78">
        <w:rPr>
          <w:rFonts w:hint="eastAsia"/>
          <w:lang w:val="en-GB"/>
        </w:rPr>
        <w:t xml:space="preserve"> </w:t>
      </w:r>
      <w:r w:rsidRPr="00174F70">
        <w:rPr>
          <w:rFonts w:hint="eastAsia"/>
          <w:lang w:val="en-GB"/>
        </w:rPr>
        <w:t>Wei Wei</w:t>
      </w:r>
      <w:r>
        <w:rPr>
          <w:vertAlign w:val="superscript"/>
          <w:lang w:val="en-GB"/>
        </w:rPr>
        <w:t>2</w:t>
      </w:r>
      <w:r w:rsidRPr="00174F70">
        <w:rPr>
          <w:rFonts w:hint="eastAsia"/>
          <w:vertAlign w:val="superscript"/>
          <w:lang w:val="en-GB"/>
        </w:rPr>
        <w:t>,3</w:t>
      </w:r>
      <w:r w:rsidRPr="00174F70">
        <w:rPr>
          <w:rFonts w:hint="eastAsia"/>
          <w:lang w:val="en-GB"/>
        </w:rPr>
        <w:t>*, Zhiyuan Tian</w:t>
      </w:r>
      <w:r>
        <w:rPr>
          <w:vertAlign w:val="superscript"/>
          <w:lang w:val="en-GB"/>
        </w:rPr>
        <w:t>1</w:t>
      </w:r>
      <w:r w:rsidRPr="00174F70">
        <w:rPr>
          <w:rFonts w:hint="eastAsia"/>
          <w:lang w:val="en-GB"/>
        </w:rPr>
        <w:t>*</w:t>
      </w:r>
    </w:p>
    <w:p w:rsidR="0051194D" w:rsidRPr="00174F70" w:rsidRDefault="0051194D" w:rsidP="00A77996">
      <w:pPr>
        <w:pStyle w:val="Paragraph"/>
        <w:spacing w:before="240"/>
        <w:ind w:firstLine="0"/>
        <w:rPr>
          <w:b/>
        </w:rPr>
      </w:pPr>
      <w:r w:rsidRPr="00174F70">
        <w:rPr>
          <w:b/>
        </w:rPr>
        <w:t>Affiliations:</w:t>
      </w:r>
    </w:p>
    <w:p w:rsidR="0051194D" w:rsidRPr="00174F70" w:rsidRDefault="0051194D" w:rsidP="00EF775B">
      <w:pPr>
        <w:pStyle w:val="Paragraph"/>
        <w:spacing w:before="0" w:line="360" w:lineRule="auto"/>
        <w:ind w:firstLine="0"/>
      </w:pPr>
      <w:proofErr w:type="gramStart"/>
      <w:r>
        <w:rPr>
          <w:vertAlign w:val="superscript"/>
        </w:rPr>
        <w:t>1</w:t>
      </w:r>
      <w:r w:rsidRPr="00174F70">
        <w:t>School of Chemical Sciences, University of Chinese Academy of Sciences, Beijing 100049, P. R. China.</w:t>
      </w:r>
      <w:proofErr w:type="gramEnd"/>
    </w:p>
    <w:p w:rsidR="0051194D" w:rsidRDefault="0051194D" w:rsidP="00EF775B">
      <w:pPr>
        <w:pStyle w:val="Paragraph"/>
        <w:spacing w:before="0" w:line="360" w:lineRule="auto"/>
        <w:ind w:firstLine="0"/>
      </w:pPr>
      <w:proofErr w:type="gramStart"/>
      <w:r>
        <w:rPr>
          <w:vertAlign w:val="superscript"/>
        </w:rPr>
        <w:t>2</w:t>
      </w:r>
      <w:r w:rsidRPr="00174F70">
        <w:t>State Key Laboratory of Biochemical Engineering, Institute of Process Engineering, Chinese Academy of Sciences, Beijing 100190, P. R. China.</w:t>
      </w:r>
      <w:proofErr w:type="gramEnd"/>
    </w:p>
    <w:p w:rsidR="0051194D" w:rsidRDefault="0051194D" w:rsidP="00EF775B">
      <w:pPr>
        <w:pStyle w:val="Paragraph"/>
        <w:spacing w:before="0" w:line="360" w:lineRule="auto"/>
        <w:ind w:firstLine="0"/>
      </w:pPr>
      <w:r w:rsidRPr="00174F70">
        <w:rPr>
          <w:vertAlign w:val="superscript"/>
        </w:rPr>
        <w:t>3</w:t>
      </w:r>
      <w:r w:rsidRPr="00174F70">
        <w:t>School of Chemical Engineering, University of Chinese Academy of Sciences, Beijing 100049, P. R. China.</w:t>
      </w:r>
    </w:p>
    <w:p w:rsidR="0051194D" w:rsidRPr="00174F70" w:rsidRDefault="0051194D" w:rsidP="00EF775B">
      <w:pPr>
        <w:pStyle w:val="Paragraph"/>
        <w:spacing w:before="0" w:line="360" w:lineRule="auto"/>
        <w:ind w:firstLine="0"/>
      </w:pPr>
      <w:r>
        <w:rPr>
          <w:vertAlign w:val="superscript"/>
        </w:rPr>
        <w:t>4</w:t>
      </w:r>
      <w:r w:rsidRPr="00174F70">
        <w:t xml:space="preserve">Department of Gastroenterology, Shanghai </w:t>
      </w:r>
      <w:proofErr w:type="spellStart"/>
      <w:r w:rsidRPr="00174F70">
        <w:t>Tongren</w:t>
      </w:r>
      <w:proofErr w:type="spellEnd"/>
      <w:r w:rsidRPr="00174F70">
        <w:t xml:space="preserve"> Hospital, Shanghai Jiao Tong University School of Medicine, Shanghai 200336, P. R. China.</w:t>
      </w:r>
    </w:p>
    <w:p w:rsidR="0051194D" w:rsidRDefault="0051194D" w:rsidP="00A77996">
      <w:pPr>
        <w:pStyle w:val="Paragraph"/>
        <w:spacing w:before="0" w:line="360" w:lineRule="auto"/>
        <w:ind w:firstLine="0"/>
        <w:jc w:val="both"/>
      </w:pPr>
      <w:r w:rsidRPr="00174F70">
        <w:t xml:space="preserve">Correspondence and requests for materials should be addressed to </w:t>
      </w:r>
      <w:r w:rsidRPr="00174F70">
        <w:rPr>
          <w:rFonts w:hint="eastAsia"/>
          <w:lang w:val="en-GB"/>
        </w:rPr>
        <w:t>Zhiyuan Tian</w:t>
      </w:r>
      <w:r w:rsidRPr="00174F70">
        <w:rPr>
          <w:lang w:val="en-GB"/>
        </w:rPr>
        <w:t xml:space="preserve"> </w:t>
      </w:r>
      <w:r w:rsidRPr="00174F70">
        <w:t xml:space="preserve">(zytian@ucas.ac.cn) or </w:t>
      </w:r>
      <w:r w:rsidRPr="00174F70">
        <w:rPr>
          <w:rFonts w:hint="eastAsia"/>
          <w:lang w:val="en-GB"/>
        </w:rPr>
        <w:t xml:space="preserve">Wei </w:t>
      </w:r>
      <w:proofErr w:type="spellStart"/>
      <w:r w:rsidRPr="00174F70">
        <w:rPr>
          <w:rFonts w:hint="eastAsia"/>
          <w:lang w:val="en-GB"/>
        </w:rPr>
        <w:t>Wei</w:t>
      </w:r>
      <w:proofErr w:type="spellEnd"/>
      <w:r w:rsidRPr="00174F70">
        <w:t xml:space="preserve"> (weiwei@ipe.ac.cn) or </w:t>
      </w:r>
      <w:proofErr w:type="spellStart"/>
      <w:r w:rsidRPr="00174F70">
        <w:rPr>
          <w:rFonts w:hint="eastAsia"/>
          <w:lang w:val="en-GB"/>
        </w:rPr>
        <w:t>Guanghui</w:t>
      </w:r>
      <w:proofErr w:type="spellEnd"/>
      <w:r w:rsidRPr="00174F70">
        <w:rPr>
          <w:rFonts w:hint="eastAsia"/>
          <w:lang w:val="en-GB"/>
        </w:rPr>
        <w:t xml:space="preserve"> Ma</w:t>
      </w:r>
      <w:r w:rsidRPr="00174F70">
        <w:t xml:space="preserve"> (ghma@ipe.ac.cn).</w:t>
      </w:r>
      <w:r>
        <w:br w:type="page"/>
      </w:r>
    </w:p>
    <w:p w:rsidR="000D2DB7" w:rsidRPr="0029533D" w:rsidRDefault="0029533D" w:rsidP="00F75FA6">
      <w:pPr>
        <w:jc w:val="center"/>
        <w:rPr>
          <w:rFonts w:ascii="Times New Roman" w:hAnsi="Times New Roman" w:cs="Times New Roman"/>
        </w:rPr>
      </w:pPr>
      <w:r w:rsidRPr="0029533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7AC1D4" wp14:editId="5D6AA453">
            <wp:extent cx="4953407" cy="221020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5" r="4533" b="4034"/>
                    <a:stretch/>
                  </pic:blipFill>
                  <pic:spPr bwMode="auto">
                    <a:xfrm>
                      <a:off x="0" y="0"/>
                      <a:ext cx="4952109" cy="2209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22DB" w:rsidRPr="009D0783" w:rsidRDefault="001122DB" w:rsidP="001122DB">
      <w:p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S1.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9D0783">
        <w:rPr>
          <w:rFonts w:ascii="Times New Roman" w:hAnsi="Times New Roman" w:cs="Times New Roman"/>
          <w:color w:val="000000" w:themeColor="text1"/>
        </w:rPr>
        <w:t xml:space="preserve">(A) Nitrogen adsorption-desorption isotherms for FMU. (B) Pore size distribution of FMU </w:t>
      </w:r>
      <w:r w:rsidRPr="009D0783">
        <w:rPr>
          <w:rFonts w:ascii="Times New Roman" w:hAnsi="Times New Roman" w:cs="Times New Roman" w:hint="eastAsia"/>
          <w:color w:val="000000" w:themeColor="text1"/>
        </w:rPr>
        <w:t>determined</w:t>
      </w:r>
      <w:r w:rsidRPr="009D0783">
        <w:rPr>
          <w:rFonts w:ascii="Times New Roman" w:hAnsi="Times New Roman" w:cs="Times New Roman"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color w:val="000000" w:themeColor="text1"/>
        </w:rPr>
        <w:t>via</w:t>
      </w:r>
      <w:r w:rsidRPr="009D0783">
        <w:rPr>
          <w:rFonts w:ascii="Times New Roman" w:hAnsi="Times New Roman" w:cs="Times New Roman"/>
          <w:color w:val="000000" w:themeColor="text1"/>
        </w:rPr>
        <w:t xml:space="preserve"> the Barrett-Joyner-Halenda method.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p w:rsidR="00F75FA6" w:rsidRDefault="001122DB" w:rsidP="00A77996">
      <w:pPr>
        <w:spacing w:line="360" w:lineRule="auto"/>
        <w:ind w:firstLineChars="200" w:firstLine="420"/>
      </w:pPr>
      <w:r w:rsidRPr="009D0783">
        <w:rPr>
          <w:rFonts w:ascii="Times New Roman" w:hAnsi="Times New Roman" w:cs="Times New Roman"/>
          <w:color w:val="000000" w:themeColor="text1"/>
        </w:rPr>
        <w:t xml:space="preserve">For the </w:t>
      </w:r>
      <w:r w:rsidRPr="009D0783">
        <w:rPr>
          <w:rFonts w:ascii="Times New Roman" w:hAnsi="Times New Roman" w:cs="Times New Roman" w:hint="eastAsia"/>
          <w:color w:val="000000" w:themeColor="text1"/>
        </w:rPr>
        <w:t>target</w:t>
      </w:r>
      <w:r w:rsidRPr="009D0783">
        <w:rPr>
          <w:rFonts w:ascii="Times New Roman" w:hAnsi="Times New Roman" w:cs="Times New Roman"/>
          <w:color w:val="000000" w:themeColor="text1"/>
        </w:rPr>
        <w:t xml:space="preserve"> pristine MOF nanostructures, their Brunauer-Emmet-Teller (BET) surface area of 1271.98 m</w:t>
      </w:r>
      <w:r w:rsidRPr="009D0783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9D0783">
        <w:rPr>
          <w:rFonts w:ascii="Times New Roman" w:hAnsi="Times New Roman" w:cs="Times New Roman"/>
          <w:color w:val="000000" w:themeColor="text1"/>
        </w:rPr>
        <w:t>/g and mean pore size of 1.0868 nm were confirmed, which enabled efficient loading of photoacid generator components within FMU.</w:t>
      </w:r>
      <w:r w:rsidR="00F75FA6">
        <w:br w:type="page"/>
      </w:r>
    </w:p>
    <w:p w:rsidR="0029533D" w:rsidRDefault="0029533D">
      <w:r>
        <w:rPr>
          <w:rFonts w:hint="eastAsia"/>
          <w:noProof/>
        </w:rPr>
        <w:lastRenderedPageBreak/>
        <w:drawing>
          <wp:inline distT="0" distB="0" distL="0" distR="0">
            <wp:extent cx="5291641" cy="1691885"/>
            <wp:effectExtent l="0" t="0" r="444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9" t="1" r="3614" b="2065"/>
                    <a:stretch/>
                  </pic:blipFill>
                  <pic:spPr bwMode="auto">
                    <a:xfrm>
                      <a:off x="0" y="0"/>
                      <a:ext cx="5289809" cy="1691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3A18" w:rsidRPr="009D0783" w:rsidRDefault="00F03A18" w:rsidP="00F03A18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S2.</w:t>
      </w:r>
      <w:r w:rsidRPr="009D0783">
        <w:rPr>
          <w:rFonts w:ascii="Times New Roman" w:hAnsi="Times New Roman" w:cs="Times New Roman"/>
          <w:bCs/>
          <w:color w:val="000000" w:themeColor="text1"/>
          <w:lang w:val="en-GB"/>
        </w:rPr>
        <w:t xml:space="preserve"> </w:t>
      </w:r>
      <w:r w:rsidRPr="009D0783">
        <w:rPr>
          <w:rFonts w:ascii="Times New Roman" w:hAnsi="Times New Roman" w:cs="Times New Roman"/>
          <w:color w:val="000000" w:themeColor="text1"/>
        </w:rPr>
        <w:t xml:space="preserve">(A) Element mapping images of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FMUP </w:t>
      </w:r>
      <w:r w:rsidRPr="009D0783">
        <w:rPr>
          <w:rFonts w:ascii="Times New Roman" w:hAnsi="Times New Roman" w:cs="Times New Roman"/>
          <w:color w:val="000000" w:themeColor="text1"/>
        </w:rPr>
        <w:t xml:space="preserve">(C, O, Fe, Y, </w:t>
      </w:r>
      <w:proofErr w:type="spellStart"/>
      <w:r w:rsidRPr="009D0783">
        <w:rPr>
          <w:rFonts w:ascii="Times New Roman" w:hAnsi="Times New Roman" w:cs="Times New Roman"/>
          <w:color w:val="000000" w:themeColor="text1"/>
        </w:rPr>
        <w:t>Yb</w:t>
      </w:r>
      <w:proofErr w:type="spellEnd"/>
      <w:r w:rsidRPr="009D0783">
        <w:rPr>
          <w:rFonts w:ascii="Times New Roman" w:hAnsi="Times New Roman" w:cs="Times New Roman"/>
          <w:color w:val="000000" w:themeColor="text1"/>
        </w:rPr>
        <w:t xml:space="preserve">, and Tm). (B) </w:t>
      </w:r>
      <w:r w:rsidRPr="009D0783">
        <w:rPr>
          <w:rFonts w:ascii="Times New Roman" w:hAnsi="Times New Roman" w:cs="Times New Roman" w:hint="eastAsia"/>
          <w:color w:val="000000" w:themeColor="text1"/>
        </w:rPr>
        <w:t>E</w:t>
      </w:r>
      <w:r w:rsidRPr="009D0783">
        <w:rPr>
          <w:rFonts w:ascii="Times New Roman" w:hAnsi="Times New Roman" w:cs="Times New Roman"/>
          <w:color w:val="000000" w:themeColor="text1"/>
        </w:rPr>
        <w:t xml:space="preserve">nergy dispersive X-ray </w:t>
      </w:r>
      <w:r w:rsidRPr="009D0783">
        <w:rPr>
          <w:rFonts w:ascii="Times New Roman" w:hAnsi="Times New Roman" w:cs="Times New Roman" w:hint="eastAsia"/>
          <w:color w:val="000000" w:themeColor="text1"/>
        </w:rPr>
        <w:t>(</w:t>
      </w:r>
      <w:r w:rsidRPr="009D0783">
        <w:rPr>
          <w:rFonts w:ascii="Times New Roman" w:hAnsi="Times New Roman" w:cs="Times New Roman"/>
          <w:color w:val="000000" w:themeColor="text1"/>
        </w:rPr>
        <w:t>EDX</w:t>
      </w:r>
      <w:r w:rsidRPr="009D0783">
        <w:rPr>
          <w:rFonts w:ascii="Times New Roman" w:hAnsi="Times New Roman" w:cs="Times New Roman" w:hint="eastAsia"/>
          <w:color w:val="000000" w:themeColor="text1"/>
        </w:rPr>
        <w:t>)</w:t>
      </w:r>
      <w:r w:rsidRPr="009D0783">
        <w:rPr>
          <w:rFonts w:ascii="Times New Roman" w:hAnsi="Times New Roman" w:cs="Times New Roman"/>
          <w:color w:val="000000" w:themeColor="text1"/>
        </w:rPr>
        <w:t xml:space="preserve"> element analysis of FMUP. </w:t>
      </w:r>
    </w:p>
    <w:p w:rsidR="00F75FA6" w:rsidRDefault="00F03A18" w:rsidP="00A77996">
      <w:pPr>
        <w:spacing w:line="360" w:lineRule="auto"/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9D0783">
        <w:rPr>
          <w:rFonts w:ascii="Times New Roman" w:hAnsi="Times New Roman" w:cs="Times New Roman"/>
          <w:color w:val="000000" w:themeColor="text1"/>
        </w:rPr>
        <w:t xml:space="preserve">The elemental mapping data provided structural information of the core-shell nanostructures regarding the locations and distribution of various active components within the composite nanostructures. Specifically,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it was found that </w:t>
      </w:r>
      <w:r w:rsidRPr="009D0783">
        <w:rPr>
          <w:rFonts w:ascii="Times New Roman" w:hAnsi="Times New Roman" w:cs="Times New Roman"/>
          <w:color w:val="000000" w:themeColor="text1"/>
        </w:rPr>
        <w:t xml:space="preserve">the rare earth elements Y, </w:t>
      </w:r>
      <w:proofErr w:type="spellStart"/>
      <w:r w:rsidRPr="009D0783">
        <w:rPr>
          <w:rFonts w:ascii="Times New Roman" w:hAnsi="Times New Roman" w:cs="Times New Roman"/>
          <w:color w:val="000000" w:themeColor="text1"/>
        </w:rPr>
        <w:t>Yb</w:t>
      </w:r>
      <w:proofErr w:type="spellEnd"/>
      <w:r w:rsidRPr="009D0783">
        <w:rPr>
          <w:rFonts w:ascii="Times New Roman" w:hAnsi="Times New Roman" w:cs="Times New Roman"/>
          <w:color w:val="000000" w:themeColor="text1"/>
        </w:rPr>
        <w:t xml:space="preserve">, and Tm mainly resided at the core while the elements C, O, and Fe uniformly distributed throughout the shell of nanostructures, suggesting that the UCNP core was surrounded </w:t>
      </w:r>
      <w:r w:rsidRPr="009D0783">
        <w:rPr>
          <w:rFonts w:ascii="Times New Roman" w:hAnsi="Times New Roman" w:cs="Times New Roman" w:hint="eastAsia"/>
          <w:color w:val="000000" w:themeColor="text1"/>
        </w:rPr>
        <w:t>by the</w:t>
      </w:r>
      <w:r w:rsidRPr="009D0783">
        <w:rPr>
          <w:rFonts w:ascii="Times New Roman" w:hAnsi="Times New Roman" w:cs="Times New Roman"/>
          <w:color w:val="000000" w:themeColor="text1"/>
        </w:rPr>
        <w:t xml:space="preserve"> MOF shell and the organic photoacid generator was incorporated into the MOF shell.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 The </w:t>
      </w:r>
      <w:r w:rsidRPr="009D0783">
        <w:rPr>
          <w:rFonts w:ascii="Times New Roman" w:hAnsi="Times New Roman" w:cs="Times New Roman"/>
          <w:color w:val="000000" w:themeColor="text1"/>
        </w:rPr>
        <w:t>EDX element characterization presented further elemental quantitative information of the target composite nanostructures.</w:t>
      </w:r>
      <w:r w:rsidR="00F75FA6">
        <w:rPr>
          <w:rFonts w:ascii="Times New Roman" w:hAnsi="Times New Roman" w:cs="Times New Roman"/>
          <w:color w:val="000000" w:themeColor="text1"/>
        </w:rPr>
        <w:br w:type="page"/>
      </w:r>
    </w:p>
    <w:p w:rsidR="0029533D" w:rsidRDefault="00F75FA6" w:rsidP="00F75FA6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34B7DB49" wp14:editId="0C646187">
            <wp:extent cx="3356663" cy="2914344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5" t="5026" r="9386" b="4095"/>
                    <a:stretch/>
                  </pic:blipFill>
                  <pic:spPr bwMode="auto">
                    <a:xfrm>
                      <a:off x="0" y="0"/>
                      <a:ext cx="3363885" cy="2920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4A01" w:rsidRPr="009D0783" w:rsidRDefault="00FF4A01" w:rsidP="00FF4A0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Figure S3. </w:t>
      </w:r>
      <w:proofErr w:type="gramStart"/>
      <w:r w:rsidRPr="009D0783">
        <w:rPr>
          <w:rFonts w:ascii="Times New Roman" w:hAnsi="Times New Roman" w:cs="Times New Roman"/>
          <w:bCs/>
          <w:color w:val="000000" w:themeColor="text1"/>
        </w:rPr>
        <w:t xml:space="preserve">UV/vis absorption </w:t>
      </w:r>
      <w:r w:rsidRPr="009D0783">
        <w:rPr>
          <w:rFonts w:ascii="Times New Roman" w:hAnsi="Times New Roman" w:cs="Times New Roman" w:hint="eastAsia"/>
          <w:bCs/>
          <w:color w:val="000000" w:themeColor="text1"/>
          <w:lang w:val="en-GB"/>
        </w:rPr>
        <w:t>spectra</w:t>
      </w:r>
      <w:r w:rsidRPr="009D0783">
        <w:rPr>
          <w:rFonts w:ascii="Times New Roman" w:hAnsi="Times New Roman" w:cs="Times New Roman"/>
          <w:bCs/>
          <w:color w:val="000000" w:themeColor="text1"/>
        </w:rPr>
        <w:t xml:space="preserve"> of MOFs </w:t>
      </w:r>
      <w:r w:rsidRPr="009D0783">
        <w:rPr>
          <w:rFonts w:ascii="Times New Roman" w:hAnsi="Times New Roman" w:cs="Times New Roman" w:hint="eastAsia"/>
          <w:bCs/>
          <w:color w:val="000000" w:themeColor="text1"/>
        </w:rPr>
        <w:t>with</w:t>
      </w:r>
      <w:r w:rsidRPr="009D0783">
        <w:rPr>
          <w:rFonts w:ascii="Times New Roman" w:hAnsi="Times New Roman" w:cs="Times New Roman"/>
          <w:bCs/>
          <w:color w:val="000000" w:themeColor="text1"/>
        </w:rPr>
        <w:t xml:space="preserve"> and </w:t>
      </w:r>
      <w:r w:rsidRPr="009D0783">
        <w:rPr>
          <w:rFonts w:ascii="Times New Roman" w:hAnsi="Times New Roman" w:cs="Times New Roman" w:hint="eastAsia"/>
          <w:bCs/>
          <w:color w:val="000000" w:themeColor="text1"/>
        </w:rPr>
        <w:t>without</w:t>
      </w:r>
      <w:r w:rsidRPr="009D0783">
        <w:rPr>
          <w:rFonts w:ascii="Times New Roman" w:hAnsi="Times New Roman" w:cs="Times New Roman"/>
          <w:bCs/>
          <w:color w:val="000000" w:themeColor="text1"/>
        </w:rPr>
        <w:t xml:space="preserve"> FA doping.</w:t>
      </w:r>
      <w:proofErr w:type="gramEnd"/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</w:p>
    <w:p w:rsidR="00F75FA6" w:rsidRDefault="00FF4A01" w:rsidP="00A77996">
      <w:pPr>
        <w:spacing w:line="360" w:lineRule="auto"/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9D0783">
        <w:rPr>
          <w:rFonts w:ascii="Times New Roman" w:hAnsi="Times New Roman" w:cs="Times New Roman"/>
          <w:color w:val="000000" w:themeColor="text1"/>
        </w:rPr>
        <w:t xml:space="preserve">The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characteristic absorption features of FMU at </w:t>
      </w:r>
      <w:r w:rsidRPr="009D0783">
        <w:rPr>
          <w:rFonts w:ascii="Times New Roman" w:hAnsi="Times New Roman" w:cs="Times New Roman"/>
          <w:color w:val="000000" w:themeColor="text1"/>
        </w:rPr>
        <w:t>~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280 nm and 375 nm, respectively, definitely originated from FA moiety, which </w:t>
      </w:r>
      <w:r w:rsidRPr="009D0783">
        <w:rPr>
          <w:rFonts w:ascii="Times New Roman" w:hAnsi="Times New Roman" w:cs="Times New Roman"/>
          <w:color w:val="000000" w:themeColor="text1"/>
        </w:rPr>
        <w:t>confirm</w:t>
      </w:r>
      <w:r w:rsidRPr="009D0783">
        <w:rPr>
          <w:rFonts w:ascii="Times New Roman" w:hAnsi="Times New Roman" w:cs="Times New Roman" w:hint="eastAsia"/>
          <w:color w:val="000000" w:themeColor="text1"/>
        </w:rPr>
        <w:t>ed</w:t>
      </w:r>
      <w:r w:rsidRPr="009D0783">
        <w:rPr>
          <w:rFonts w:ascii="Times New Roman" w:hAnsi="Times New Roman" w:cs="Times New Roman"/>
          <w:color w:val="000000" w:themeColor="text1"/>
        </w:rPr>
        <w:t xml:space="preserve"> the involvement of folate component in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9D0783">
        <w:rPr>
          <w:rFonts w:ascii="Times New Roman" w:hAnsi="Times New Roman" w:cs="Times New Roman"/>
          <w:color w:val="000000" w:themeColor="text1"/>
        </w:rPr>
        <w:t xml:space="preserve">target MOF </w:t>
      </w:r>
      <w:r w:rsidRPr="009D0783">
        <w:rPr>
          <w:rFonts w:ascii="Times New Roman" w:hAnsi="Times New Roman" w:cs="Times New Roman" w:hint="eastAsia"/>
          <w:color w:val="000000" w:themeColor="text1"/>
        </w:rPr>
        <w:t>nano</w:t>
      </w:r>
      <w:r w:rsidRPr="009D0783">
        <w:rPr>
          <w:rFonts w:ascii="Times New Roman" w:hAnsi="Times New Roman" w:cs="Times New Roman"/>
          <w:color w:val="000000" w:themeColor="text1"/>
        </w:rPr>
        <w:t>structure</w:t>
      </w:r>
      <w:r w:rsidRPr="009D0783">
        <w:rPr>
          <w:rFonts w:ascii="Times New Roman" w:hAnsi="Times New Roman" w:cs="Times New Roman" w:hint="eastAsia"/>
          <w:color w:val="000000" w:themeColor="text1"/>
        </w:rPr>
        <w:t>.</w:t>
      </w:r>
      <w:r w:rsidR="00F75FA6">
        <w:rPr>
          <w:rFonts w:ascii="Times New Roman" w:hAnsi="Times New Roman" w:cs="Times New Roman"/>
          <w:color w:val="000000" w:themeColor="text1"/>
        </w:rPr>
        <w:br w:type="page"/>
      </w:r>
    </w:p>
    <w:p w:rsidR="00A77996" w:rsidRDefault="009244C3" w:rsidP="00A77996">
      <w:pPr>
        <w:widowControl/>
        <w:spacing w:beforeLines="100" w:before="312" w:afterLines="50" w:after="156"/>
        <w:jc w:val="center"/>
        <w:rPr>
          <w:rFonts w:ascii="Times New Roman" w:hAnsi="Times New Roman" w:cs="Times New Roman" w:hint="eastAsia"/>
          <w:b/>
          <w:bCs/>
          <w:color w:val="000000" w:themeColor="text1"/>
          <w:lang w:val="en-GB"/>
        </w:rPr>
      </w:pPr>
      <w:r w:rsidRPr="009244C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6D97F8" wp14:editId="516BED9E">
            <wp:extent cx="2468639" cy="2410691"/>
            <wp:effectExtent l="0" t="0" r="0" b="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1240" cy="2422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33D" w:rsidRPr="00700896" w:rsidRDefault="00700896" w:rsidP="00A77996">
      <w:pPr>
        <w:widowControl/>
        <w:spacing w:beforeLines="100" w:before="312" w:afterLines="100" w:after="312"/>
        <w:rPr>
          <w:rFonts w:ascii="Times New Roman" w:hAnsi="Times New Roman" w:cs="Times New Roman"/>
          <w:color w:val="000000" w:themeColor="text1"/>
          <w:lang w:val="en-GB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S4.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proofErr w:type="gramStart"/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The weight percentage of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all functional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components in FMUP.</w:t>
      </w:r>
      <w:proofErr w:type="gramEnd"/>
    </w:p>
    <w:p w:rsidR="0029533D" w:rsidRDefault="0029533D">
      <w:pPr>
        <w:widowControl/>
        <w:jc w:val="left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:rsidR="0029533D" w:rsidRDefault="0029533D" w:rsidP="0029533D">
      <w:pPr>
        <w:jc w:val="center"/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>
            <wp:extent cx="3115326" cy="265808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326" cy="265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D88" w:rsidRPr="009D0783" w:rsidRDefault="00B20D88" w:rsidP="00B20D88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S5.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Full-wavelength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lumine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scence emission spectrum and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photograph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 of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aqueous </w:t>
      </w:r>
      <w:r w:rsidRPr="009D0783">
        <w:rPr>
          <w:rFonts w:ascii="Times New Roman" w:hAnsi="Times New Roman" w:cs="Times New Roman"/>
          <w:b/>
          <w:color w:val="000000" w:themeColor="text1"/>
          <w:lang w:val="en-GB"/>
        </w:rPr>
        <w:t>FMUP</w:t>
      </w:r>
      <w:r w:rsidRPr="009D0783">
        <w:rPr>
          <w:rFonts w:ascii="Times New Roman" w:hAnsi="Times New Roman" w:cs="Times New Roman" w:hint="eastAsia"/>
          <w:b/>
          <w:color w:val="000000" w:themeColor="text1"/>
          <w:lang w:val="en-GB"/>
        </w:rPr>
        <w:t xml:space="preserve"> dispersion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sample upon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excitation of 980-nm </w:t>
      </w:r>
      <w:r w:rsidRPr="009D0783">
        <w:rPr>
          <w:rFonts w:ascii="Times New Roman" w:hAnsi="Times New Roman" w:cs="Times New Roman"/>
          <w:b/>
          <w:color w:val="000000" w:themeColor="text1"/>
        </w:rPr>
        <w:t>laser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.</w:t>
      </w:r>
      <w:r w:rsidRPr="009D0783">
        <w:rPr>
          <w:rFonts w:ascii="Times New Roman" w:hAnsi="Times New Roman" w:cs="Times New Roman"/>
          <w:color w:val="000000" w:themeColor="text1"/>
        </w:rPr>
        <w:t xml:space="preserve"> </w:t>
      </w:r>
    </w:p>
    <w:p w:rsidR="0029533D" w:rsidRDefault="00B20D88" w:rsidP="00B20D88">
      <w:pPr>
        <w:widowControl/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9D0783">
        <w:rPr>
          <w:rFonts w:ascii="Times New Roman" w:hAnsi="Times New Roman" w:cs="Times New Roman"/>
          <w:color w:val="000000" w:themeColor="text1"/>
        </w:rPr>
        <w:t xml:space="preserve">FMUP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display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ed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emission feature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in UV region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with peak around 365 nm upon excitation of NIR light. Such excitation energy upconversion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wa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s expected to play crucial roles in two key processes involved in the anticancer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action of FMUP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, namely UV-light-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mediated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reduction of Fe</w:t>
      </w:r>
      <w:r w:rsidRPr="009D078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3+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to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9D078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2+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and generation of H</w:t>
      </w:r>
      <w:r w:rsidRPr="009D078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from pHP moiety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 via a photochemical reaction with the former process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releas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ing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more efficient reactant 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(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Fe</w:t>
      </w:r>
      <w:r w:rsidRPr="009D0783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2+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) for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Fenton reaction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 xml:space="preserve"> while the latter bringing about 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>acidif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ication of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intracellular milieu</w:t>
      </w:r>
      <w:r w:rsidRPr="009D0783">
        <w:rPr>
          <w:rFonts w:ascii="Times New Roman" w:hAnsi="Times New Roman" w:cs="Times New Roman" w:hint="eastAsia"/>
          <w:color w:val="000000" w:themeColor="text1"/>
          <w:lang w:val="en-GB"/>
        </w:rPr>
        <w:t>.</w:t>
      </w:r>
      <w:r w:rsidR="0029533D">
        <w:rPr>
          <w:rFonts w:ascii="Times New Roman" w:hAnsi="Times New Roman" w:cs="Times New Roman"/>
        </w:rPr>
        <w:br w:type="page"/>
      </w:r>
    </w:p>
    <w:p w:rsidR="0029533D" w:rsidRDefault="00F75FA6" w:rsidP="0029533D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>
            <wp:extent cx="2743200" cy="245958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6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" t="2773" r="11802" b="4251"/>
                    <a:stretch/>
                  </pic:blipFill>
                  <pic:spPr bwMode="auto">
                    <a:xfrm>
                      <a:off x="0" y="0"/>
                      <a:ext cx="2743708" cy="2460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35B0" w:rsidRPr="009D0783" w:rsidRDefault="008E35B0" w:rsidP="008E35B0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S6.</w:t>
      </w:r>
      <w:r w:rsidRPr="009D0783">
        <w:rPr>
          <w:rFonts w:ascii="Times New Roman" w:hAnsi="Times New Roman" w:cs="Times New Roman"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Effects of</w:t>
      </w:r>
      <w:r w:rsidRPr="009D0783">
        <w:rPr>
          <w:b/>
          <w:color w:val="000000" w:themeColor="text1"/>
        </w:rPr>
        <w:t xml:space="preserve"> 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photoacid generator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and NIR light irradiation on </w:t>
      </w:r>
      <w:r w:rsidRPr="009D0783">
        <w:rPr>
          <w:rFonts w:ascii="Times New Roman" w:hAnsi="Times New Roman" w:cs="Times New Roman" w:hint="eastAsia"/>
          <w:b/>
          <w:i/>
          <w:iCs/>
          <w:color w:val="000000" w:themeColor="text1"/>
        </w:rPr>
        <w:t>i</w:t>
      </w:r>
      <w:r w:rsidRPr="009D0783">
        <w:rPr>
          <w:rFonts w:ascii="Times New Roman" w:hAnsi="Times New Roman" w:cs="Times New Roman"/>
          <w:b/>
          <w:i/>
          <w:iCs/>
          <w:color w:val="000000" w:themeColor="text1"/>
        </w:rPr>
        <w:t>n vitro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 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•OH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>generation efficiency</w:t>
      </w:r>
      <w:r w:rsidRPr="009D0783">
        <w:rPr>
          <w:rFonts w:ascii="Times New Roman" w:hAnsi="Times New Roman" w:cs="Times New Roman"/>
          <w:b/>
          <w:color w:val="000000" w:themeColor="text1"/>
        </w:rPr>
        <w:t>.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 </w:t>
      </w:r>
    </w:p>
    <w:p w:rsidR="00B33960" w:rsidRDefault="008E35B0" w:rsidP="00A77996">
      <w:pPr>
        <w:spacing w:line="360" w:lineRule="auto"/>
        <w:ind w:firstLineChars="200" w:firstLine="420"/>
        <w:rPr>
          <w:rFonts w:ascii="Times New Roman" w:hAnsi="Times New Roman" w:cs="Times New Roman"/>
          <w:color w:val="FF0000"/>
        </w:rPr>
      </w:pPr>
      <w:r w:rsidRPr="009D0783"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Pr="009D0783">
        <w:rPr>
          <w:rFonts w:ascii="Times New Roman" w:hAnsi="Times New Roman" w:cs="Times New Roman"/>
          <w:color w:val="000000" w:themeColor="text1"/>
          <w:szCs w:val="21"/>
        </w:rPr>
        <w:t>he synergistic effect of NIR</w:t>
      </w:r>
      <w:r w:rsidRPr="009D0783">
        <w:rPr>
          <w:rFonts w:ascii="Times New Roman" w:hAnsi="Times New Roman" w:cs="Times New Roman" w:hint="eastAsia"/>
          <w:color w:val="000000" w:themeColor="text1"/>
          <w:szCs w:val="21"/>
        </w:rPr>
        <w:t xml:space="preserve"> light</w:t>
      </w:r>
      <w:r w:rsidRPr="009D0783">
        <w:rPr>
          <w:rFonts w:ascii="Times New Roman" w:hAnsi="Times New Roman" w:cs="Times New Roman"/>
          <w:color w:val="000000" w:themeColor="text1"/>
          <w:szCs w:val="21"/>
        </w:rPr>
        <w:t>-triggered release of Fe</w:t>
      </w:r>
      <w:r w:rsidRPr="009D078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2+</w:t>
      </w:r>
      <w:r w:rsidRPr="009D0783">
        <w:rPr>
          <w:rFonts w:ascii="Times New Roman" w:hAnsi="Times New Roman" w:cs="Times New Roman"/>
          <w:color w:val="000000" w:themeColor="text1"/>
          <w:szCs w:val="21"/>
        </w:rPr>
        <w:t xml:space="preserve"> and acidification of microenvironment on improving </w:t>
      </w:r>
      <w:r w:rsidRPr="009D0783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9D0783">
        <w:rPr>
          <w:rFonts w:ascii="Times New Roman" w:hAnsi="Times New Roman" w:cs="Times New Roman"/>
          <w:color w:val="000000" w:themeColor="text1"/>
          <w:szCs w:val="21"/>
        </w:rPr>
        <w:t>efficiency of generating •OH via Fenton reaction</w:t>
      </w:r>
      <w:r w:rsidRPr="009D0783">
        <w:rPr>
          <w:rFonts w:ascii="Times New Roman" w:hAnsi="Times New Roman" w:cs="Times New Roman" w:hint="eastAsia"/>
          <w:color w:val="000000" w:themeColor="text1"/>
          <w:szCs w:val="21"/>
        </w:rPr>
        <w:t xml:space="preserve"> was unequivocally confirmed</w:t>
      </w:r>
      <w:r w:rsidRPr="009D0783">
        <w:rPr>
          <w:rFonts w:ascii="Times New Roman" w:hAnsi="Times New Roman" w:cs="Times New Roman"/>
          <w:color w:val="000000" w:themeColor="text1"/>
          <w:szCs w:val="21"/>
        </w:rPr>
        <w:t>. Specifically, the group of pHP-encapsulated composite nanostructures with light irradiation (FMUP+L) presented much higher •OH generation yield as compared to the counterparts involved in pHP-free composite nanostructures with light irradiation (FMU+L) and pHP-encapsulated composite nanostructures void of light irradiation (FMUP).</w:t>
      </w:r>
      <w:r w:rsidR="00B33960">
        <w:rPr>
          <w:rFonts w:ascii="Times New Roman" w:hAnsi="Times New Roman" w:cs="Times New Roman"/>
          <w:color w:val="FF0000"/>
        </w:rPr>
        <w:br w:type="page"/>
      </w:r>
    </w:p>
    <w:p w:rsidR="0029533D" w:rsidRDefault="00F75FA6" w:rsidP="00B33960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>
            <wp:extent cx="3643926" cy="205373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7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2247" cy="205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826" w:rsidRPr="009D0783" w:rsidRDefault="00FE4826" w:rsidP="00FE482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Figure S7.</w:t>
      </w:r>
      <w:r w:rsidRPr="009D078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proofErr w:type="gramStart"/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The evaluation of </w:t>
      </w:r>
      <w:r w:rsidRPr="009D0783">
        <w:rPr>
          <w:rFonts w:ascii="Times New Roman" w:hAnsi="Times New Roman" w:cs="Times New Roman"/>
          <w:b/>
          <w:color w:val="000000" w:themeColor="text1"/>
        </w:rPr>
        <w:t xml:space="preserve">folate-enabled targeting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ability of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target </w:t>
      </w:r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>nanoagents.</w:t>
      </w:r>
      <w:proofErr w:type="gramEnd"/>
      <w:r w:rsidRPr="009D0783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 </w:t>
      </w:r>
    </w:p>
    <w:p w:rsidR="00F5304A" w:rsidRDefault="00FE4826" w:rsidP="00A77996">
      <w:pPr>
        <w:spacing w:line="360" w:lineRule="auto"/>
        <w:ind w:firstLineChars="200" w:firstLine="420"/>
        <w:rPr>
          <w:rFonts w:ascii="Times New Roman" w:hAnsi="Times New Roman" w:cs="Times New Roman"/>
          <w:color w:val="FF0000"/>
        </w:rPr>
      </w:pPr>
      <w:r w:rsidRPr="009D0783">
        <w:rPr>
          <w:rFonts w:ascii="Times New Roman" w:hAnsi="Times New Roman" w:cs="Times New Roman"/>
          <w:color w:val="000000" w:themeColor="text1"/>
        </w:rPr>
        <w:t>To evaluate folate-enabled targeting performance, HeLa cells were incubated with Cy5-labeled core-shell nanostructures with (FMU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>) and without (MU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 xml:space="preserve">) decoration of folate moiety, respectively, and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then </w:t>
      </w:r>
      <w:r w:rsidRPr="009D0783">
        <w:rPr>
          <w:rFonts w:ascii="Times New Roman" w:hAnsi="Times New Roman" w:cs="Times New Roman"/>
          <w:color w:val="000000" w:themeColor="text1"/>
        </w:rPr>
        <w:t xml:space="preserve">examined via flow cytometry analysis.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It was found that </w:t>
      </w:r>
      <w:r w:rsidRPr="009D0783">
        <w:rPr>
          <w:rFonts w:ascii="Times New Roman" w:hAnsi="Times New Roman" w:cs="Times New Roman"/>
          <w:color w:val="000000" w:themeColor="text1"/>
        </w:rPr>
        <w:t>HeLa cells treated with FMU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 xml:space="preserve"> presented much stronger red fluorescence as compared to that in the case of cells treated with 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 xml:space="preserve"> and the amount of internalized FMU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 xml:space="preserve"> was ~ </w:t>
      </w:r>
      <w:r w:rsidRPr="009D0783">
        <w:rPr>
          <w:rFonts w:ascii="Times New Roman" w:hAnsi="Times New Roman" w:cs="Times New Roman" w:hint="eastAsia"/>
          <w:color w:val="000000" w:themeColor="text1"/>
        </w:rPr>
        <w:t>2</w:t>
      </w:r>
      <w:r w:rsidRPr="009D0783">
        <w:rPr>
          <w:rFonts w:ascii="Times New Roman" w:hAnsi="Times New Roman" w:cs="Times New Roman"/>
          <w:color w:val="000000" w:themeColor="text1"/>
        </w:rPr>
        <w:t>.</w:t>
      </w:r>
      <w:r w:rsidRPr="009D0783">
        <w:rPr>
          <w:rFonts w:ascii="Times New Roman" w:hAnsi="Times New Roman" w:cs="Times New Roman" w:hint="eastAsia"/>
          <w:color w:val="000000" w:themeColor="text1"/>
        </w:rPr>
        <w:t>9</w:t>
      </w:r>
      <w:r w:rsidRPr="009D0783">
        <w:rPr>
          <w:rFonts w:ascii="Times New Roman" w:hAnsi="Times New Roman" w:cs="Times New Roman"/>
          <w:color w:val="000000" w:themeColor="text1"/>
        </w:rPr>
        <w:t xml:space="preserve"> times than that of MU</w:t>
      </w:r>
      <w:r w:rsidRPr="009D0783">
        <w:rPr>
          <w:rFonts w:ascii="Times New Roman" w:hAnsi="Times New Roman" w:cs="Times New Roman" w:hint="eastAsia"/>
          <w:color w:val="000000" w:themeColor="text1"/>
        </w:rPr>
        <w:t>P</w:t>
      </w:r>
      <w:r w:rsidRPr="009D0783">
        <w:rPr>
          <w:rFonts w:ascii="Times New Roman" w:hAnsi="Times New Roman" w:cs="Times New Roman"/>
          <w:color w:val="000000" w:themeColor="text1"/>
        </w:rPr>
        <w:t xml:space="preserve">, indicating that </w:t>
      </w:r>
      <w:r w:rsidRPr="009D0783">
        <w:rPr>
          <w:rFonts w:ascii="Times New Roman" w:hAnsi="Times New Roman" w:cs="Times New Roman"/>
          <w:bCs/>
          <w:color w:val="000000" w:themeColor="text1"/>
          <w:lang w:val="en-GB"/>
        </w:rPr>
        <w:t>FMUP was</w:t>
      </w:r>
      <w:r w:rsidRPr="009D0783">
        <w:rPr>
          <w:rFonts w:ascii="Times New Roman" w:hAnsi="Times New Roman" w:cs="Times New Roman"/>
          <w:color w:val="000000" w:themeColor="text1"/>
        </w:rPr>
        <w:t xml:space="preserve"> more easily internalized by HeLa tumor cells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as </w:t>
      </w:r>
      <w:r w:rsidRPr="009D0783">
        <w:rPr>
          <w:rFonts w:ascii="Times New Roman" w:hAnsi="Times New Roman" w:cs="Times New Roman"/>
          <w:color w:val="000000" w:themeColor="text1"/>
        </w:rPr>
        <w:t xml:space="preserve">compared </w:t>
      </w:r>
      <w:r w:rsidRPr="009D0783">
        <w:rPr>
          <w:rFonts w:ascii="Times New Roman" w:hAnsi="Times New Roman" w:cs="Times New Roman" w:hint="eastAsia"/>
          <w:color w:val="000000" w:themeColor="text1"/>
        </w:rPr>
        <w:t>to its</w:t>
      </w:r>
      <w:r w:rsidRPr="009D0783">
        <w:rPr>
          <w:rFonts w:ascii="Times New Roman" w:hAnsi="Times New Roman" w:cs="Times New Roman"/>
          <w:color w:val="000000" w:themeColor="text1"/>
        </w:rPr>
        <w:t xml:space="preserve"> counterpart</w:t>
      </w:r>
      <w:r w:rsidR="00B33960">
        <w:rPr>
          <w:rFonts w:ascii="Times New Roman" w:hAnsi="Times New Roman" w:cs="Times New Roman"/>
        </w:rPr>
        <w:t>.</w:t>
      </w:r>
      <w:r w:rsidR="00F5304A">
        <w:rPr>
          <w:rFonts w:ascii="Times New Roman" w:hAnsi="Times New Roman" w:cs="Times New Roman"/>
          <w:color w:val="FF0000"/>
        </w:rPr>
        <w:br w:type="page"/>
      </w:r>
    </w:p>
    <w:p w:rsidR="00B33960" w:rsidRPr="00F5304A" w:rsidRDefault="009244C3" w:rsidP="00F5304A">
      <w:pPr>
        <w:jc w:val="center"/>
        <w:rPr>
          <w:rFonts w:ascii="Times New Roman" w:hAnsi="Times New Roman" w:cs="Times New Roman"/>
          <w:color w:val="FF0000"/>
        </w:rPr>
      </w:pPr>
      <w:r w:rsidRPr="009244C3"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0F7928C5" wp14:editId="5D9E46D2">
            <wp:extent cx="5274310" cy="4297680"/>
            <wp:effectExtent l="0" t="0" r="2540" b="7620"/>
            <wp:docPr id="3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03AC" w:rsidRPr="009D0783" w:rsidRDefault="005803AC" w:rsidP="005803A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Figure S8. </w:t>
      </w:r>
      <w:proofErr w:type="gramStart"/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valuat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ing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the biocompatibility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of various treatment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protocols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in HeLa tumor-bearing mice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via 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H&amp;E-stained slice image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analysis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of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their 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major organs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.</w:t>
      </w:r>
      <w:proofErr w:type="gramEnd"/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</w:p>
    <w:p w:rsidR="00F5304A" w:rsidRDefault="005803AC" w:rsidP="00A77996">
      <w:pPr>
        <w:spacing w:line="360" w:lineRule="auto"/>
        <w:ind w:firstLineChars="200" w:firstLine="420"/>
        <w:rPr>
          <w:rFonts w:ascii="Times New Roman" w:hAnsi="Times New Roman" w:cs="Times New Roman"/>
          <w:color w:val="FF0000"/>
        </w:rPr>
      </w:pPr>
      <w:r w:rsidRPr="009D0783">
        <w:rPr>
          <w:rFonts w:ascii="Times New Roman" w:hAnsi="Times New Roman" w:cs="Times New Roman" w:hint="eastAsia"/>
          <w:color w:val="000000" w:themeColor="text1"/>
        </w:rPr>
        <w:t>N</w:t>
      </w:r>
      <w:r w:rsidRPr="009D0783">
        <w:rPr>
          <w:rFonts w:ascii="Times New Roman" w:hAnsi="Times New Roman" w:cs="Times New Roman"/>
          <w:color w:val="000000" w:themeColor="text1"/>
        </w:rPr>
        <w:t>o significant difference w</w:t>
      </w:r>
      <w:r w:rsidRPr="009D0783">
        <w:rPr>
          <w:rFonts w:ascii="Times New Roman" w:hAnsi="Times New Roman" w:cs="Times New Roman" w:hint="eastAsia"/>
          <w:color w:val="000000" w:themeColor="text1"/>
        </w:rPr>
        <w:t>as</w:t>
      </w:r>
      <w:r w:rsidRPr="009D0783">
        <w:rPr>
          <w:rFonts w:ascii="Times New Roman" w:hAnsi="Times New Roman" w:cs="Times New Roman"/>
          <w:color w:val="000000" w:themeColor="text1"/>
        </w:rPr>
        <w:t xml:space="preserve"> found in the H&amp;E staining of the main organs of heart, liver, spleen, lung, and kidney in all the groups, which further confirmed the </w:t>
      </w:r>
      <w:r w:rsidRPr="009D0783">
        <w:rPr>
          <w:rFonts w:ascii="Times New Roman" w:hAnsi="Times New Roman" w:cs="Times New Roman" w:hint="eastAsia"/>
          <w:color w:val="000000" w:themeColor="text1"/>
        </w:rPr>
        <w:t>bio</w:t>
      </w:r>
      <w:r w:rsidRPr="009D0783">
        <w:rPr>
          <w:rFonts w:ascii="Times New Roman" w:hAnsi="Times New Roman" w:cs="Times New Roman"/>
          <w:color w:val="000000" w:themeColor="text1"/>
        </w:rPr>
        <w:t xml:space="preserve">safety of our </w:t>
      </w:r>
      <w:r w:rsidRPr="009D0783">
        <w:rPr>
          <w:rFonts w:ascii="Times New Roman" w:hAnsi="Times New Roman" w:cs="Times New Roman" w:hint="eastAsia"/>
          <w:color w:val="000000" w:themeColor="text1"/>
        </w:rPr>
        <w:t>FMUP</w:t>
      </w:r>
      <w:r w:rsidRPr="009D0783">
        <w:rPr>
          <w:rFonts w:ascii="Times New Roman" w:hAnsi="Times New Roman" w:cs="Times New Roman"/>
          <w:color w:val="000000" w:themeColor="text1"/>
        </w:rPr>
        <w:t xml:space="preserve"> nanoagents</w:t>
      </w:r>
      <w:r w:rsidR="00F5304A" w:rsidRPr="00E43CB8">
        <w:rPr>
          <w:rFonts w:ascii="Times New Roman" w:hAnsi="Times New Roman" w:cs="Times New Roman"/>
        </w:rPr>
        <w:t>.</w:t>
      </w:r>
      <w:r w:rsidR="00F5304A">
        <w:rPr>
          <w:rFonts w:ascii="Times New Roman" w:hAnsi="Times New Roman" w:cs="Times New Roman"/>
          <w:color w:val="FF0000"/>
        </w:rPr>
        <w:br w:type="page"/>
      </w:r>
    </w:p>
    <w:p w:rsidR="0029533D" w:rsidRPr="00F5304A" w:rsidRDefault="00F5304A" w:rsidP="0029533D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noProof/>
          <w:color w:val="FF0000"/>
        </w:rPr>
        <w:lastRenderedPageBreak/>
        <w:drawing>
          <wp:inline distT="0" distB="0" distL="0" distR="0">
            <wp:extent cx="5274310" cy="32537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9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0FB" w:rsidRPr="009D0783" w:rsidRDefault="007710FB" w:rsidP="007710F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Figure S9. </w:t>
      </w:r>
      <w:proofErr w:type="gramStart"/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valuat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ing the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biocompatibility of various treatment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protocols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in HeLa tumor-bearing mice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color w:val="000000" w:themeColor="text1"/>
        </w:rPr>
        <w:t xml:space="preserve">via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b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lood biochemical analysis of model mice.</w:t>
      </w:r>
      <w:proofErr w:type="gramEnd"/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:rsidR="00F5304A" w:rsidRDefault="007710FB" w:rsidP="00A77996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9D0783">
        <w:rPr>
          <w:rFonts w:ascii="Times New Roman" w:hAnsi="Times New Roman" w:cs="Times New Roman"/>
          <w:color w:val="000000" w:themeColor="text1"/>
        </w:rPr>
        <w:t>Few abnormalities were found in all serum biochemi</w:t>
      </w:r>
      <w:r w:rsidRPr="009D0783">
        <w:rPr>
          <w:rFonts w:ascii="Times New Roman" w:hAnsi="Times New Roman" w:cs="Times New Roman" w:hint="eastAsia"/>
          <w:color w:val="000000" w:themeColor="text1"/>
        </w:rPr>
        <w:t>cal</w:t>
      </w:r>
      <w:r w:rsidRPr="009D0783">
        <w:rPr>
          <w:rFonts w:ascii="Times New Roman" w:hAnsi="Times New Roman" w:cs="Times New Roman"/>
          <w:color w:val="000000" w:themeColor="text1"/>
        </w:rPr>
        <w:t xml:space="preserve"> indicators in </w:t>
      </w:r>
      <w:r w:rsidRPr="009D0783">
        <w:rPr>
          <w:rFonts w:ascii="Times New Roman" w:hAnsi="Times New Roman" w:cs="Times New Roman" w:hint="eastAsia"/>
          <w:color w:val="000000" w:themeColor="text1"/>
        </w:rPr>
        <w:t>model</w:t>
      </w:r>
      <w:r w:rsidRPr="009D0783">
        <w:rPr>
          <w:rFonts w:ascii="Times New Roman" w:hAnsi="Times New Roman" w:cs="Times New Roman"/>
          <w:color w:val="000000" w:themeColor="text1"/>
        </w:rPr>
        <w:t xml:space="preserve"> mice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 upon treatment</w:t>
      </w:r>
      <w:r w:rsidRPr="009D0783">
        <w:rPr>
          <w:rFonts w:ascii="Times New Roman" w:hAnsi="Times New Roman" w:cs="Times New Roman"/>
          <w:color w:val="000000" w:themeColor="text1"/>
        </w:rPr>
        <w:t xml:space="preserve">, indicating the </w:t>
      </w:r>
      <w:r w:rsidRPr="009D0783">
        <w:rPr>
          <w:rFonts w:ascii="Times New Roman" w:hAnsi="Times New Roman" w:cs="Times New Roman" w:hint="eastAsia"/>
          <w:color w:val="000000" w:themeColor="text1"/>
        </w:rPr>
        <w:t>bio</w:t>
      </w:r>
      <w:r w:rsidRPr="009D0783">
        <w:rPr>
          <w:rFonts w:ascii="Times New Roman" w:hAnsi="Times New Roman" w:cs="Times New Roman"/>
          <w:color w:val="000000" w:themeColor="text1"/>
        </w:rPr>
        <w:t xml:space="preserve">safety of our </w:t>
      </w:r>
      <w:r w:rsidRPr="009D0783">
        <w:rPr>
          <w:rFonts w:ascii="Times New Roman" w:hAnsi="Times New Roman" w:cs="Times New Roman" w:hint="eastAsia"/>
          <w:color w:val="000000" w:themeColor="text1"/>
        </w:rPr>
        <w:t>FMUP</w:t>
      </w:r>
      <w:r w:rsidRPr="009D0783">
        <w:rPr>
          <w:rFonts w:ascii="Times New Roman" w:hAnsi="Times New Roman" w:cs="Times New Roman"/>
          <w:color w:val="000000" w:themeColor="text1"/>
        </w:rPr>
        <w:t xml:space="preserve"> nanoagents.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D0783">
        <w:rPr>
          <w:rFonts w:ascii="Times New Roman" w:hAnsi="Times New Roman" w:cs="Times New Roman"/>
          <w:color w:val="000000" w:themeColor="text1"/>
        </w:rPr>
        <w:t>Gray area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 in each figure</w:t>
      </w:r>
      <w:r w:rsidRPr="009D0783">
        <w:rPr>
          <w:rFonts w:ascii="Times New Roman" w:hAnsi="Times New Roman" w:cs="Times New Roman"/>
          <w:color w:val="000000" w:themeColor="text1"/>
        </w:rPr>
        <w:t xml:space="preserve"> represent</w:t>
      </w:r>
      <w:r w:rsidRPr="009D0783">
        <w:rPr>
          <w:rFonts w:ascii="Times New Roman" w:hAnsi="Times New Roman" w:cs="Times New Roman" w:hint="eastAsia"/>
          <w:color w:val="000000" w:themeColor="text1"/>
        </w:rPr>
        <w:t>s</w:t>
      </w:r>
      <w:r w:rsidRPr="009D0783">
        <w:rPr>
          <w:rFonts w:ascii="Times New Roman" w:hAnsi="Times New Roman" w:cs="Times New Roman"/>
          <w:color w:val="000000" w:themeColor="text1"/>
        </w:rPr>
        <w:t xml:space="preserve"> the normal range of </w:t>
      </w:r>
      <w:r w:rsidRPr="009D0783">
        <w:rPr>
          <w:rFonts w:ascii="Times New Roman" w:hAnsi="Times New Roman" w:cs="Times New Roman" w:hint="eastAsia"/>
          <w:color w:val="000000" w:themeColor="text1"/>
        </w:rPr>
        <w:t>the</w:t>
      </w:r>
      <w:r w:rsidRPr="009D0783">
        <w:rPr>
          <w:rFonts w:ascii="Times New Roman" w:hAnsi="Times New Roman" w:cs="Times New Roman"/>
          <w:color w:val="000000" w:themeColor="text1"/>
        </w:rPr>
        <w:t xml:space="preserve"> indicator</w:t>
      </w:r>
      <w:r w:rsidR="00FA11E4" w:rsidRPr="00A260ED">
        <w:rPr>
          <w:rFonts w:ascii="Times New Roman" w:hAnsi="Times New Roman" w:cs="Times New Roman"/>
        </w:rPr>
        <w:t>.</w:t>
      </w:r>
      <w:r w:rsidR="00F5304A">
        <w:rPr>
          <w:rFonts w:ascii="Times New Roman" w:hAnsi="Times New Roman" w:cs="Times New Roman"/>
        </w:rPr>
        <w:br w:type="page"/>
      </w:r>
    </w:p>
    <w:p w:rsidR="0029533D" w:rsidRDefault="00F5304A" w:rsidP="00F530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4029805" cy="2786113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1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9805" cy="278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C76" w:rsidRPr="009D0783" w:rsidRDefault="000C5C76" w:rsidP="000C5C7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Figure S10. </w:t>
      </w:r>
      <w:proofErr w:type="gramStart"/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valuat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ing the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biocompatibility of various treatment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>protocols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in HeLa tumor-bearing mice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via monitoring the b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ody weight change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 of mice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9D0783">
        <w:rPr>
          <w:rFonts w:ascii="Times New Roman" w:hAnsi="Times New Roman" w:cs="Times New Roman" w:hint="eastAsia"/>
          <w:b/>
          <w:bCs/>
          <w:color w:val="000000" w:themeColor="text1"/>
        </w:rPr>
        <w:t xml:space="preserve">upon </w:t>
      </w:r>
      <w:r w:rsidRPr="009D0783">
        <w:rPr>
          <w:rFonts w:ascii="Times New Roman" w:hAnsi="Times New Roman" w:cs="Times New Roman"/>
          <w:b/>
          <w:bCs/>
          <w:color w:val="000000" w:themeColor="text1"/>
        </w:rPr>
        <w:t>treatments.</w:t>
      </w:r>
      <w:proofErr w:type="gramEnd"/>
      <w:r w:rsidRPr="009D0783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:rsidR="0029533D" w:rsidRPr="00F5304A" w:rsidRDefault="000C5C76" w:rsidP="00A77996">
      <w:pPr>
        <w:spacing w:line="360" w:lineRule="auto"/>
        <w:ind w:firstLineChars="200" w:firstLine="420"/>
      </w:pPr>
      <w:r w:rsidRPr="009D0783">
        <w:rPr>
          <w:rFonts w:ascii="Times New Roman" w:hAnsi="Times New Roman" w:cs="Times New Roman" w:hint="eastAsia"/>
          <w:color w:val="000000" w:themeColor="text1"/>
        </w:rPr>
        <w:t>I</w:t>
      </w:r>
      <w:r w:rsidRPr="009D0783">
        <w:rPr>
          <w:rFonts w:ascii="Times New Roman" w:hAnsi="Times New Roman" w:cs="Times New Roman"/>
          <w:color w:val="000000" w:themeColor="text1"/>
        </w:rPr>
        <w:t xml:space="preserve">t </w:t>
      </w:r>
      <w:r w:rsidRPr="009D0783">
        <w:rPr>
          <w:rFonts w:ascii="Times New Roman" w:hAnsi="Times New Roman" w:cs="Times New Roman" w:hint="eastAsia"/>
          <w:color w:val="000000" w:themeColor="text1"/>
        </w:rPr>
        <w:t xml:space="preserve">can be seen that </w:t>
      </w:r>
      <w:r w:rsidRPr="009D0783">
        <w:rPr>
          <w:rFonts w:ascii="Times New Roman" w:hAnsi="Times New Roman" w:cs="Times New Roman"/>
          <w:color w:val="000000" w:themeColor="text1"/>
        </w:rPr>
        <w:t>the body weight of model mice in each group nearly kept steady over the treatment period, again confirming the safe use of our doped MOF for combined anticancer therapy</w:t>
      </w:r>
      <w:r>
        <w:rPr>
          <w:rFonts w:ascii="Times New Roman" w:hAnsi="Times New Roman" w:cs="Times New Roman" w:hint="eastAsia"/>
          <w:color w:val="000000" w:themeColor="text1"/>
        </w:rPr>
        <w:t>.</w:t>
      </w:r>
      <w:r w:rsidRPr="000C5C76">
        <w:rPr>
          <w:rFonts w:ascii="Times New Roman" w:hAnsi="Times New Roman" w:cs="Times New Roman"/>
        </w:rPr>
        <w:t xml:space="preserve"> </w:t>
      </w:r>
      <w:r w:rsidRPr="00A260ED">
        <w:rPr>
          <w:rFonts w:ascii="Times New Roman" w:hAnsi="Times New Roman" w:cs="Times New Roman"/>
        </w:rPr>
        <w:t>Data represent mean ± SD (n=</w:t>
      </w:r>
      <w:r>
        <w:rPr>
          <w:rFonts w:ascii="Times New Roman" w:hAnsi="Times New Roman" w:cs="Times New Roman"/>
        </w:rPr>
        <w:t>6</w:t>
      </w:r>
      <w:r w:rsidRPr="00A260ED">
        <w:rPr>
          <w:rFonts w:ascii="Times New Roman" w:hAnsi="Times New Roman" w:cs="Times New Roman"/>
        </w:rPr>
        <w:t>)</w:t>
      </w:r>
      <w:bookmarkStart w:id="0" w:name="_GoBack"/>
      <w:bookmarkEnd w:id="0"/>
    </w:p>
    <w:sectPr w:rsidR="0029533D" w:rsidRPr="00F53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BF8" w:rsidRDefault="00B33BF8" w:rsidP="002C0383">
      <w:r>
        <w:separator/>
      </w:r>
    </w:p>
  </w:endnote>
  <w:endnote w:type="continuationSeparator" w:id="0">
    <w:p w:rsidR="00B33BF8" w:rsidRDefault="00B33BF8" w:rsidP="002C0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BF8" w:rsidRDefault="00B33BF8" w:rsidP="002C0383">
      <w:r>
        <w:separator/>
      </w:r>
    </w:p>
  </w:footnote>
  <w:footnote w:type="continuationSeparator" w:id="0">
    <w:p w:rsidR="00B33BF8" w:rsidRDefault="00B33BF8" w:rsidP="002C0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33D"/>
    <w:rsid w:val="00020F14"/>
    <w:rsid w:val="000C5C76"/>
    <w:rsid w:val="000D2DB7"/>
    <w:rsid w:val="001122DB"/>
    <w:rsid w:val="001517B5"/>
    <w:rsid w:val="00207B42"/>
    <w:rsid w:val="0029533D"/>
    <w:rsid w:val="002C0383"/>
    <w:rsid w:val="004A1012"/>
    <w:rsid w:val="0051194D"/>
    <w:rsid w:val="005803AC"/>
    <w:rsid w:val="0064461D"/>
    <w:rsid w:val="00700896"/>
    <w:rsid w:val="007710FB"/>
    <w:rsid w:val="007A5534"/>
    <w:rsid w:val="007E1726"/>
    <w:rsid w:val="008718A6"/>
    <w:rsid w:val="008E35B0"/>
    <w:rsid w:val="009244C3"/>
    <w:rsid w:val="00A77996"/>
    <w:rsid w:val="00AD6362"/>
    <w:rsid w:val="00B20D88"/>
    <w:rsid w:val="00B33960"/>
    <w:rsid w:val="00B33BF8"/>
    <w:rsid w:val="00B6404F"/>
    <w:rsid w:val="00D33599"/>
    <w:rsid w:val="00DD3A5A"/>
    <w:rsid w:val="00DF05F7"/>
    <w:rsid w:val="00E70AE2"/>
    <w:rsid w:val="00EF775B"/>
    <w:rsid w:val="00F03A18"/>
    <w:rsid w:val="00F5304A"/>
    <w:rsid w:val="00F75FA6"/>
    <w:rsid w:val="00F863C6"/>
    <w:rsid w:val="00FA11E4"/>
    <w:rsid w:val="00FD5AFA"/>
    <w:rsid w:val="00FE4826"/>
    <w:rsid w:val="00FF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33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38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383"/>
    <w:rPr>
      <w:sz w:val="18"/>
      <w:szCs w:val="18"/>
    </w:rPr>
  </w:style>
  <w:style w:type="paragraph" w:customStyle="1" w:styleId="Paragraph">
    <w:name w:val="Paragraph"/>
    <w:basedOn w:val="a"/>
    <w:rsid w:val="0051194D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Teaser">
    <w:name w:val="Teaser"/>
    <w:basedOn w:val="a"/>
    <w:rsid w:val="0051194D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1122D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22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33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38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383"/>
    <w:rPr>
      <w:sz w:val="18"/>
      <w:szCs w:val="18"/>
    </w:rPr>
  </w:style>
  <w:style w:type="paragraph" w:customStyle="1" w:styleId="Paragraph">
    <w:name w:val="Paragraph"/>
    <w:basedOn w:val="a"/>
    <w:rsid w:val="0051194D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Teaser">
    <w:name w:val="Teaser"/>
    <w:basedOn w:val="a"/>
    <w:rsid w:val="0051194D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1122D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22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21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824</Words>
  <Characters>4701</Characters>
  <Application>Microsoft Office Word</Application>
  <DocSecurity>0</DocSecurity>
  <Lines>39</Lines>
  <Paragraphs>11</Paragraphs>
  <ScaleCrop>false</ScaleCrop>
  <Company/>
  <LinksUpToDate>false</LinksUpToDate>
  <CharactersWithSpaces>5514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19</cp:revision>
  <dcterms:created xsi:type="dcterms:W3CDTF">2021-03-29T03:07:00Z</dcterms:created>
  <dcterms:modified xsi:type="dcterms:W3CDTF">2021-03-31T08:06:00Z</dcterms:modified>
</cp:coreProperties>
</file>