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A4A40" w14:textId="77777777" w:rsidR="005E4531" w:rsidRDefault="006B323D">
      <w:pPr>
        <w:spacing w:line="360" w:lineRule="auto"/>
        <w:jc w:val="both"/>
        <w:rPr>
          <w:rFonts w:ascii="Arial" w:hAnsi="Arial" w:cs="Arial"/>
          <w:b/>
          <w:bCs/>
          <w:sz w:val="36"/>
          <w:szCs w:val="36"/>
          <w:lang w:val="en-US"/>
        </w:rPr>
      </w:pPr>
      <w:r>
        <w:rPr>
          <w:rFonts w:ascii="Arial" w:hAnsi="Arial" w:cs="Arial"/>
          <w:b/>
          <w:bCs/>
          <w:sz w:val="36"/>
          <w:szCs w:val="36"/>
          <w:lang w:val="en-US"/>
        </w:rPr>
        <w:t>SUPPORTING INFORMATION</w:t>
      </w:r>
    </w:p>
    <w:p w14:paraId="1ADF7004" w14:textId="77777777"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t>Note S1. Experimental part related to support synthesis</w:t>
      </w:r>
    </w:p>
    <w:p w14:paraId="6C4AA7D3" w14:textId="77777777" w:rsidR="002102F4" w:rsidRPr="00FF5897" w:rsidRDefault="002102F4" w:rsidP="00FD4D0D">
      <w:pPr>
        <w:spacing w:after="100" w:afterAutospacing="1" w:line="360" w:lineRule="auto"/>
        <w:jc w:val="both"/>
        <w:rPr>
          <w:rFonts w:ascii="Arial" w:hAnsi="Arial" w:cs="Arial"/>
          <w:sz w:val="24"/>
          <w:lang w:val="en-US"/>
        </w:rPr>
      </w:pPr>
      <w:r w:rsidRPr="00FF5897">
        <w:rPr>
          <w:rFonts w:ascii="Arial" w:hAnsi="Arial" w:cs="Arial"/>
          <w:sz w:val="24"/>
          <w:lang w:val="en-US"/>
        </w:rPr>
        <w:t xml:space="preserve">As catalyst support, a selection of materials was chosen </w:t>
      </w:r>
      <w:r w:rsidR="00953AF3" w:rsidRPr="00FF5897">
        <w:rPr>
          <w:rFonts w:ascii="Arial" w:hAnsi="Arial" w:cs="Arial"/>
          <w:sz w:val="24"/>
          <w:lang w:val="en-US"/>
        </w:rPr>
        <w:t>based on</w:t>
      </w:r>
      <w:r w:rsidRPr="00FF5897">
        <w:rPr>
          <w:rFonts w:ascii="Arial" w:hAnsi="Arial" w:cs="Arial"/>
          <w:sz w:val="24"/>
          <w:lang w:val="en-US"/>
        </w:rPr>
        <w:t xml:space="preserve"> their </w:t>
      </w:r>
      <w:r w:rsidR="003F28F0" w:rsidRPr="00FF5897">
        <w:rPr>
          <w:rFonts w:ascii="Arial" w:hAnsi="Arial" w:cs="Arial"/>
          <w:sz w:val="24"/>
          <w:lang w:val="en-US"/>
        </w:rPr>
        <w:t>activity in the CO</w:t>
      </w:r>
      <w:r w:rsidR="003F28F0" w:rsidRPr="00FF5897">
        <w:rPr>
          <w:rFonts w:ascii="Arial" w:hAnsi="Arial" w:cs="Arial"/>
          <w:sz w:val="24"/>
          <w:vertAlign w:val="subscript"/>
          <w:lang w:val="en-US"/>
        </w:rPr>
        <w:t>2</w:t>
      </w:r>
      <w:r w:rsidR="003F28F0" w:rsidRPr="00FF5897">
        <w:rPr>
          <w:rFonts w:ascii="Arial" w:hAnsi="Arial" w:cs="Arial"/>
          <w:sz w:val="24"/>
          <w:lang w:val="en-US"/>
        </w:rPr>
        <w:t xml:space="preserve">RR, </w:t>
      </w:r>
      <w:r w:rsidR="00106248" w:rsidRPr="00FF5897">
        <w:rPr>
          <w:rFonts w:ascii="Arial" w:hAnsi="Arial" w:cs="Arial"/>
          <w:sz w:val="24"/>
          <w:lang w:val="en-US"/>
        </w:rPr>
        <w:t xml:space="preserve">overall </w:t>
      </w:r>
      <w:r w:rsidR="00B21E69" w:rsidRPr="00FF5897">
        <w:rPr>
          <w:rFonts w:ascii="Arial" w:hAnsi="Arial" w:cs="Arial"/>
          <w:sz w:val="24"/>
          <w:lang w:val="en-US"/>
        </w:rPr>
        <w:t xml:space="preserve">conductivity, wettability, </w:t>
      </w:r>
      <w:r w:rsidRPr="00FF5897">
        <w:rPr>
          <w:rFonts w:ascii="Arial" w:hAnsi="Arial" w:cs="Arial"/>
          <w:sz w:val="24"/>
          <w:lang w:val="en-US"/>
        </w:rPr>
        <w:t xml:space="preserve">high-surface area, </w:t>
      </w:r>
      <w:r w:rsidR="00B21E69" w:rsidRPr="00FF5897">
        <w:rPr>
          <w:rFonts w:ascii="Arial" w:hAnsi="Arial" w:cs="Arial"/>
          <w:sz w:val="24"/>
          <w:lang w:val="en-US"/>
        </w:rPr>
        <w:t xml:space="preserve">diverse heteroatom functionalities, scalability and overall economics from </w:t>
      </w:r>
      <w:r w:rsidR="002775F3" w:rsidRPr="00FF5897">
        <w:rPr>
          <w:rFonts w:ascii="Arial" w:hAnsi="Arial" w:cs="Arial"/>
          <w:sz w:val="24"/>
          <w:lang w:val="en-US"/>
        </w:rPr>
        <w:t>inhouse developed</w:t>
      </w:r>
      <w:r w:rsidR="001E3C11"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{"citationID":"zh5qFd9P","properties":{"formattedCitation":"\\super 1\\nosupersub{}","plainCitation":"1","noteIndex":0},"citationItems":[{"id":1756,"uris":["http://zotero.org/users/4941048/items/73CGJ7Q9"],"itemData":{"id":1756,"type":"article-journal","abstract":"Graphene oxide was prepared from graphite using Hummer's method. Pt nanoparticles with 1.8nm in average size are successfully obtained via in-situ Pt nanoparticles deposition onto graphene oxide (GO) using a microwave method, finally resulting in Pt-graphene (Pt-G). Water uptake of GO is increased with GO content in a Nafion/GO composite membrane due to the hydrophilic GO while that of Nafion/Pt-G composite membrane is much lower than that of Nafion/GO composite membrane. The MEAs fabricated with the Nafion/GO composite membrane show significant enhancement in cell performance: that is, 0.802A, 1.27A, 0.827A at 0.6V under 100% relative humidity (RH) for 0.5wt%, 3.0wt% and 4.5wt% of GO content in the composite membrane, respectively, compared to 0.435A for casting Nafion membrane. The Nafion/Pt-G composite membrane, however, does not show sufficient enhancement under various RHs. It is attributed to poor water retention ability of hydrophobic graphene and electron loss due to the formation of electrical network by too much Pt within the membrane. Constant open circuit voltage (OCV) down to low RH indicates that GO and graphene could be prospective as filler in low humidifying polymer electrolyte fuel cell.","container-title":"Journal of Membrane Science","DOI":"10.1016/j.memsci.2013.10.018","ISSN":"0376-7388","journalAbbreviation":"Journal of Membrane Science","language":"en","page":"20-28","source":"ScienceDirect","title":"Nafion/graphene oxide composite membranes for low humidifying polymer electrolyte membrane fuel cell","volume":"452","author":[{"family":"Lee","given":"D. C."},{"family":"Yang","given":"H. N."},{"family":"Park","given":"S. H."},{"family":"Kim","given":"W. J."}],"issued":{"date-parts":[["2014",2,15]]}}}],"schema":"https://github.com/citation-style-language/schema/raw/master/csl-citation.json"} </w:instrText>
      </w:r>
      <w:r w:rsidR="001E3C11" w:rsidRPr="00FF5897">
        <w:rPr>
          <w:rFonts w:ascii="Arial" w:hAnsi="Arial" w:cs="Arial"/>
          <w:sz w:val="24"/>
          <w:lang w:val="en-US"/>
        </w:rPr>
        <w:fldChar w:fldCharType="separate"/>
      </w:r>
      <w:r w:rsidR="001E3C11" w:rsidRPr="00FF5897">
        <w:rPr>
          <w:rFonts w:ascii="Arial" w:hAnsi="Arial" w:cs="Arial"/>
          <w:sz w:val="24"/>
          <w:vertAlign w:val="superscript"/>
        </w:rPr>
        <w:t>1</w:t>
      </w:r>
      <w:r w:rsidR="001E3C11" w:rsidRPr="00FF5897">
        <w:rPr>
          <w:rFonts w:ascii="Arial" w:hAnsi="Arial" w:cs="Arial"/>
          <w:sz w:val="24"/>
          <w:lang w:val="en-US"/>
        </w:rPr>
        <w:fldChar w:fldCharType="end"/>
      </w:r>
      <w:r w:rsidR="001E3C11" w:rsidRPr="00FF5897">
        <w:rPr>
          <w:rFonts w:ascii="Arial" w:hAnsi="Arial" w:cs="Arial"/>
          <w:sz w:val="24"/>
          <w:lang w:val="en-US"/>
        </w:rPr>
        <w:t xml:space="preserve"> as well as the literature inspired</w:t>
      </w:r>
      <w:r w:rsidR="002775F3" w:rsidRPr="00FF5897">
        <w:rPr>
          <w:rFonts w:ascii="Arial" w:hAnsi="Arial" w:cs="Arial"/>
          <w:sz w:val="24"/>
          <w:lang w:val="en-US"/>
        </w:rPr>
        <w:t xml:space="preserve"> syntheses </w:t>
      </w:r>
      <w:r w:rsidR="00B21E69" w:rsidRPr="00FF5897">
        <w:rPr>
          <w:rFonts w:ascii="Arial" w:hAnsi="Arial" w:cs="Arial"/>
          <w:sz w:val="24"/>
          <w:lang w:val="en-US"/>
        </w:rPr>
        <w:t>(</w:t>
      </w:r>
      <w:r w:rsidR="00B21E69" w:rsidRPr="00FF5897">
        <w:rPr>
          <w:rFonts w:ascii="Arial" w:hAnsi="Arial" w:cs="Arial"/>
          <w:b/>
          <w:sz w:val="24"/>
          <w:lang w:val="en-US"/>
        </w:rPr>
        <w:t>Figure S1</w:t>
      </w:r>
      <w:r w:rsidR="00B21E69" w:rsidRPr="00FF5897">
        <w:rPr>
          <w:rFonts w:ascii="Arial" w:hAnsi="Arial" w:cs="Arial"/>
          <w:sz w:val="24"/>
          <w:lang w:val="en-US"/>
        </w:rPr>
        <w:t>).</w:t>
      </w:r>
      <w:r w:rsidR="00B21E69"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{"citationID":"Z2idzlkL","properties":{"formattedCitation":"\\super 2\\nosupersub{}","plainCitation":"2","noteIndex":0},"citationItems":[{"id":1689,"uris":["http://zotero.org/users/4941048/items/TQWWKXR6"],"itemData":{"id":1689,"type":"article-journal","abstract":"Oxygen reduction reaction (ORR) and oxygen evolution reaction (OER) play curial roles in electrochemical energy conversion and storage, including fuel cells and metal-air batteries. Having rich multidimensional nanoarchitectures [for example, zero-dimensional (0D) fullerenes, 1D carbon nanotubes, 2D graphene, and 3D graphite] with tunable electronic and surface characteristics, various carbon nanomaterials have been demonstrated to act as efficient metal-free electrocatalysts for ORR and OER in fuel cells and batteries. We present a critical review on the recent advances in carbon-based metal-free catalysts for fuel cells and metal-air batteries, and discuss the perspectives and challenges in this rapidly developing field of practical significance.","container-title":"Science Advances","DOI":"10.1126/sciadv.1500564","issue":"7","note":"publisher: American Association for the Advancement of Science","page":"e1500564","source":"science.org (Atypon)","title":"Carbon-based electrocatalysts for advanced energy conversion and storage","volume":"1","author":[{"family":"Zhang","given":"Jintao"},{"family":"Xia","given":"Zhenhai"},{"family":"Dai","given":"Liming"}],"issued":{"date-parts":[["2015",8,28]]}}}],"schema":"https://github.com/citation-style-language/schema/raw/master/csl-citation.json"} </w:instrText>
      </w:r>
      <w:r w:rsidR="00B21E69" w:rsidRPr="00FF5897">
        <w:rPr>
          <w:rFonts w:ascii="Arial" w:hAnsi="Arial" w:cs="Arial"/>
          <w:sz w:val="24"/>
          <w:lang w:val="en-US"/>
        </w:rPr>
        <w:fldChar w:fldCharType="separate"/>
      </w:r>
      <w:r w:rsidR="002775F3" w:rsidRPr="00FF5897">
        <w:rPr>
          <w:rFonts w:ascii="Arial" w:hAnsi="Arial" w:cs="Arial"/>
          <w:sz w:val="24"/>
          <w:vertAlign w:val="superscript"/>
        </w:rPr>
        <w:t>2</w:t>
      </w:r>
      <w:r w:rsidR="00B21E69" w:rsidRPr="00FF5897">
        <w:rPr>
          <w:rFonts w:ascii="Arial" w:hAnsi="Arial" w:cs="Arial"/>
          <w:sz w:val="24"/>
          <w:lang w:val="en-US"/>
        </w:rPr>
        <w:fldChar w:fldCharType="end"/>
      </w:r>
      <w:r w:rsidR="00B21E69" w:rsidRPr="00FF5897">
        <w:rPr>
          <w:rFonts w:ascii="Arial" w:hAnsi="Arial" w:cs="Arial"/>
          <w:sz w:val="24"/>
          <w:vertAlign w:val="superscript"/>
          <w:lang w:val="en-US"/>
        </w:rPr>
        <w:t>,</w:t>
      </w:r>
      <w:r w:rsidR="00B21E69"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{"citationID":"8E1Tm7nV","properties":{"formattedCitation":"\\super 3\\nosupersub{}","plainCitation":"3","noteIndex":0},"citationItems":[{"id":97,"uris":["http://zotero.org/users/4941048/items/M7SNMRGB"],"itemData":{"id":97,"type":"article-journal","abstract":"The rapid increase of the CO2 concentration in the Earth's atmosphere has resulted in numerous environmental issues, such as global warming, ocean acidification, melting of the polar ice, rising sea level, and extinction of species. To search for suitable and capable catalytic systems for CO2 conversion, electrochemical reduction of CO2 (CO2RR) holds great promise. Emerging heterogeneous carbon materials have been considered as promising metal-free electrocatalysts for the CO2RR, owing to their abundant natural resources, tailorable porous structures, resistance to acids and bases, high-temperature stability, and environmental friendliness. They exhibit remarkable CO2RR properties, including catalytic activity, long durability, and high selectivity. Here, various carbon materials (e.g., carbon fibers, carbon nanotubes, graphene, diamond, nanoporous carbon, and graphene dots) with heteroatom doping (e.g., N, S, and B) that can be used as metal-free catalysts for the CO2RR are highlighted. Recent advances regarding the identification of active sites for the CO2RR and the pathway of reduction of CO2 to the final product are comprehensively reviewed. Additionally, the emerging challenges and some perspectives on the development of heteroatom-doped carbon materials as metal-free electrocatalysts for the CO2RR are included.","container-title":"Advanced Materials","DOI":"10.1002/adma.201701784","ISSN":"1521-4095","issue":"41","language":"en","note":"_eprint: https://onlinelibrary.wiley.com/doi/pdf/10.1002/adma.201701784","page":"1701784","source":"Wiley Online Library","title":"Metal-Free Carbon Materials for CO2 Electrochemical Reduction","volume":"29","author":[{"family":"Duan","given":"Xiaochuan"},{"family":"Xu","given":"Jiantie"},{"family":"Wei","given":"Zengxi"},{"family":"Ma","given":"Jianmin"},{"family":"Guo","given":"Shaojun"},{"family":"Wang","given":"Shuangyin"},{"family":"Liu","given":"Huakun"},{"family":"Dou","given":"Shixue"}],"issued":{"date-parts":[["2017"]]}}}],"schema":"https://github.com/citation-style-language/schema/raw/master/csl-citation.json"} </w:instrText>
      </w:r>
      <w:r w:rsidR="00B21E69" w:rsidRPr="00FF5897">
        <w:rPr>
          <w:rFonts w:ascii="Arial" w:hAnsi="Arial" w:cs="Arial"/>
          <w:sz w:val="24"/>
          <w:lang w:val="en-US"/>
        </w:rPr>
        <w:fldChar w:fldCharType="separate"/>
      </w:r>
      <w:r w:rsidR="002775F3" w:rsidRPr="00FF5897">
        <w:rPr>
          <w:rFonts w:ascii="Arial" w:hAnsi="Arial" w:cs="Arial"/>
          <w:sz w:val="24"/>
          <w:vertAlign w:val="superscript"/>
        </w:rPr>
        <w:t>3</w:t>
      </w:r>
      <w:r w:rsidR="00B21E69" w:rsidRPr="00FF5897">
        <w:rPr>
          <w:rFonts w:ascii="Arial" w:hAnsi="Arial" w:cs="Arial"/>
          <w:sz w:val="24"/>
          <w:lang w:val="en-US"/>
        </w:rPr>
        <w:fldChar w:fldCharType="end"/>
      </w:r>
      <w:r w:rsidR="00E521FB" w:rsidRPr="00FF5897">
        <w:rPr>
          <w:rFonts w:ascii="Arial" w:hAnsi="Arial" w:cs="Arial"/>
          <w:sz w:val="24"/>
          <w:vertAlign w:val="superscript"/>
          <w:lang w:val="en-US"/>
        </w:rPr>
        <w:t xml:space="preserve">, </w:t>
      </w:r>
      <w:r w:rsidR="003F28F0" w:rsidRPr="00FF5897">
        <w:rPr>
          <w:rFonts w:ascii="Arial" w:hAnsi="Arial" w:cs="Arial"/>
          <w:sz w:val="24"/>
          <w:vertAlign w:val="superscript"/>
          <w:lang w:val="en-US"/>
        </w:rPr>
        <w:fldChar w:fldCharType="begin"/>
      </w:r>
      <w:r w:rsidR="00FD4D0D">
        <w:rPr>
          <w:rFonts w:ascii="Arial" w:hAnsi="Arial" w:cs="Arial"/>
          <w:sz w:val="24"/>
          <w:vertAlign w:val="superscript"/>
          <w:lang w:val="en-US"/>
        </w:rPr>
        <w:instrText xml:space="preserve"> ADDIN ZOTERO_ITEM CSL_CITATION {"citationID":"3wzHhpgR","properties":{"formattedCitation":"\\super 4\\nosupersub{}","plainCitation":"4","noteIndex":0},"citationItems":[{"id":1755,"uris":["http://zotero.org/users/4941048/items/IAD77I39"],"itemData":{"id":1755,"type":"article-journal","abstract":"The electrochemical reduction reaction of carbon dioxide (CO2RR) to carbon monoxide (CO) is the basis for the further synthesis of more complex carbon-based fuels or attractive feedstock. Single-atom catalysts have unique electronic and geometric structures with respect to their bulk counterparts, thus exhibiting unexpected catalytic activities. A nitrogen-anchored Zn single-atom catalyst is presented for CO formation from CO2RR with high catalytic activity (onset overpotential down to 24 mV), high selectivity (Faradaic efficiency for CO (FECO) up to 95 % at −0.43 V), remarkable durability (&gt;75 h without decay of FECO), and large turnover frequency (TOF, up to 9969 h−1). Further experimental and DFT results indicate that the four-nitrogen-anchored Zn single atom (Zn-N4) is the main active site for CO2RR with low free energy barrier for the formation of *COOH as the rate-limiting step.","container-title":"Angewandte Chemie International Edition","DOI":"10.1002/anie.201805871","ISSN":"1521-3773","issue":"38","language":"en","note":"_eprint: https://onlinelibrary.wiley.com/doi/pdf/10.1002/anie.201805871","page":"12303-12307","source":"Wiley Online Library","title":"Highly Efficient CO2 Electroreduction on ZnN4-based Single-Atom Catalyst","volume":"57","author":[{"family":"Yang","given":"Fa"},{"family":"Song","given":"Ping"},{"family":"Liu","given":"Xiaozhi"},{"family":"Mei","given":"Bingbao"},{"family":"Xing","given":"Wei"},{"family":"Jiang","given":"Zheng"},{"family":"Gu","given":"Lin"},{"family":"Xu","given":"Weilin"}],"issued":{"date-parts":[["2018"]]}}}],"schema":"https://github.com/citation-style-language/schema/raw/master/csl-citation.json"} </w:instrText>
      </w:r>
      <w:r w:rsidR="003F28F0" w:rsidRPr="00FF5897">
        <w:rPr>
          <w:rFonts w:ascii="Arial" w:hAnsi="Arial" w:cs="Arial"/>
          <w:sz w:val="24"/>
          <w:vertAlign w:val="superscript"/>
          <w:lang w:val="en-US"/>
        </w:rPr>
        <w:fldChar w:fldCharType="separate"/>
      </w:r>
      <w:r w:rsidR="00E521FB" w:rsidRPr="00FF5897">
        <w:rPr>
          <w:rFonts w:ascii="Arial" w:hAnsi="Arial" w:cs="Arial"/>
          <w:sz w:val="24"/>
          <w:vertAlign w:val="superscript"/>
        </w:rPr>
        <w:t>4</w:t>
      </w:r>
      <w:r w:rsidR="003F28F0" w:rsidRPr="00FF5897">
        <w:rPr>
          <w:rFonts w:ascii="Arial" w:hAnsi="Arial" w:cs="Arial"/>
          <w:sz w:val="24"/>
          <w:vertAlign w:val="superscript"/>
          <w:lang w:val="en-US"/>
        </w:rPr>
        <w:fldChar w:fldCharType="end"/>
      </w:r>
      <w:r w:rsidR="00106248" w:rsidRPr="00FF5897">
        <w:rPr>
          <w:rFonts w:ascii="Arial" w:hAnsi="Arial" w:cs="Arial"/>
          <w:sz w:val="24"/>
          <w:vertAlign w:val="superscript"/>
          <w:lang w:val="en-US"/>
        </w:rPr>
        <w:t>,</w:t>
      </w:r>
      <w:r w:rsidR="002775F3"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{"citationID":"PHh45fxH","properties":{"formattedCitation":"\\super 5\\nosupersub{}","plainCitation":"5","noteIndex":0},"citationItems":[{"id":1374,"uris":["http://zotero.org/users/4941048/items/3HGHT5R8"],"itemData":{"id":1374,"type":"article-journal","abstract":"A doable, low cost, green and scalable method is demonstrated to synthesize N-doped graphene/CNTs composite using humic acid (HA) and urea via ball mill technique. The structural characterizations were investigated by scanning electron microscopy (SEM), Raman spectroscopy, and X-ray diffraction (XRD). SEM investigations reveal a highly porous morphology of the synthesized powder. It was also observed that, some carbon nanotubes were unzipped as well as completely opened CNTs due to the synthesis process. Additionally, this study found that urea and HA crucially impacted synthesis process. N-doping was confirmed by EDX measurements and a remarkable enhancement in surface area was detected using surface area sorption (BET) analyzer. The presented method is very practical and can be scaled up for industrial applications with recyclable materials. By optimizing the preparation conditions, it is possible to achieve a significant impact toward enhancing the desired properties of the synthesized nanocomposite.","container-title":"Ain Shams Engineering Journal","DOI":"10.1016/j.asej.2020.04.011","ISSN":"2090-4479","issue":"1","journalAbbreviation":"Ain Shams Engineering Journal","language":"en","page":"1017-1024","source":"ScienceDirect","title":"Facile and scalable green synthesis of N-doped graphene/CNTs nanocomposites via ball milling","volume":"12","author":[{"family":"Fouda","given":"A. N."},{"family":"Duraia","given":"El Shazly M."},{"family":"Almaqwashi","given":"Ali A."}],"issued":{"date-parts":[["2021",3,1]]}}}],"schema":"https://github.com/citation-style-language/schema/raw/master/csl-citation.json"} </w:instrText>
      </w:r>
      <w:r w:rsidR="002775F3" w:rsidRPr="00FF5897">
        <w:rPr>
          <w:rFonts w:ascii="Arial" w:hAnsi="Arial" w:cs="Arial"/>
          <w:sz w:val="24"/>
          <w:lang w:val="en-US"/>
        </w:rPr>
        <w:fldChar w:fldCharType="separate"/>
      </w:r>
      <w:r w:rsidR="00E521FB" w:rsidRPr="00FF5897">
        <w:rPr>
          <w:rFonts w:ascii="Arial" w:hAnsi="Arial" w:cs="Arial"/>
          <w:sz w:val="24"/>
          <w:vertAlign w:val="superscript"/>
        </w:rPr>
        <w:t>5</w:t>
      </w:r>
      <w:r w:rsidR="002775F3" w:rsidRPr="00FF5897">
        <w:rPr>
          <w:rFonts w:ascii="Arial" w:hAnsi="Arial" w:cs="Arial"/>
          <w:sz w:val="24"/>
          <w:lang w:val="en-US"/>
        </w:rPr>
        <w:fldChar w:fldCharType="end"/>
      </w:r>
      <w:r w:rsidR="00106248" w:rsidRPr="00FF5897">
        <w:rPr>
          <w:rFonts w:ascii="Arial" w:hAnsi="Arial" w:cs="Arial"/>
          <w:sz w:val="24"/>
          <w:vertAlign w:val="superscript"/>
          <w:lang w:val="en-US"/>
        </w:rPr>
        <w:t>,</w:t>
      </w:r>
      <w:r w:rsidR="00106248"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{"citationID":"41obODBQ","properties":{"formattedCitation":"\\super 6\\nosupersub{}","plainCitation":"6","noteIndex":0},"citationItems":[{"id":1373,"uris":["http://zotero.org/users/4941048/items/R6W4NESC"],"itemData":{"id":1373,"type":"article-journal","abstract":"Nitrogen fixation is essential for the synthesis of many important chemicals (e.g., fertilizers, explosives) and basic building blocks for all forms of life (e.g., nucleotides for DNA and RNA, amino acids for proteins). However, direct nitrogen fixation is challenging as nitrogen (N2) does not easily react with other chemicals. By dry ball-milling graphite with N2, we have discovered a simple, but versatile, scalable and eco-friendly, approach to direct fixation of N2 at the edges of graphene nanoplatelets (GnPs). The mechanochemical cracking of graphitic C−C bonds generated active carbon species that react directly with N2 to form five- and six-membered aromatic rings at the broken edges, leading to solution-processable edge-nitrogenated graphene nanoplatelets (NGnPs) with superb catalytic performance in both dye-sensitized solar cells and fuel cells to replace conventional Pt-based catalysts for energy conversion.","container-title":"Scientific Reports","DOI":"10.1038/srep02260","ISSN":"2045-2322","issue":"1","journalAbbreviation":"Sci Rep","language":"en","license":"2013 The Author(s)","note":"Bandiera_abtest: a\nCc_license_type: cc_y\nCg_type: Nature Research Journals\nnumber: 1\nPrimary_atype: Research\npublisher: Nature Publishing Group\nSubject_term: Catalyst synthesis;Electrocatalysis;Photocatalysis;Synthesis of graphene\nSubject_term_id: catalyst-synthesis;electrocatalysis;photocatalysis;synthesis-of-graphene","page":"2260","source":"www.nature.com","title":"Direct nitrogen fixation at the edges of graphene nanoplatelets as efficient electrocatalysts for energy conversion","volume":"3","author":[{"family":"Jeon","given":"In-Yup"},{"family":"Choi","given":"Hyun-Jung"},{"family":"Ju","given":"Myung Jong"},{"family":"Choi","given":"In Taek"},{"family":"Lim","given":"Kimin"},{"family":"Ko","given":"Jaejung"},{"family":"Kim","given":"Hwan Kyu"},{"family":"Kim","given":"Jae Cheon"},{"family":"Lee","given":"Jae-Joon"},{"family":"Shin","given":"Dongbin"},{"family":"Jung","given":"Sun-Min"},{"family":"Seo","given":"Jeong-Min"},{"family":"Kim","given":"Min-Jung"},{"family":"Park","given":"Noejung"},{"family":"Dai","given":"Liming"},{"family":"Baek","given":"Jong-Beom"}],"issued":{"date-parts":[["2013",7,23]]}}}],"schema":"https://github.com/citation-style-language/schema/raw/master/csl-citation.json"} </w:instrText>
      </w:r>
      <w:r w:rsidR="00106248" w:rsidRPr="00FF5897">
        <w:rPr>
          <w:rFonts w:ascii="Arial" w:hAnsi="Arial" w:cs="Arial"/>
          <w:sz w:val="24"/>
          <w:lang w:val="en-US"/>
        </w:rPr>
        <w:fldChar w:fldCharType="separate"/>
      </w:r>
      <w:r w:rsidR="00E521FB" w:rsidRPr="00FF5897">
        <w:rPr>
          <w:rFonts w:ascii="Arial" w:hAnsi="Arial" w:cs="Arial"/>
          <w:sz w:val="24"/>
          <w:vertAlign w:val="superscript"/>
        </w:rPr>
        <w:t>6</w:t>
      </w:r>
      <w:r w:rsidR="00106248" w:rsidRPr="00FF5897">
        <w:rPr>
          <w:rFonts w:ascii="Arial" w:hAnsi="Arial" w:cs="Arial"/>
          <w:sz w:val="24"/>
          <w:lang w:val="en-US"/>
        </w:rPr>
        <w:fldChar w:fldCharType="end"/>
      </w:r>
      <w:r w:rsidR="002775F3" w:rsidRPr="00FF5897">
        <w:rPr>
          <w:rFonts w:ascii="Arial" w:hAnsi="Arial" w:cs="Arial"/>
          <w:sz w:val="24"/>
          <w:lang w:val="en-US"/>
        </w:rPr>
        <w:t xml:space="preserve"> </w:t>
      </w:r>
      <w:r w:rsidR="00BF6EA3" w:rsidRPr="00FF5897">
        <w:rPr>
          <w:rFonts w:ascii="Arial" w:hAnsi="Arial" w:cs="Arial"/>
          <w:sz w:val="24"/>
          <w:lang w:val="en-US"/>
        </w:rPr>
        <w:t>In brief, t</w:t>
      </w:r>
      <w:r w:rsidR="002775F3" w:rsidRPr="00FF5897">
        <w:rPr>
          <w:rFonts w:ascii="Arial" w:hAnsi="Arial" w:cs="Arial"/>
          <w:sz w:val="24"/>
          <w:lang w:val="en-US"/>
        </w:rPr>
        <w:t>he materials produced which were N-edge functionalized (</w:t>
      </w:r>
      <w:r w:rsidR="002775F3" w:rsidRPr="00FF5897">
        <w:rPr>
          <w:rFonts w:ascii="Arial" w:hAnsi="Arial" w:cs="Arial"/>
          <w:b/>
          <w:sz w:val="24"/>
          <w:lang w:val="en-US"/>
        </w:rPr>
        <w:t>Figure S1A, B</w:t>
      </w:r>
      <w:r w:rsidR="002775F3" w:rsidRPr="00FF5897">
        <w:rPr>
          <w:rFonts w:ascii="Arial" w:hAnsi="Arial" w:cs="Arial"/>
          <w:sz w:val="24"/>
          <w:lang w:val="en-US"/>
        </w:rPr>
        <w:t>) were synthesized by mixing graphene nanoplatelets (</w:t>
      </w:r>
      <w:r w:rsidR="00BF6EA3" w:rsidRPr="00FF5897">
        <w:rPr>
          <w:rFonts w:ascii="Arial" w:hAnsi="Arial" w:cs="Arial"/>
          <w:sz w:val="24"/>
          <w:lang w:val="en-US"/>
        </w:rPr>
        <w:t>Graphene Supermarket AO-4</w:t>
      </w:r>
      <w:r w:rsidR="002775F3" w:rsidRPr="00FF5897">
        <w:rPr>
          <w:rFonts w:ascii="Arial" w:hAnsi="Arial" w:cs="Arial"/>
          <w:sz w:val="24"/>
          <w:lang w:val="en-US"/>
        </w:rPr>
        <w:t>,</w:t>
      </w:r>
      <w:r w:rsidR="00BF6EA3" w:rsidRPr="00FF5897">
        <w:rPr>
          <w:rFonts w:ascii="Arial" w:hAnsi="Arial" w:cs="Arial"/>
          <w:sz w:val="24"/>
          <w:lang w:val="en-US"/>
        </w:rPr>
        <w:t xml:space="preserve"> 1 g) or multiwalled carbon nanotubes (</w:t>
      </w:r>
      <w:proofErr w:type="spellStart"/>
      <w:r w:rsidR="00BF6EA3" w:rsidRPr="00FF5897">
        <w:rPr>
          <w:rFonts w:ascii="Arial" w:hAnsi="Arial" w:cs="Arial"/>
          <w:sz w:val="24"/>
          <w:lang w:val="en-US"/>
        </w:rPr>
        <w:t>PlasmaChem</w:t>
      </w:r>
      <w:proofErr w:type="spellEnd"/>
      <w:r w:rsidR="00BF6EA3" w:rsidRPr="00FF5897">
        <w:rPr>
          <w:rFonts w:ascii="Arial" w:hAnsi="Arial" w:cs="Arial"/>
          <w:sz w:val="24"/>
          <w:lang w:val="en-US"/>
        </w:rPr>
        <w:t xml:space="preserve"> </w:t>
      </w:r>
      <w:proofErr w:type="spellStart"/>
      <w:r w:rsidR="00BF6EA3" w:rsidRPr="00FF5897">
        <w:rPr>
          <w:rFonts w:ascii="Arial" w:hAnsi="Arial" w:cs="Arial"/>
          <w:sz w:val="24"/>
          <w:lang w:val="en-US"/>
        </w:rPr>
        <w:t>Gmbh</w:t>
      </w:r>
      <w:proofErr w:type="spellEnd"/>
      <w:r w:rsidR="00BF6EA3" w:rsidRPr="00FF5897">
        <w:rPr>
          <w:rFonts w:ascii="Arial" w:hAnsi="Arial" w:cs="Arial"/>
          <w:sz w:val="24"/>
          <w:lang w:val="en-US"/>
        </w:rPr>
        <w:t>, 1g) with urea (Sigma Aldrich &gt;99%, 3 g) and ball milled</w:t>
      </w:r>
      <w:r w:rsidR="00106248" w:rsidRPr="00FF5897">
        <w:rPr>
          <w:rFonts w:ascii="Arial" w:hAnsi="Arial" w:cs="Arial"/>
          <w:sz w:val="24"/>
          <w:lang w:val="en-US"/>
        </w:rPr>
        <w:t xml:space="preserve"> at 500 rpm</w:t>
      </w:r>
      <w:r w:rsidR="00BF6EA3" w:rsidRPr="00FF5897">
        <w:rPr>
          <w:rFonts w:ascii="Arial" w:hAnsi="Arial" w:cs="Arial"/>
          <w:sz w:val="24"/>
          <w:lang w:val="en-US"/>
        </w:rPr>
        <w:t xml:space="preserve"> for </w:t>
      </w:r>
      <w:r w:rsidR="00106248" w:rsidRPr="00FF5897">
        <w:rPr>
          <w:rFonts w:ascii="Arial" w:hAnsi="Arial" w:cs="Arial"/>
          <w:sz w:val="24"/>
          <w:lang w:val="en-US"/>
        </w:rPr>
        <w:t>48</w:t>
      </w:r>
      <w:r w:rsidR="00BF6EA3" w:rsidRPr="00FF5897">
        <w:rPr>
          <w:rFonts w:ascii="Arial" w:hAnsi="Arial" w:cs="Arial"/>
          <w:sz w:val="24"/>
          <w:lang w:val="en-US"/>
        </w:rPr>
        <w:t xml:space="preserve"> </w:t>
      </w:r>
      <w:proofErr w:type="spellStart"/>
      <w:r w:rsidR="00BF6EA3" w:rsidRPr="00FF5897">
        <w:rPr>
          <w:rFonts w:ascii="Arial" w:hAnsi="Arial" w:cs="Arial"/>
          <w:sz w:val="24"/>
          <w:lang w:val="en-US"/>
        </w:rPr>
        <w:t>hr</w:t>
      </w:r>
      <w:proofErr w:type="spellEnd"/>
      <w:r w:rsidR="00BF6EA3" w:rsidRPr="00FF5897">
        <w:rPr>
          <w:rFonts w:ascii="Arial" w:hAnsi="Arial" w:cs="Arial"/>
          <w:sz w:val="24"/>
          <w:lang w:val="en-US"/>
        </w:rPr>
        <w:t xml:space="preserve"> at 20:1 ball </w:t>
      </w:r>
      <w:r w:rsidR="001E3C11" w:rsidRPr="00FF5897">
        <w:rPr>
          <w:rFonts w:ascii="Arial" w:hAnsi="Arial" w:cs="Arial"/>
          <w:sz w:val="24"/>
          <w:lang w:val="en-US"/>
        </w:rPr>
        <w:t>(ZrO</w:t>
      </w:r>
      <w:r w:rsidR="001E3C11" w:rsidRPr="00FF5897">
        <w:rPr>
          <w:rFonts w:ascii="Arial" w:hAnsi="Arial" w:cs="Arial"/>
          <w:sz w:val="24"/>
          <w:vertAlign w:val="subscript"/>
          <w:lang w:val="en-US"/>
        </w:rPr>
        <w:t>2</w:t>
      </w:r>
      <w:r w:rsidR="001E3C11" w:rsidRPr="00FF5897">
        <w:rPr>
          <w:rFonts w:ascii="Arial" w:hAnsi="Arial" w:cs="Arial"/>
          <w:sz w:val="24"/>
          <w:lang w:val="en-US"/>
        </w:rPr>
        <w:t>)</w:t>
      </w:r>
      <w:r w:rsidR="00BF6EA3" w:rsidRPr="00FF5897">
        <w:rPr>
          <w:rFonts w:ascii="Arial" w:hAnsi="Arial" w:cs="Arial"/>
          <w:sz w:val="24"/>
          <w:lang w:val="en-US"/>
        </w:rPr>
        <w:t xml:space="preserve"> to reactant </w:t>
      </w:r>
      <w:r w:rsidR="00953AF3" w:rsidRPr="00FF5897">
        <w:rPr>
          <w:rFonts w:ascii="Arial" w:hAnsi="Arial" w:cs="Arial"/>
          <w:sz w:val="24"/>
          <w:lang w:val="en-US"/>
        </w:rPr>
        <w:t xml:space="preserve">mass </w:t>
      </w:r>
      <w:r w:rsidR="00BF6EA3" w:rsidRPr="00FF5897">
        <w:rPr>
          <w:rFonts w:ascii="Arial" w:hAnsi="Arial" w:cs="Arial"/>
          <w:sz w:val="24"/>
          <w:lang w:val="en-US"/>
        </w:rPr>
        <w:t>ratio under nitrogen atmosphere.</w:t>
      </w:r>
      <w:r w:rsidR="00BF6EA3"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{"citationID":"GuMxqxeM","properties":{"formattedCitation":"\\super 5\\nosupersub{}","plainCitation":"5","noteIndex":0},"citationItems":[{"id":1374,"uris":["http://zotero.org/users/4941048/items/3HGHT5R8"],"itemData":{"id":1374,"type":"article-journal","abstract":"A doable, low cost, green and scalable method is demonstrated to synthesize N-doped graphene/CNTs composite using humic acid (HA) and urea via ball mill technique. The structural characterizations were investigated by scanning electron microscopy (SEM), Raman spectroscopy, and X-ray diffraction (XRD). SEM investigations reveal a highly porous morphology of the synthesized powder. It was also observed that, some carbon nanotubes were unzipped as well as completely opened CNTs due to the synthesis process. Additionally, this study found that urea and HA crucially impacted synthesis process. N-doping was confirmed by EDX measurements and a remarkable enhancement in surface area was detected using surface area sorption (BET) analyzer. The presented method is very practical and can be scaled up for industrial applications with recyclable materials. By optimizing the preparation conditions, it is possible to achieve a significant impact toward enhancing the desired properties of the synthesized nanocomposite.","container-title":"Ain Shams Engineering Journal","DOI":"10.1016/j.asej.2020.04.011","ISSN":"2090-4479","issue":"1","journalAbbreviation":"Ain Shams Engineering Journal","language":"en","page":"1017-1024","source":"ScienceDirect","title":"Facile and scalable green synthesis of N-doped graphene/CNTs nanocomposites via ball milling","volume":"12","author":[{"family":"Fouda","given":"A. N."},{"family":"Duraia","given":"El Shazly M."},{"family":"Almaqwashi","given":"Ali A."}],"issued":{"date-parts":[["2021",3,1]]}}}],"schema":"https://github.com/citation-style-language/schema/raw/master/csl-citation.json"} </w:instrText>
      </w:r>
      <w:r w:rsidR="00BF6EA3" w:rsidRPr="00FF5897">
        <w:rPr>
          <w:rFonts w:ascii="Arial" w:hAnsi="Arial" w:cs="Arial"/>
          <w:sz w:val="24"/>
          <w:lang w:val="en-US"/>
        </w:rPr>
        <w:fldChar w:fldCharType="separate"/>
      </w:r>
      <w:r w:rsidR="00E521FB" w:rsidRPr="00FF5897">
        <w:rPr>
          <w:rFonts w:ascii="Arial" w:hAnsi="Arial" w:cs="Arial"/>
          <w:sz w:val="24"/>
          <w:vertAlign w:val="superscript"/>
        </w:rPr>
        <w:t>5</w:t>
      </w:r>
      <w:r w:rsidR="00BF6EA3" w:rsidRPr="00FF5897">
        <w:rPr>
          <w:rFonts w:ascii="Arial" w:hAnsi="Arial" w:cs="Arial"/>
          <w:sz w:val="24"/>
          <w:lang w:val="en-US"/>
        </w:rPr>
        <w:fldChar w:fldCharType="end"/>
      </w:r>
      <w:r w:rsidR="00106248" w:rsidRPr="00FF5897">
        <w:rPr>
          <w:rFonts w:ascii="Arial" w:hAnsi="Arial" w:cs="Arial"/>
          <w:sz w:val="24"/>
          <w:vertAlign w:val="superscript"/>
          <w:lang w:val="en-US"/>
        </w:rPr>
        <w:t>,</w:t>
      </w:r>
      <w:r w:rsidR="00106248" w:rsidRPr="00FF5897">
        <w:rPr>
          <w:rFonts w:ascii="Arial" w:hAnsi="Arial" w:cs="Arial"/>
          <w:sz w:val="24"/>
          <w:vertAlign w:val="superscript"/>
          <w:lang w:val="en-US"/>
        </w:rPr>
        <w:fldChar w:fldCharType="begin"/>
      </w:r>
      <w:r w:rsidR="00FD4D0D">
        <w:rPr>
          <w:rFonts w:ascii="Arial" w:hAnsi="Arial" w:cs="Arial"/>
          <w:sz w:val="24"/>
          <w:vertAlign w:val="superscript"/>
          <w:lang w:val="en-US"/>
        </w:rPr>
        <w:instrText xml:space="preserve"> ADDIN ZOTERO_ITEM CSL_CITATION {"citationID":"tqvcYVwD","properties":{"formattedCitation":"\\super 6\\nosupersub{}","plainCitation":"6","noteIndex":0},"citationItems":[{"id":1373,"uris":["http://zotero.org/users/4941048/items/R6W4NESC"],"itemData":{"id":1373,"type":"article-journal","abstract":"Nitrogen fixation is essential for the synthesis of many important chemicals (e.g., fertilizers, explosives) and basic building blocks for all forms of life (e.g., nucleotides for DNA and RNA, amino acids for proteins). However, direct nitrogen fixation is challenging as nitrogen (N2) does not easily react with other chemicals. By dry ball-milling graphite with N2, we have discovered a simple, but versatile, scalable and eco-friendly, approach to direct fixation of N2 at the edges of graphene nanoplatelets (GnPs). The mechanochemical cracking of graphitic C−C bonds generated active carbon species that react directly with N2 to form five- and six-membered aromatic rings at the broken edges, leading to solution-processable edge-nitrogenated graphene nanoplatelets (NGnPs) with superb catalytic performance in both dye-sensitized solar cells and fuel cells to replace conventional Pt-based catalysts for energy conversion.","container-title":"Scientific Reports","DOI":"10.1038/srep02260","ISSN":"2045-2322","issue":"1","journalAbbreviation":"Sci Rep","language":"en","license":"2013 The Author(s)","note":"Bandiera_abtest: a\nCc_license_type: cc_y\nCg_type: Nature Research Journals\nnumber: 1\nPrimary_atype: Research\npublisher: Nature Publishing Group\nSubject_term: Catalyst synthesis;Electrocatalysis;Photocatalysis;Synthesis of graphene\nSubject_term_id: catalyst-synthesis;electrocatalysis;photocatalysis;synthesis-of-graphene","page":"2260","source":"www.nature.com","title":"Direct nitrogen fixation at the edges of graphene nanoplatelets as efficient electrocatalysts for energy conversion","volume":"3","author":[{"family":"Jeon","given":"In-Yup"},{"family":"Choi","given":"Hyun-Jung"},{"family":"Ju","given":"Myung Jong"},{"family":"Choi","given":"In Taek"},{"family":"Lim","given":"Kimin"},{"family":"Ko","given":"Jaejung"},{"family":"Kim","given":"Hwan Kyu"},{"family":"Kim","given":"Jae Cheon"},{"family":"Lee","given":"Jae-Joon"},{"family":"Shin","given":"Dongbin"},{"family":"Jung","given":"Sun-Min"},{"family":"Seo","given":"Jeong-Min"},{"family":"Kim","given":"Min-Jung"},{"family":"Park","given":"Noejung"},{"family":"Dai","given":"Liming"},{"family":"Baek","given":"Jong-Beom"}],"issued":{"date-parts":[["2013",7,23]]}}}],"schema":"https://github.com/citation-style-language/schema/raw/master/csl-citation.json"} </w:instrText>
      </w:r>
      <w:r w:rsidR="00106248" w:rsidRPr="00FF5897">
        <w:rPr>
          <w:rFonts w:ascii="Arial" w:hAnsi="Arial" w:cs="Arial"/>
          <w:sz w:val="24"/>
          <w:vertAlign w:val="superscript"/>
          <w:lang w:val="en-US"/>
        </w:rPr>
        <w:fldChar w:fldCharType="separate"/>
      </w:r>
      <w:r w:rsidR="00E521FB" w:rsidRPr="00FF5897">
        <w:rPr>
          <w:rFonts w:ascii="Arial" w:hAnsi="Arial" w:cs="Arial"/>
          <w:sz w:val="24"/>
          <w:vertAlign w:val="superscript"/>
        </w:rPr>
        <w:t>6</w:t>
      </w:r>
      <w:r w:rsidR="00106248" w:rsidRPr="00FF5897">
        <w:rPr>
          <w:rFonts w:ascii="Arial" w:hAnsi="Arial" w:cs="Arial"/>
          <w:sz w:val="24"/>
          <w:vertAlign w:val="superscript"/>
          <w:lang w:val="en-US"/>
        </w:rPr>
        <w:fldChar w:fldCharType="end"/>
      </w:r>
      <w:r w:rsidR="00BF6EA3" w:rsidRPr="00FF5897">
        <w:rPr>
          <w:rFonts w:ascii="Arial" w:hAnsi="Arial" w:cs="Arial"/>
          <w:sz w:val="24"/>
          <w:lang w:val="en-US"/>
        </w:rPr>
        <w:t xml:space="preserve"> </w:t>
      </w:r>
      <w:r w:rsidR="0062395D" w:rsidRPr="00FF5897">
        <w:rPr>
          <w:rFonts w:ascii="Arial" w:hAnsi="Arial" w:cs="Arial"/>
          <w:sz w:val="24"/>
          <w:lang w:val="en-US"/>
        </w:rPr>
        <w:t>T</w:t>
      </w:r>
      <w:r w:rsidR="00E521FB" w:rsidRPr="00FF5897">
        <w:rPr>
          <w:rFonts w:ascii="Arial" w:hAnsi="Arial" w:cs="Arial"/>
          <w:sz w:val="24"/>
          <w:lang w:val="en-US"/>
        </w:rPr>
        <w:t xml:space="preserve">he products were washed and collected in </w:t>
      </w:r>
      <w:r w:rsidR="001E3C11" w:rsidRPr="00FF5897">
        <w:rPr>
          <w:rFonts w:ascii="Arial" w:hAnsi="Arial" w:cs="Arial"/>
          <w:sz w:val="24"/>
          <w:lang w:val="en-US"/>
        </w:rPr>
        <w:t>i-</w:t>
      </w:r>
      <w:proofErr w:type="spellStart"/>
      <w:r w:rsidR="001E3C11" w:rsidRPr="00FF5897">
        <w:rPr>
          <w:rFonts w:ascii="Arial" w:hAnsi="Arial" w:cs="Arial"/>
          <w:sz w:val="24"/>
          <w:lang w:val="en-US"/>
        </w:rPr>
        <w:t>Pr</w:t>
      </w:r>
      <w:r w:rsidR="00E521FB" w:rsidRPr="00FF5897">
        <w:rPr>
          <w:rFonts w:ascii="Arial" w:hAnsi="Arial" w:cs="Arial"/>
          <w:sz w:val="24"/>
          <w:lang w:val="en-US"/>
        </w:rPr>
        <w:t>OH</w:t>
      </w:r>
      <w:proofErr w:type="spellEnd"/>
      <w:r w:rsidR="00E521FB" w:rsidRPr="00FF5897">
        <w:rPr>
          <w:rFonts w:ascii="Arial" w:hAnsi="Arial" w:cs="Arial"/>
          <w:sz w:val="24"/>
          <w:lang w:val="en-US"/>
        </w:rPr>
        <w:t xml:space="preserve"> reaching a concentration of 30 mg mL</w:t>
      </w:r>
      <w:r w:rsidR="00E521FB" w:rsidRPr="00FF5897">
        <w:rPr>
          <w:rFonts w:ascii="Arial" w:hAnsi="Arial" w:cs="Arial"/>
          <w:sz w:val="24"/>
          <w:vertAlign w:val="superscript"/>
          <w:lang w:val="en-US"/>
        </w:rPr>
        <w:t>-1</w:t>
      </w:r>
      <w:r w:rsidR="00E521FB" w:rsidRPr="00FF5897">
        <w:rPr>
          <w:rFonts w:ascii="Arial" w:hAnsi="Arial" w:cs="Arial"/>
          <w:sz w:val="24"/>
          <w:lang w:val="en-US"/>
        </w:rPr>
        <w:t>. T</w:t>
      </w:r>
      <w:r w:rsidR="0062395D" w:rsidRPr="00FF5897">
        <w:rPr>
          <w:rFonts w:ascii="Arial" w:hAnsi="Arial" w:cs="Arial"/>
          <w:sz w:val="24"/>
          <w:lang w:val="en-US"/>
        </w:rPr>
        <w:t xml:space="preserve">he N-doped carbon </w:t>
      </w:r>
      <w:r w:rsidR="00E521FB" w:rsidRPr="00FF5897">
        <w:rPr>
          <w:rFonts w:ascii="Arial" w:hAnsi="Arial" w:cs="Arial"/>
          <w:sz w:val="24"/>
          <w:lang w:val="en-US"/>
        </w:rPr>
        <w:t xml:space="preserve">black </w:t>
      </w:r>
      <w:r w:rsidR="0062395D" w:rsidRPr="00FF5897">
        <w:rPr>
          <w:rFonts w:ascii="Arial" w:hAnsi="Arial" w:cs="Arial"/>
          <w:sz w:val="24"/>
          <w:lang w:val="en-US"/>
        </w:rPr>
        <w:t>based material w</w:t>
      </w:r>
      <w:r w:rsidR="00E521FB" w:rsidRPr="00FF5897">
        <w:rPr>
          <w:rFonts w:ascii="Arial" w:hAnsi="Arial" w:cs="Arial"/>
          <w:sz w:val="24"/>
          <w:lang w:val="en-US"/>
        </w:rPr>
        <w:t>as</w:t>
      </w:r>
      <w:r w:rsidR="0062395D" w:rsidRPr="00FF5897">
        <w:rPr>
          <w:rFonts w:ascii="Arial" w:hAnsi="Arial" w:cs="Arial"/>
          <w:sz w:val="24"/>
          <w:lang w:val="en-US"/>
        </w:rPr>
        <w:t xml:space="preserve"> synthesized </w:t>
      </w:r>
      <w:r w:rsidR="00E521FB" w:rsidRPr="00FF5897">
        <w:rPr>
          <w:rFonts w:ascii="Arial" w:hAnsi="Arial" w:cs="Arial"/>
          <w:sz w:val="24"/>
          <w:lang w:val="en-US"/>
        </w:rPr>
        <w:t xml:space="preserve">via a protocol </w:t>
      </w:r>
      <w:r w:rsidR="0062395D" w:rsidRPr="00FF5897">
        <w:rPr>
          <w:rFonts w:ascii="Arial" w:hAnsi="Arial" w:cs="Arial"/>
          <w:sz w:val="24"/>
          <w:lang w:val="en-US"/>
        </w:rPr>
        <w:t xml:space="preserve">adapted from </w:t>
      </w:r>
      <w:r w:rsidR="00E521FB" w:rsidRPr="00FF5897">
        <w:rPr>
          <w:rFonts w:ascii="Arial" w:hAnsi="Arial" w:cs="Arial"/>
          <w:sz w:val="24"/>
          <w:lang w:val="en-US"/>
        </w:rPr>
        <w:t>Yang et al. (</w:t>
      </w:r>
      <w:r w:rsidR="00E521FB" w:rsidRPr="00FF5897">
        <w:rPr>
          <w:rFonts w:ascii="Arial" w:hAnsi="Arial" w:cs="Arial"/>
          <w:b/>
          <w:sz w:val="24"/>
          <w:lang w:val="en-US"/>
        </w:rPr>
        <w:t>Figure S1C</w:t>
      </w:r>
      <w:r w:rsidR="00E521FB" w:rsidRPr="00FF5897">
        <w:rPr>
          <w:rFonts w:ascii="Arial" w:hAnsi="Arial" w:cs="Arial"/>
          <w:sz w:val="24"/>
          <w:lang w:val="en-US"/>
        </w:rPr>
        <w:t>)</w:t>
      </w:r>
      <w:r w:rsidR="0062395D" w:rsidRPr="00FF5897">
        <w:rPr>
          <w:rFonts w:ascii="Arial" w:hAnsi="Arial" w:cs="Arial"/>
          <w:sz w:val="24"/>
          <w:lang w:val="en-US"/>
        </w:rPr>
        <w:t>.</w:t>
      </w:r>
      <w:r w:rsidR="00E521FB"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{"citationID":"tIlTYeRk","properties":{"formattedCitation":"\\super 4\\nosupersub{}","plainCitation":"4","noteIndex":0},"citationItems":[{"id":1755,"uris":["http://zotero.org/users/4941048/items/IAD77I39"],"itemData":{"id":1755,"type":"article-journal","abstract":"The electrochemical reduction reaction of carbon dioxide (CO2RR) to carbon monoxide (CO) is the basis for the further synthesis of more complex carbon-based fuels or attractive feedstock. Single-atom catalysts have unique electronic and geometric structures with respect to their bulk counterparts, thus exhibiting unexpected catalytic activities. A nitrogen-anchored Zn single-atom catalyst is presented for CO formation from CO2RR with high catalytic activity (onset overpotential down to 24 mV), high selectivity (Faradaic efficiency for CO (FECO) up to 95 % at −0.43 V), remarkable durability (&gt;75 h without decay of FECO), and large turnover frequency (TOF, up to 9969 h−1). Further experimental and DFT results indicate that the four-nitrogen-anchored Zn single atom (Zn-N4) is the main active site for CO2RR with low free energy barrier for the formation of *COOH as the rate-limiting step.","container-title":"Angewandte Chemie International Edition","DOI":"10.1002/anie.201805871","ISSN":"1521-3773","issue":"38","language":"en","note":"_eprint: https://onlinelibrary.wiley.com/doi/pdf/10.1002/anie.201805871","page":"12303-12307","source":"Wiley Online Library","title":"Highly Efficient CO2 Electroreduction on ZnN4-based Single-Atom Catalyst","volume":"57","author":[{"family":"Yang","given":"Fa"},{"family":"Song","given":"Ping"},{"family":"Liu","given":"Xiaozhi"},{"family":"Mei","given":"Bingbao"},{"family":"Xing","given":"Wei"},{"family":"Jiang","given":"Zheng"},{"family":"Gu","given":"Lin"},{"family":"Xu","given":"Weilin"}],"issued":{"date-parts":[["2018"]]}}}],"schema":"https://github.com/citation-style-language/schema/raw/master/csl-citation.json"} </w:instrText>
      </w:r>
      <w:r w:rsidR="00E521FB" w:rsidRPr="00FF5897">
        <w:rPr>
          <w:rFonts w:ascii="Arial" w:hAnsi="Arial" w:cs="Arial"/>
          <w:sz w:val="24"/>
          <w:lang w:val="en-US"/>
        </w:rPr>
        <w:fldChar w:fldCharType="separate"/>
      </w:r>
      <w:r w:rsidR="00E521FB" w:rsidRPr="00FF5897">
        <w:rPr>
          <w:rFonts w:ascii="Arial" w:hAnsi="Arial" w:cs="Arial"/>
          <w:sz w:val="24"/>
          <w:vertAlign w:val="superscript"/>
        </w:rPr>
        <w:t>4</w:t>
      </w:r>
      <w:r w:rsidR="00E521FB" w:rsidRPr="00FF5897">
        <w:rPr>
          <w:rFonts w:ascii="Arial" w:hAnsi="Arial" w:cs="Arial"/>
          <w:sz w:val="24"/>
          <w:lang w:val="en-US"/>
        </w:rPr>
        <w:fldChar w:fldCharType="end"/>
      </w:r>
      <w:r w:rsidR="00E521FB" w:rsidRPr="00FF5897">
        <w:rPr>
          <w:rFonts w:ascii="Arial" w:hAnsi="Arial" w:cs="Arial"/>
          <w:sz w:val="24"/>
          <w:lang w:val="en-US"/>
        </w:rPr>
        <w:t xml:space="preserve"> </w:t>
      </w:r>
      <w:r w:rsidR="0062395D" w:rsidRPr="00FF5897">
        <w:rPr>
          <w:rFonts w:ascii="Arial" w:hAnsi="Arial" w:cs="Arial"/>
          <w:sz w:val="24"/>
          <w:lang w:val="en-US"/>
        </w:rPr>
        <w:t>In brief, Vulcan carbon black (</w:t>
      </w:r>
      <w:proofErr w:type="spellStart"/>
      <w:r w:rsidR="0062395D" w:rsidRPr="00FF5897">
        <w:rPr>
          <w:rFonts w:ascii="Arial" w:hAnsi="Arial" w:cs="Arial"/>
          <w:sz w:val="24"/>
          <w:lang w:val="en-US"/>
        </w:rPr>
        <w:t>FuelCellStore</w:t>
      </w:r>
      <w:proofErr w:type="spellEnd"/>
      <w:r w:rsidR="0062395D" w:rsidRPr="00FF5897">
        <w:rPr>
          <w:rFonts w:ascii="Arial" w:hAnsi="Arial" w:cs="Arial"/>
          <w:sz w:val="24"/>
          <w:lang w:val="en-US"/>
        </w:rPr>
        <w:t>, 900 mg) was oxidized by means of mixing with an aqueous HNO</w:t>
      </w:r>
      <w:r w:rsidR="0062395D" w:rsidRPr="00FF5897">
        <w:rPr>
          <w:rFonts w:ascii="Arial" w:hAnsi="Arial" w:cs="Arial"/>
          <w:sz w:val="24"/>
          <w:vertAlign w:val="subscript"/>
          <w:lang w:val="en-US"/>
        </w:rPr>
        <w:t xml:space="preserve">3 </w:t>
      </w:r>
      <w:r w:rsidR="0062395D" w:rsidRPr="00FF5897">
        <w:rPr>
          <w:rFonts w:ascii="Arial" w:hAnsi="Arial" w:cs="Arial"/>
          <w:sz w:val="24"/>
          <w:lang w:val="en-US"/>
        </w:rPr>
        <w:t>solution (Sigma Aldrich ≥65%, 30 mL) and heat</w:t>
      </w:r>
      <w:r w:rsidR="001E3C11" w:rsidRPr="00FF5897">
        <w:rPr>
          <w:rFonts w:ascii="Arial" w:hAnsi="Arial" w:cs="Arial"/>
          <w:sz w:val="24"/>
          <w:lang w:val="en-US"/>
        </w:rPr>
        <w:t>ed</w:t>
      </w:r>
      <w:r w:rsidR="0062395D" w:rsidRPr="00FF5897">
        <w:rPr>
          <w:rFonts w:ascii="Arial" w:hAnsi="Arial" w:cs="Arial"/>
          <w:sz w:val="24"/>
          <w:lang w:val="en-US"/>
        </w:rPr>
        <w:t xml:space="preserve"> </w:t>
      </w:r>
      <w:r w:rsidR="00E521FB" w:rsidRPr="00FF5897">
        <w:rPr>
          <w:rFonts w:ascii="Arial" w:hAnsi="Arial" w:cs="Arial"/>
          <w:sz w:val="24"/>
          <w:lang w:val="en-US"/>
        </w:rPr>
        <w:t>to</w:t>
      </w:r>
      <w:r w:rsidR="0062395D" w:rsidRPr="00FF5897">
        <w:rPr>
          <w:rFonts w:ascii="Arial" w:hAnsi="Arial" w:cs="Arial"/>
          <w:sz w:val="24"/>
          <w:lang w:val="en-US"/>
        </w:rPr>
        <w:t xml:space="preserve"> 80 °C whilst stirring under reflux for 3 hrs.</w:t>
      </w:r>
      <w:r w:rsidR="00E521FB" w:rsidRPr="00FF5897">
        <w:rPr>
          <w:rFonts w:ascii="Arial" w:hAnsi="Arial" w:cs="Arial"/>
          <w:sz w:val="24"/>
          <w:lang w:val="en-US"/>
        </w:rPr>
        <w:t xml:space="preserve"> The oxidized carbon black was collected with 50 mL of water and washed until neutral pH ~6.8 was reached. The washed product was dried overnight under vacuum of which 150 mg was mixed with urea in a mortar (Sigma Aldrich &gt;99%, 1.5 g). </w:t>
      </w:r>
      <w:r w:rsidR="001E3C11" w:rsidRPr="00FF5897">
        <w:rPr>
          <w:rFonts w:ascii="Arial" w:hAnsi="Arial" w:cs="Arial"/>
          <w:sz w:val="24"/>
          <w:lang w:val="en-US"/>
        </w:rPr>
        <w:t xml:space="preserve">The mixture was placed in a ceramic boat and heated to 800 °C in 80 min, kept for 60 min </w:t>
      </w:r>
      <w:r w:rsidR="00953AF3" w:rsidRPr="00FF5897">
        <w:rPr>
          <w:rFonts w:ascii="Arial" w:hAnsi="Arial" w:cs="Arial"/>
          <w:sz w:val="24"/>
          <w:lang w:val="en-US"/>
        </w:rPr>
        <w:t xml:space="preserve">at 800 °C </w:t>
      </w:r>
      <w:r w:rsidR="001E3C11" w:rsidRPr="00FF5897">
        <w:rPr>
          <w:rFonts w:ascii="Arial" w:hAnsi="Arial" w:cs="Arial"/>
          <w:sz w:val="24"/>
          <w:lang w:val="en-US"/>
        </w:rPr>
        <w:t xml:space="preserve">and </w:t>
      </w:r>
      <w:r w:rsidR="00953AF3" w:rsidRPr="00FF5897">
        <w:rPr>
          <w:rFonts w:ascii="Arial" w:hAnsi="Arial" w:cs="Arial"/>
          <w:sz w:val="24"/>
          <w:lang w:val="en-US"/>
        </w:rPr>
        <w:t xml:space="preserve">then </w:t>
      </w:r>
      <w:r w:rsidR="001E3C11" w:rsidRPr="00FF5897">
        <w:rPr>
          <w:rFonts w:ascii="Arial" w:hAnsi="Arial" w:cs="Arial"/>
          <w:sz w:val="24"/>
          <w:lang w:val="en-US"/>
        </w:rPr>
        <w:t xml:space="preserve">cooled naturally to </w:t>
      </w:r>
      <w:proofErr w:type="spellStart"/>
      <w:r w:rsidR="001E3C11" w:rsidRPr="00FF5897">
        <w:rPr>
          <w:rFonts w:ascii="Arial" w:hAnsi="Arial" w:cs="Arial"/>
          <w:sz w:val="24"/>
          <w:lang w:val="en-US"/>
        </w:rPr>
        <w:t>r.t.</w:t>
      </w:r>
      <w:proofErr w:type="spellEnd"/>
      <w:r w:rsidR="001E3C11" w:rsidRPr="00FF5897">
        <w:rPr>
          <w:rFonts w:ascii="Arial" w:hAnsi="Arial" w:cs="Arial"/>
          <w:sz w:val="24"/>
          <w:lang w:val="en-US"/>
        </w:rPr>
        <w:t xml:space="preserve"> all under Ar atmosphere. The 500 mg of NCB-NP were washed and collected with i-</w:t>
      </w:r>
      <w:proofErr w:type="spellStart"/>
      <w:r w:rsidR="001E3C11" w:rsidRPr="00FF5897">
        <w:rPr>
          <w:rFonts w:ascii="Arial" w:hAnsi="Arial" w:cs="Arial"/>
          <w:sz w:val="24"/>
          <w:lang w:val="en-US"/>
        </w:rPr>
        <w:t>PrOH</w:t>
      </w:r>
      <w:proofErr w:type="spellEnd"/>
      <w:r w:rsidR="001E3C11" w:rsidRPr="00FF5897">
        <w:rPr>
          <w:rFonts w:ascii="Arial" w:hAnsi="Arial" w:cs="Arial"/>
          <w:sz w:val="24"/>
          <w:lang w:val="en-US"/>
        </w:rPr>
        <w:t xml:space="preserve"> reaching a concentration of 30 mg mL</w:t>
      </w:r>
      <w:r w:rsidR="001E3C11" w:rsidRPr="00FF5897">
        <w:rPr>
          <w:rFonts w:ascii="Arial" w:hAnsi="Arial" w:cs="Arial"/>
          <w:sz w:val="24"/>
          <w:vertAlign w:val="superscript"/>
          <w:lang w:val="en-US"/>
        </w:rPr>
        <w:t>-1</w:t>
      </w:r>
      <w:r w:rsidR="001E3C11" w:rsidRPr="00FF5897">
        <w:rPr>
          <w:rFonts w:ascii="Arial" w:hAnsi="Arial" w:cs="Arial"/>
          <w:sz w:val="24"/>
          <w:lang w:val="en-US"/>
        </w:rPr>
        <w:t>. Graphene oxide nanoparticles were produced according to a previously reported synthesis (</w:t>
      </w:r>
      <w:r w:rsidR="001E3C11" w:rsidRPr="00FF5897">
        <w:rPr>
          <w:rFonts w:ascii="Arial" w:hAnsi="Arial" w:cs="Arial"/>
          <w:b/>
          <w:sz w:val="24"/>
          <w:lang w:val="en-US"/>
        </w:rPr>
        <w:t>Figure S1D</w:t>
      </w:r>
      <w:r w:rsidR="001E3C11" w:rsidRPr="00FF5897">
        <w:rPr>
          <w:rFonts w:ascii="Arial" w:hAnsi="Arial" w:cs="Arial"/>
          <w:sz w:val="24"/>
          <w:lang w:val="en-US"/>
        </w:rPr>
        <w:t>).</w:t>
      </w:r>
      <w:r w:rsidR="001E3C11"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{"citationID":"JCyeJDXa","properties":{"formattedCitation":"\\super 1\\nosupersub{}","plainCitation":"1","noteIndex":0},"citationItems":[{"id":1756,"uris":["http://zotero.org/users/4941048/items/73CGJ7Q9"],"itemData":{"id":1756,"type":"article-journal","abstract":"Graphene oxide was prepared from graphite using Hummer's method. Pt nanoparticles with 1.8nm in average size are successfully obtained via in-situ Pt nanoparticles deposition onto graphene oxide (GO) using a microwave method, finally resulting in Pt-graphene (Pt-G). Water uptake of GO is increased with GO content in a Nafion/GO composite membrane due to the hydrophilic GO while that of Nafion/Pt-G composite membrane is much lower than that of Nafion/GO composite membrane. The MEAs fabricated with the Nafion/GO composite membrane show significant enhancement in cell performance: that is, 0.802A, 1.27A, 0.827A at 0.6V under 100% relative humidity (RH) for 0.5wt%, 3.0wt% and 4.5wt% of GO content in the composite membrane, respectively, compared to 0.435A for casting Nafion membrane. The Nafion/Pt-G composite membrane, however, does not show sufficient enhancement under various RHs. It is attributed to poor water retention ability of hydrophobic graphene and electron loss due to the formation of electrical network by too much Pt within the membrane. Constant open circuit voltage (OCV) down to low RH indicates that GO and graphene could be prospective as filler in low humidifying polymer electrolyte fuel cell.","container-title":"Journal of Membrane Science","DOI":"10.1016/j.memsci.2013.10.018","ISSN":"0376-7388","journalAbbreviation":"Journal of Membrane Science","language":"en","page":"20-28","source":"ScienceDirect","title":"Nafion/graphene oxide composite membranes for low humidifying polymer electrolyte membrane fuel cell","volume":"452","author":[{"family":"Lee","given":"D. C."},{"family":"Yang","given":"H. N."},{"family":"Park","given":"S. H."},{"family":"Kim","given":"W. J."}],"issued":{"date-parts":[["2014",2,15]]}}}],"schema":"https://github.com/citation-style-language/schema/raw/master/csl-citation.json"} </w:instrText>
      </w:r>
      <w:r w:rsidR="001E3C11" w:rsidRPr="00FF5897">
        <w:rPr>
          <w:rFonts w:ascii="Arial" w:hAnsi="Arial" w:cs="Arial"/>
          <w:sz w:val="24"/>
          <w:lang w:val="en-US"/>
        </w:rPr>
        <w:fldChar w:fldCharType="separate"/>
      </w:r>
      <w:r w:rsidR="001E3C11" w:rsidRPr="00FF5897">
        <w:rPr>
          <w:rFonts w:ascii="Arial" w:hAnsi="Arial" w:cs="Arial"/>
          <w:sz w:val="24"/>
          <w:vertAlign w:val="superscript"/>
        </w:rPr>
        <w:t>1</w:t>
      </w:r>
      <w:r w:rsidR="001E3C11" w:rsidRPr="00FF5897">
        <w:rPr>
          <w:rFonts w:ascii="Arial" w:hAnsi="Arial" w:cs="Arial"/>
          <w:sz w:val="24"/>
          <w:lang w:val="en-US"/>
        </w:rPr>
        <w:fldChar w:fldCharType="end"/>
      </w:r>
    </w:p>
    <w:p w14:paraId="071543B7" w14:textId="77777777" w:rsidR="00266643" w:rsidRPr="00FF5897" w:rsidRDefault="00266643" w:rsidP="00FD4D0D">
      <w:pPr>
        <w:spacing w:after="100" w:afterAutospacing="1" w:line="360" w:lineRule="auto"/>
        <w:jc w:val="both"/>
        <w:rPr>
          <w:rFonts w:ascii="Arial" w:hAnsi="Arial" w:cs="Arial"/>
          <w:b/>
          <w:sz w:val="24"/>
          <w:szCs w:val="24"/>
          <w:lang w:val="en-US"/>
        </w:rPr>
      </w:pPr>
      <w:r w:rsidRPr="00FF5897">
        <w:rPr>
          <w:rFonts w:ascii="Arial" w:hAnsi="Arial" w:cs="Arial"/>
          <w:b/>
          <w:noProof/>
          <w:sz w:val="24"/>
          <w:szCs w:val="24"/>
          <w:lang w:val="en-US"/>
        </w:rPr>
        <w:lastRenderedPageBreak/>
        <w:drawing>
          <wp:inline distT="0" distB="0" distL="0" distR="0" wp14:anchorId="320791CB" wp14:editId="6770E4DF">
            <wp:extent cx="4953000" cy="5191125"/>
            <wp:effectExtent l="0" t="0" r="0" b="9525"/>
            <wp:docPr id="112" name="Picture 112" descr="A picture containing text, screensho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picture containing text, screenshot, map&#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r="6977"/>
                    <a:stretch/>
                  </pic:blipFill>
                  <pic:spPr bwMode="auto">
                    <a:xfrm>
                      <a:off x="0" y="0"/>
                      <a:ext cx="4953000" cy="5191125"/>
                    </a:xfrm>
                    <a:prstGeom prst="rect">
                      <a:avLst/>
                    </a:prstGeom>
                    <a:noFill/>
                    <a:ln>
                      <a:noFill/>
                    </a:ln>
                    <a:extLst>
                      <a:ext uri="{53640926-AAD7-44D8-BBD7-CCE9431645EC}">
                        <a14:shadowObscured xmlns:a14="http://schemas.microsoft.com/office/drawing/2010/main"/>
                      </a:ext>
                    </a:extLst>
                  </pic:spPr>
                </pic:pic>
              </a:graphicData>
            </a:graphic>
          </wp:inline>
        </w:drawing>
      </w:r>
    </w:p>
    <w:p w14:paraId="55D372E9" w14:textId="77777777" w:rsidR="002102F4" w:rsidRPr="00FF5897" w:rsidRDefault="008A6BF1" w:rsidP="00FD4D0D">
      <w:pPr>
        <w:spacing w:after="100" w:afterAutospacing="1" w:line="360" w:lineRule="auto"/>
        <w:jc w:val="both"/>
        <w:rPr>
          <w:rFonts w:ascii="Arial" w:hAnsi="Arial" w:cs="Arial"/>
          <w:lang w:val="fr-CH"/>
        </w:rPr>
      </w:pPr>
      <w:r w:rsidRPr="00FF5897">
        <w:rPr>
          <w:rFonts w:ascii="Arial" w:hAnsi="Arial" w:cs="Arial"/>
          <w:b/>
          <w:lang w:val="en-US"/>
        </w:rPr>
        <w:t>Figure S1</w:t>
      </w:r>
      <w:r w:rsidRPr="00FF5897">
        <w:rPr>
          <w:rFonts w:ascii="Arial" w:hAnsi="Arial" w:cs="Arial"/>
          <w:lang w:val="en-US"/>
        </w:rPr>
        <w:t>. BF-TEM images of the carbonaceous support materials synthesized for cluster immobilization. A-</w:t>
      </w:r>
      <w:r w:rsidR="0062395D" w:rsidRPr="00FF5897">
        <w:rPr>
          <w:rFonts w:ascii="Arial" w:hAnsi="Arial" w:cs="Arial"/>
          <w:lang w:val="en-US"/>
        </w:rPr>
        <w:t>B</w:t>
      </w:r>
      <w:r w:rsidRPr="00FF5897">
        <w:rPr>
          <w:rFonts w:ascii="Arial" w:hAnsi="Arial" w:cs="Arial"/>
          <w:lang w:val="en-US"/>
        </w:rPr>
        <w:t>) Produced via the mechanical route i.e. ball milling that are nitrogen rich: NG-NPs</w:t>
      </w:r>
      <w:r w:rsidR="003F28F0" w:rsidRPr="00FF5897">
        <w:rPr>
          <w:rFonts w:ascii="Arial" w:hAnsi="Arial" w:cs="Arial"/>
          <w:lang w:val="en-US"/>
        </w:rPr>
        <w:fldChar w:fldCharType="begin"/>
      </w:r>
      <w:r w:rsidR="00FD4D0D">
        <w:rPr>
          <w:rFonts w:ascii="Arial" w:hAnsi="Arial" w:cs="Arial"/>
          <w:lang w:val="en-US"/>
        </w:rPr>
        <w:instrText xml:space="preserve"> ADDIN ZOTERO_ITEM CSL_CITATION {"citationID":"5zkt64fZ","properties":{"formattedCitation":"\\super 5\\nosupersub{}","plainCitation":"5","noteIndex":0},"citationItems":[{"id":1374,"uris":["http://zotero.org/users/4941048/items/3HGHT5R8"],"itemData":{"id":1374,"type":"article-journal","abstract":"A doable, low cost, green and scalable method is demonstrated to synthesize N-doped graphene/CNTs composite using humic acid (HA) and urea via ball mill technique. The structural characterizations were investigated by scanning electron microscopy (SEM), Raman spectroscopy, and X-ray diffraction (XRD). SEM investigations reveal a highly porous morphology of the synthesized powder. It was also observed that, some carbon nanotubes were unzipped as well as completely opened CNTs due to the synthesis process. Additionally, this study found that urea and HA crucially impacted synthesis process. N-doping was confirmed by EDX measurements and a remarkable enhancement in surface area was detected using surface area sorption (BET) analyzer. The presented method is very practical and can be scaled up for industrial applications with recyclable materials. By optimizing the preparation conditions, it is possible to achieve a significant impact toward enhancing the desired properties of the synthesized nanocomposite.","container-title":"Ain Shams Engineering Journal","DOI":"10.1016/j.asej.2020.04.011","ISSN":"2090-4479","issue":"1","journalAbbreviation":"Ain Shams Engineering Journal","language":"en","page":"1017-1024","source":"ScienceDirect","title":"Facile and scalable green synthesis of N-doped graphene/CNTs nanocomposites via ball milling","volume":"12","author":[{"family":"Fouda","given":"A. N."},{"family":"Duraia","given":"El Shazly M."},{"family":"Almaqwashi","given":"Ali A."}],"issued":{"date-parts":[["2021",3,1]]}}}],"schema":"https://github.com/citation-style-language/schema/raw/master/csl-citation.json"} </w:instrText>
      </w:r>
      <w:r w:rsidR="003F28F0" w:rsidRPr="00FF5897">
        <w:rPr>
          <w:rFonts w:ascii="Arial" w:hAnsi="Arial" w:cs="Arial"/>
          <w:lang w:val="en-US"/>
        </w:rPr>
        <w:fldChar w:fldCharType="separate"/>
      </w:r>
      <w:r w:rsidR="00E521FB" w:rsidRPr="00FF5897">
        <w:rPr>
          <w:rFonts w:ascii="Arial" w:hAnsi="Arial" w:cs="Arial"/>
          <w:vertAlign w:val="superscript"/>
        </w:rPr>
        <w:t>5</w:t>
      </w:r>
      <w:r w:rsidR="003F28F0" w:rsidRPr="00FF5897">
        <w:rPr>
          <w:rFonts w:ascii="Arial" w:hAnsi="Arial" w:cs="Arial"/>
          <w:lang w:val="en-US"/>
        </w:rPr>
        <w:fldChar w:fldCharType="end"/>
      </w:r>
      <w:r w:rsidRPr="00FF5897">
        <w:rPr>
          <w:rFonts w:ascii="Arial" w:hAnsi="Arial" w:cs="Arial"/>
          <w:lang w:val="en-US"/>
        </w:rPr>
        <w:t>, NMWCNTs</w:t>
      </w:r>
      <w:r w:rsidR="00E521FB" w:rsidRPr="00FF5897">
        <w:rPr>
          <w:rFonts w:ascii="Arial" w:hAnsi="Arial" w:cs="Arial"/>
          <w:lang w:val="en-US"/>
        </w:rPr>
        <w:t>.</w:t>
      </w:r>
      <w:r w:rsidR="003F28F0" w:rsidRPr="00FF5897">
        <w:rPr>
          <w:rFonts w:ascii="Arial" w:hAnsi="Arial" w:cs="Arial"/>
          <w:lang w:val="en-US"/>
        </w:rPr>
        <w:fldChar w:fldCharType="begin"/>
      </w:r>
      <w:r w:rsidR="00FD4D0D">
        <w:rPr>
          <w:rFonts w:ascii="Arial" w:hAnsi="Arial" w:cs="Arial"/>
          <w:lang w:val="en-US"/>
        </w:rPr>
        <w:instrText xml:space="preserve"> ADDIN ZOTERO_ITEM CSL_CITATION {"citationID":"6fozu1H0","properties":{"formattedCitation":"\\super 5\\nosupersub{}","plainCitation":"5","noteIndex":0},"citationItems":[{"id":1374,"uris":["http://zotero.org/users/4941048/items/3HGHT5R8"],"itemData":{"id":1374,"type":"article-journal","abstract":"A doable, low cost, green and scalable method is demonstrated to synthesize N-doped graphene/CNTs composite using humic acid (HA) and urea via ball mill technique. The structural characterizations were investigated by scanning electron microscopy (SEM), Raman spectroscopy, and X-ray diffraction (XRD). SEM investigations reveal a highly porous morphology of the synthesized powder. It was also observed that, some carbon nanotubes were unzipped as well as completely opened CNTs due to the synthesis process. Additionally, this study found that urea and HA crucially impacted synthesis process. N-doping was confirmed by EDX measurements and a remarkable enhancement in surface area was detected using surface area sorption (BET) analyzer. The presented method is very practical and can be scaled up for industrial applications with recyclable materials. By optimizing the preparation conditions, it is possible to achieve a significant impact toward enhancing the desired properties of the synthesized nanocomposite.","container-title":"Ain Shams Engineering Journal","DOI":"10.1016/j.asej.2020.04.011","ISSN":"2090-4479","issue":"1","journalAbbreviation":"Ain Shams Engineering Journal","language":"en","page":"1017-1024","source":"ScienceDirect","title":"Facile and scalable green synthesis of N-doped graphene/CNTs nanocomposites via ball milling","volume":"12","author":[{"family":"Fouda","given":"A. N."},{"family":"Duraia","given":"El Shazly M."},{"family":"Almaqwashi","given":"Ali A."}],"issued":{"date-parts":[["2021",3,1]]}}}],"schema":"https://github.com/citation-style-language/schema/raw/master/csl-citation.json"} </w:instrText>
      </w:r>
      <w:r w:rsidR="003F28F0" w:rsidRPr="00FF5897">
        <w:rPr>
          <w:rFonts w:ascii="Arial" w:hAnsi="Arial" w:cs="Arial"/>
          <w:lang w:val="en-US"/>
        </w:rPr>
        <w:fldChar w:fldCharType="separate"/>
      </w:r>
      <w:r w:rsidR="00E521FB" w:rsidRPr="00FF5897">
        <w:rPr>
          <w:rFonts w:ascii="Arial" w:hAnsi="Arial" w:cs="Arial"/>
          <w:vertAlign w:val="superscript"/>
        </w:rPr>
        <w:t>5</w:t>
      </w:r>
      <w:r w:rsidR="003F28F0" w:rsidRPr="00FF5897">
        <w:rPr>
          <w:rFonts w:ascii="Arial" w:hAnsi="Arial" w:cs="Arial"/>
          <w:lang w:val="en-US"/>
        </w:rPr>
        <w:fldChar w:fldCharType="end"/>
      </w:r>
      <w:r w:rsidR="00106248" w:rsidRPr="00FF5897">
        <w:rPr>
          <w:rFonts w:ascii="Arial" w:hAnsi="Arial" w:cs="Arial"/>
          <w:vertAlign w:val="superscript"/>
          <w:lang w:val="en-US"/>
        </w:rPr>
        <w:t>,</w:t>
      </w:r>
      <w:r w:rsidR="00106248" w:rsidRPr="00FF5897">
        <w:rPr>
          <w:rFonts w:ascii="Arial" w:hAnsi="Arial" w:cs="Arial"/>
          <w:lang w:val="en-US"/>
        </w:rPr>
        <w:fldChar w:fldCharType="begin"/>
      </w:r>
      <w:r w:rsidR="00FD4D0D">
        <w:rPr>
          <w:rFonts w:ascii="Arial" w:hAnsi="Arial" w:cs="Arial"/>
          <w:lang w:val="en-US"/>
        </w:rPr>
        <w:instrText xml:space="preserve"> ADDIN ZOTERO_ITEM CSL_CITATION {"citationID":"yVRer5py","properties":{"formattedCitation":"\\super 6\\nosupersub{}","plainCitation":"6","noteIndex":0},"citationItems":[{"id":1373,"uris":["http://zotero.org/users/4941048/items/R6W4NESC"],"itemData":{"id":1373,"type":"article-journal","abstract":"Nitrogen fixation is essential for the synthesis of many important chemicals (e.g., fertilizers, explosives) and basic building blocks for all forms of life (e.g., nucleotides for DNA and RNA, amino acids for proteins). However, direct nitrogen fixation is challenging as nitrogen (N2) does not easily react with other chemicals. By dry ball-milling graphite with N2, we have discovered a simple, but versatile, scalable and eco-friendly, approach to direct fixation of N2 at the edges of graphene nanoplatelets (GnPs). The mechanochemical cracking of graphitic C−C bonds generated active carbon species that react directly with N2 to form five- and six-membered aromatic rings at the broken edges, leading to solution-processable edge-nitrogenated graphene nanoplatelets (NGnPs) with superb catalytic performance in both dye-sensitized solar cells and fuel cells to replace conventional Pt-based catalysts for energy conversion.","container-title":"Scientific Reports","DOI":"10.1038/srep02260","ISSN":"2045-2322","issue":"1","journalAbbreviation":"Sci Rep","language":"en","license":"2013 The Author(s)","note":"Bandiera_abtest: a\nCc_license_type: cc_y\nCg_type: Nature Research Journals\nnumber: 1\nPrimary_atype: Research\npublisher: Nature Publishing Group\nSubject_term: Catalyst synthesis;Electrocatalysis;Photocatalysis;Synthesis of graphene\nSubject_term_id: catalyst-synthesis;electrocatalysis;photocatalysis;synthesis-of-graphene","page":"2260","source":"www.nature.com","title":"Direct nitrogen fixation at the edges of graphene nanoplatelets as efficient electrocatalysts for energy conversion","volume":"3","author":[{"family":"Jeon","given":"In-Yup"},{"family":"Choi","given":"Hyun-Jung"},{"family":"Ju","given":"Myung Jong"},{"family":"Choi","given":"In Taek"},{"family":"Lim","given":"Kimin"},{"family":"Ko","given":"Jaejung"},{"family":"Kim","given":"Hwan Kyu"},{"family":"Kim","given":"Jae Cheon"},{"family":"Lee","given":"Jae-Joon"},{"family":"Shin","given":"Dongbin"},{"family":"Jung","given":"Sun-Min"},{"family":"Seo","given":"Jeong-Min"},{"family":"Kim","given":"Min-Jung"},{"family":"Park","given":"Noejung"},{"family":"Dai","given":"Liming"},{"family":"Baek","given":"Jong-Beom"}],"issued":{"date-parts":[["2013",7,23]]}}}],"schema":"https://github.com/citation-style-language/schema/raw/master/csl-citation.json"} </w:instrText>
      </w:r>
      <w:r w:rsidR="00106248" w:rsidRPr="00FF5897">
        <w:rPr>
          <w:rFonts w:ascii="Arial" w:hAnsi="Arial" w:cs="Arial"/>
          <w:lang w:val="en-US"/>
        </w:rPr>
        <w:fldChar w:fldCharType="separate"/>
      </w:r>
      <w:r w:rsidR="00E521FB" w:rsidRPr="00FF5897">
        <w:rPr>
          <w:rFonts w:ascii="Arial" w:hAnsi="Arial" w:cs="Arial"/>
          <w:vertAlign w:val="superscript"/>
        </w:rPr>
        <w:t>6</w:t>
      </w:r>
      <w:r w:rsidR="00106248" w:rsidRPr="00FF5897">
        <w:rPr>
          <w:rFonts w:ascii="Arial" w:hAnsi="Arial" w:cs="Arial"/>
          <w:lang w:val="en-US"/>
        </w:rPr>
        <w:fldChar w:fldCharType="end"/>
      </w:r>
      <w:r w:rsidR="002102F4" w:rsidRPr="00FF5897">
        <w:rPr>
          <w:rFonts w:ascii="Arial" w:hAnsi="Arial" w:cs="Arial"/>
          <w:lang w:val="en-US"/>
        </w:rPr>
        <w:t xml:space="preserve"> </w:t>
      </w:r>
      <w:r w:rsidR="00E521FB" w:rsidRPr="00FF5897">
        <w:rPr>
          <w:rFonts w:ascii="Arial" w:hAnsi="Arial" w:cs="Arial"/>
          <w:lang w:val="en-US"/>
        </w:rPr>
        <w:t>C</w:t>
      </w:r>
      <w:r w:rsidR="002102F4" w:rsidRPr="00FF5897">
        <w:rPr>
          <w:rFonts w:ascii="Arial" w:hAnsi="Arial" w:cs="Arial"/>
          <w:lang w:val="en-US"/>
        </w:rPr>
        <w:t>-</w:t>
      </w:r>
      <w:r w:rsidR="00E521FB" w:rsidRPr="00FF5897">
        <w:rPr>
          <w:rFonts w:ascii="Arial" w:hAnsi="Arial" w:cs="Arial"/>
          <w:lang w:val="en-US"/>
        </w:rPr>
        <w:t>D</w:t>
      </w:r>
      <w:r w:rsidR="002102F4" w:rsidRPr="00FF5897">
        <w:rPr>
          <w:rFonts w:ascii="Arial" w:hAnsi="Arial" w:cs="Arial"/>
          <w:lang w:val="en-US"/>
        </w:rPr>
        <w:t>) Produced via chemical routes i.e. pyrolysis and oxidation</w:t>
      </w:r>
      <w:r w:rsidR="003F28F0" w:rsidRPr="00FF5897">
        <w:rPr>
          <w:rFonts w:ascii="Arial" w:hAnsi="Arial" w:cs="Arial"/>
          <w:lang w:val="en-US"/>
        </w:rPr>
        <w:t>: NCB-NPs</w:t>
      </w:r>
      <w:r w:rsidR="003F28F0" w:rsidRPr="00FF5897">
        <w:rPr>
          <w:rFonts w:ascii="Arial" w:hAnsi="Arial" w:cs="Arial"/>
          <w:lang w:val="en-US"/>
        </w:rPr>
        <w:fldChar w:fldCharType="begin"/>
      </w:r>
      <w:r w:rsidR="00FD4D0D">
        <w:rPr>
          <w:rFonts w:ascii="Arial" w:hAnsi="Arial" w:cs="Arial"/>
          <w:lang w:val="en-US"/>
        </w:rPr>
        <w:instrText xml:space="preserve"> ADDIN ZOTERO_ITEM CSL_CITATION {"citationID":"44uHSVIp","properties":{"formattedCitation":"\\super 4\\nosupersub{}","plainCitation":"4","noteIndex":0},"citationItems":[{"id":1755,"uris":["http://zotero.org/users/4941048/items/IAD77I39"],"itemData":{"id":1755,"type":"article-journal","abstract":"The electrochemical reduction reaction of carbon dioxide (CO2RR) to carbon monoxide (CO) is the basis for the further synthesis of more complex carbon-based fuels or attractive feedstock. Single-atom catalysts have unique electronic and geometric structures with respect to their bulk counterparts, thus exhibiting unexpected catalytic activities. A nitrogen-anchored Zn single-atom catalyst is presented for CO formation from CO2RR with high catalytic activity (onset overpotential down to 24 mV), high selectivity (Faradaic efficiency for CO (FECO) up to 95 % at −0.43 V), remarkable durability (&gt;75 h without decay of FECO), and large turnover frequency (TOF, up to 9969 h−1). Further experimental and DFT results indicate that the four-nitrogen-anchored Zn single atom (Zn-N4) is the main active site for CO2RR with low free energy barrier for the formation of *COOH as the rate-limiting step.","container-title":"Angewandte Chemie International Edition","DOI":"10.1002/anie.201805871","ISSN":"1521-3773","issue":"38","language":"en","note":"_eprint: https://onlinelibrary.wiley.com/doi/pdf/10.1002/anie.201805871","page":"12303-12307","source":"Wiley Online Library","title":"Highly Efficient CO2 Electroreduction on ZnN4-based Single-Atom Catalyst","volume":"57","author":[{"family":"Yang","given":"Fa"},{"family":"Song","given":"Ping"},{"family":"Liu","given":"Xiaozhi"},{"family":"Mei","given":"Bingbao"},{"family":"Xing","given":"Wei"},{"family":"Jiang","given":"Zheng"},{"family":"Gu","given":"Lin"},{"family":"Xu","given":"Weilin"}],"issued":{"date-parts":[["2018"]]}}}],"schema":"https://github.com/citation-style-language/schema/raw/master/csl-citation.json"} </w:instrText>
      </w:r>
      <w:r w:rsidR="003F28F0" w:rsidRPr="00FF5897">
        <w:rPr>
          <w:rFonts w:ascii="Arial" w:hAnsi="Arial" w:cs="Arial"/>
          <w:lang w:val="en-US"/>
        </w:rPr>
        <w:fldChar w:fldCharType="separate"/>
      </w:r>
      <w:r w:rsidR="00E521FB" w:rsidRPr="00FF5897">
        <w:rPr>
          <w:rFonts w:ascii="Arial" w:hAnsi="Arial" w:cs="Arial"/>
          <w:vertAlign w:val="superscript"/>
        </w:rPr>
        <w:t>4</w:t>
      </w:r>
      <w:r w:rsidR="003F28F0" w:rsidRPr="00FF5897">
        <w:rPr>
          <w:rFonts w:ascii="Arial" w:hAnsi="Arial" w:cs="Arial"/>
          <w:lang w:val="en-US"/>
        </w:rPr>
        <w:fldChar w:fldCharType="end"/>
      </w:r>
      <w:r w:rsidR="003F28F0" w:rsidRPr="00FF5897">
        <w:rPr>
          <w:rFonts w:ascii="Arial" w:hAnsi="Arial" w:cs="Arial"/>
          <w:lang w:val="en-US"/>
        </w:rPr>
        <w:t xml:space="preserve"> and GO-NPs</w:t>
      </w:r>
      <w:r w:rsidR="003F28F0" w:rsidRPr="00FF5897">
        <w:rPr>
          <w:rFonts w:ascii="Arial" w:hAnsi="Arial" w:cs="Arial"/>
          <w:lang w:val="en-US"/>
        </w:rPr>
        <w:fldChar w:fldCharType="begin"/>
      </w:r>
      <w:r w:rsidR="00FD4D0D">
        <w:rPr>
          <w:rFonts w:ascii="Arial" w:hAnsi="Arial" w:cs="Arial"/>
          <w:lang w:val="en-US"/>
        </w:rPr>
        <w:instrText xml:space="preserve"> ADDIN ZOTERO_ITEM CSL_CITATION {"citationID":"XhejUyGg","properties":{"formattedCitation":"\\super 1\\nosupersub{}","plainCitation":"1","noteIndex":0},"citationItems":[{"id":1756,"uris":["http://zotero.org/users/4941048/items/73CGJ7Q9"],"itemData":{"id":1756,"type":"article-journal","abstract":"Graphene oxide was prepared from graphite using Hummer's method. Pt nanoparticles with 1.8nm in average size are successfully obtained via in-situ Pt nanoparticles deposition onto graphene oxide (GO) using a microwave method, finally resulting in Pt-graphene (Pt-G). Water uptake of GO is increased with GO content in a Nafion/GO composite membrane due to the hydrophilic GO while that of Nafion/Pt-G composite membrane is much lower than that of Nafion/GO composite membrane. The MEAs fabricated with the Nafion/GO composite membrane show significant enhancement in cell performance: that is, 0.802A, 1.27A, 0.827A at 0.6V under 100% relative humidity (RH) for 0.5wt%, 3.0wt% and 4.5wt% of GO content in the composite membrane, respectively, compared to 0.435A for casting Nafion membrane. The Nafion/Pt-G composite membrane, however, does not show sufficient enhancement under various RHs. It is attributed to poor water retention ability of hydrophobic graphene and electron loss due to the formation of electrical network by too much Pt within the membrane. Constant open circuit voltage (OCV) down to low RH indicates that GO and graphene could be prospective as filler in low humidifying polymer electrolyte fuel cell.","container-title":"Journal of Membrane Science","DOI":"10.1016/j.memsci.2013.10.018","ISSN":"0376-7388","journalAbbreviation":"Journal of Membrane Science","language":"en","page":"20-28","source":"ScienceDirect","title":"Nafion/graphene oxide composite membranes for low humidifying polymer electrolyte membrane fuel cell","volume":"452","author":[{"family":"Lee","given":"D. C."},{"family":"Yang","given":"H. N."},{"family":"Park","given":"S. H."},{"family":"Kim","given":"W. J."}],"issued":{"date-parts":[["2014",2,15]]}}}],"schema":"https://github.com/citation-style-language/schema/raw/master/csl-citation.json"} </w:instrText>
      </w:r>
      <w:r w:rsidR="003F28F0" w:rsidRPr="00FF5897">
        <w:rPr>
          <w:rFonts w:ascii="Arial" w:hAnsi="Arial" w:cs="Arial"/>
          <w:lang w:val="en-US"/>
        </w:rPr>
        <w:fldChar w:fldCharType="separate"/>
      </w:r>
      <w:r w:rsidR="002775F3" w:rsidRPr="00FF5897">
        <w:rPr>
          <w:rFonts w:ascii="Arial" w:hAnsi="Arial" w:cs="Arial"/>
          <w:vertAlign w:val="superscript"/>
        </w:rPr>
        <w:t>1</w:t>
      </w:r>
      <w:r w:rsidR="003F28F0" w:rsidRPr="00FF5897">
        <w:rPr>
          <w:rFonts w:ascii="Arial" w:hAnsi="Arial" w:cs="Arial"/>
          <w:lang w:val="en-US"/>
        </w:rPr>
        <w:fldChar w:fldCharType="end"/>
      </w:r>
      <w:r w:rsidR="003F28F0" w:rsidRPr="00FF5897">
        <w:rPr>
          <w:rFonts w:ascii="Arial" w:hAnsi="Arial" w:cs="Arial"/>
          <w:lang w:val="en-US"/>
        </w:rPr>
        <w:t>, respectively</w:t>
      </w:r>
      <w:r w:rsidR="002102F4" w:rsidRPr="00FF5897">
        <w:rPr>
          <w:rFonts w:ascii="Arial" w:hAnsi="Arial" w:cs="Arial"/>
          <w:lang w:val="en-US"/>
        </w:rPr>
        <w:t xml:space="preserve">. A) N-edge functionalized graphene nanoparticles. B) N-edge functionalized multiwalled carbon nanotubes. </w:t>
      </w:r>
      <w:r w:rsidR="002102F4" w:rsidRPr="00FF5897">
        <w:rPr>
          <w:rFonts w:ascii="Arial" w:hAnsi="Arial" w:cs="Arial"/>
          <w:lang w:val="fr-CH"/>
        </w:rPr>
        <w:t>C) N-</w:t>
      </w:r>
      <w:proofErr w:type="spellStart"/>
      <w:r w:rsidR="002102F4" w:rsidRPr="00FF5897">
        <w:rPr>
          <w:rFonts w:ascii="Arial" w:hAnsi="Arial" w:cs="Arial"/>
          <w:lang w:val="fr-CH"/>
        </w:rPr>
        <w:t>doped</w:t>
      </w:r>
      <w:proofErr w:type="spellEnd"/>
      <w:r w:rsidR="002102F4" w:rsidRPr="00FF5897">
        <w:rPr>
          <w:rFonts w:ascii="Arial" w:hAnsi="Arial" w:cs="Arial"/>
          <w:lang w:val="fr-CH"/>
        </w:rPr>
        <w:t xml:space="preserve"> </w:t>
      </w:r>
      <w:proofErr w:type="spellStart"/>
      <w:r w:rsidR="002102F4" w:rsidRPr="00FF5897">
        <w:rPr>
          <w:rFonts w:ascii="Arial" w:hAnsi="Arial" w:cs="Arial"/>
          <w:lang w:val="fr-CH"/>
        </w:rPr>
        <w:t>carbon</w:t>
      </w:r>
      <w:proofErr w:type="spellEnd"/>
      <w:r w:rsidR="002102F4" w:rsidRPr="00FF5897">
        <w:rPr>
          <w:rFonts w:ascii="Arial" w:hAnsi="Arial" w:cs="Arial"/>
          <w:lang w:val="fr-CH"/>
        </w:rPr>
        <w:t xml:space="preserve"> black</w:t>
      </w:r>
      <w:r w:rsidR="00713BC3" w:rsidRPr="00FF5897">
        <w:rPr>
          <w:rFonts w:ascii="Arial" w:hAnsi="Arial" w:cs="Arial"/>
          <w:lang w:val="fr-CH"/>
        </w:rPr>
        <w:t xml:space="preserve"> </w:t>
      </w:r>
      <w:proofErr w:type="spellStart"/>
      <w:r w:rsidR="00713BC3" w:rsidRPr="00FF5897">
        <w:rPr>
          <w:rFonts w:ascii="Arial" w:hAnsi="Arial" w:cs="Arial"/>
          <w:lang w:val="fr-CH"/>
        </w:rPr>
        <w:t>nanoparticles</w:t>
      </w:r>
      <w:proofErr w:type="spellEnd"/>
      <w:r w:rsidR="002102F4" w:rsidRPr="00FF5897">
        <w:rPr>
          <w:rFonts w:ascii="Arial" w:hAnsi="Arial" w:cs="Arial"/>
          <w:lang w:val="fr-CH"/>
        </w:rPr>
        <w:t xml:space="preserve">. </w:t>
      </w:r>
      <w:r w:rsidR="00E521FB" w:rsidRPr="00FF5897">
        <w:rPr>
          <w:rFonts w:ascii="Arial" w:hAnsi="Arial" w:cs="Arial"/>
          <w:lang w:val="fr-CH"/>
        </w:rPr>
        <w:t>D</w:t>
      </w:r>
      <w:r w:rsidR="002102F4" w:rsidRPr="00FF5897">
        <w:rPr>
          <w:rFonts w:ascii="Arial" w:hAnsi="Arial" w:cs="Arial"/>
          <w:lang w:val="fr-CH"/>
        </w:rPr>
        <w:t xml:space="preserve">) Graphene oxide </w:t>
      </w:r>
      <w:proofErr w:type="spellStart"/>
      <w:r w:rsidR="002102F4" w:rsidRPr="00FF5897">
        <w:rPr>
          <w:rFonts w:ascii="Arial" w:hAnsi="Arial" w:cs="Arial"/>
          <w:lang w:val="fr-CH"/>
        </w:rPr>
        <w:t>nanoparticles</w:t>
      </w:r>
      <w:proofErr w:type="spellEnd"/>
      <w:r w:rsidR="002102F4" w:rsidRPr="00FF5897">
        <w:rPr>
          <w:rFonts w:ascii="Arial" w:hAnsi="Arial" w:cs="Arial"/>
          <w:lang w:val="fr-CH"/>
        </w:rPr>
        <w:t xml:space="preserve">. </w:t>
      </w:r>
    </w:p>
    <w:p w14:paraId="2BEC2DA9" w14:textId="77777777" w:rsidR="001068FF" w:rsidRPr="00FF5897" w:rsidRDefault="00764955" w:rsidP="00FD4D0D">
      <w:pPr>
        <w:spacing w:after="100" w:afterAutospacing="1" w:line="360" w:lineRule="auto"/>
        <w:jc w:val="both"/>
        <w:rPr>
          <w:rFonts w:ascii="Arial" w:hAnsi="Arial" w:cs="Arial"/>
          <w:sz w:val="32"/>
          <w:lang w:val="en-US"/>
        </w:rPr>
      </w:pPr>
      <w:r w:rsidRPr="00FF5897">
        <w:rPr>
          <w:rFonts w:ascii="Arial" w:hAnsi="Arial" w:cs="Arial"/>
          <w:sz w:val="32"/>
          <w:lang w:val="en-US"/>
        </w:rPr>
        <w:t>Note S</w:t>
      </w:r>
      <w:r w:rsidR="00C645AB" w:rsidRPr="00FF5897">
        <w:rPr>
          <w:rFonts w:ascii="Arial" w:hAnsi="Arial" w:cs="Arial"/>
          <w:sz w:val="32"/>
          <w:lang w:val="en-US"/>
        </w:rPr>
        <w:t>2</w:t>
      </w:r>
      <w:r w:rsidRPr="00FF5897">
        <w:rPr>
          <w:rFonts w:ascii="Arial" w:hAnsi="Arial" w:cs="Arial"/>
          <w:sz w:val="32"/>
          <w:lang w:val="en-US"/>
        </w:rPr>
        <w:t>. Experimental part related to cluster production</w:t>
      </w:r>
    </w:p>
    <w:p w14:paraId="1EA07E25" w14:textId="1FF92F92" w:rsidR="002B27CE" w:rsidRPr="00FF5897" w:rsidRDefault="00764955" w:rsidP="00FD4D0D">
      <w:pPr>
        <w:spacing w:after="100" w:afterAutospacing="1" w:line="360" w:lineRule="auto"/>
        <w:jc w:val="both"/>
        <w:rPr>
          <w:rFonts w:ascii="Arial" w:hAnsi="Arial" w:cs="Arial"/>
          <w:sz w:val="24"/>
          <w:lang w:val="en-US"/>
        </w:rPr>
      </w:pPr>
      <w:r w:rsidRPr="00FF5897">
        <w:rPr>
          <w:rFonts w:ascii="Arial" w:hAnsi="Arial" w:cs="Arial"/>
          <w:sz w:val="24"/>
          <w:lang w:val="en-US"/>
        </w:rPr>
        <w:t xml:space="preserve">In order to achieve a scalable synthesis of metal oxide clusters of controllable size, composition and (surface) loading, we investigated the production of </w:t>
      </w:r>
      <w:r w:rsidR="00B166C3" w:rsidRPr="00FF5897">
        <w:rPr>
          <w:rFonts w:ascii="Arial" w:hAnsi="Arial" w:cs="Arial"/>
          <w:sz w:val="24"/>
          <w:lang w:val="en-US"/>
        </w:rPr>
        <w:t>metal</w:t>
      </w:r>
      <w:r w:rsidRPr="00FF5897">
        <w:rPr>
          <w:rFonts w:ascii="Arial" w:hAnsi="Arial" w:cs="Arial"/>
          <w:sz w:val="24"/>
          <w:lang w:val="en-US"/>
        </w:rPr>
        <w:t xml:space="preserve"> oxide clusters via spark ablation</w:t>
      </w:r>
      <w:r w:rsidR="00B166C3" w:rsidRPr="00FF5897">
        <w:rPr>
          <w:rFonts w:ascii="Arial" w:hAnsi="Arial" w:cs="Arial"/>
          <w:sz w:val="24"/>
          <w:lang w:val="en-US"/>
        </w:rPr>
        <w:t>, in which two metal electrodes of arbitrary composition are ablated via a spark generated plasma (</w:t>
      </w:r>
      <w:r w:rsidR="00720BC7" w:rsidRPr="00FF5897">
        <w:rPr>
          <w:rFonts w:ascii="Arial" w:hAnsi="Arial" w:cs="Arial"/>
          <w:sz w:val="24"/>
          <w:lang w:val="en-US"/>
        </w:rPr>
        <w:t>&gt;</w:t>
      </w:r>
      <w:r w:rsidR="00443744">
        <w:rPr>
          <w:rFonts w:ascii="Arial" w:hAnsi="Arial" w:cs="Arial"/>
          <w:sz w:val="24"/>
          <w:lang w:val="en-US"/>
        </w:rPr>
        <w:t>20</w:t>
      </w:r>
      <w:r w:rsidR="00720BC7" w:rsidRPr="00FF5897">
        <w:rPr>
          <w:rFonts w:ascii="Arial" w:hAnsi="Arial" w:cs="Arial"/>
          <w:sz w:val="24"/>
          <w:lang w:val="en-US"/>
        </w:rPr>
        <w:t xml:space="preserve">000 K, </w:t>
      </w:r>
      <w:r w:rsidR="00B166C3" w:rsidRPr="00FF5897">
        <w:rPr>
          <w:rFonts w:ascii="Arial" w:hAnsi="Arial" w:cs="Arial"/>
          <w:sz w:val="24"/>
          <w:lang w:val="en-US"/>
        </w:rPr>
        <w:t>Ar) to produce particles in the aerosol.</w:t>
      </w:r>
      <w:r w:rsidR="00904985" w:rsidRPr="00FF5897">
        <w:rPr>
          <w:rFonts w:ascii="Arial" w:hAnsi="Arial" w:cs="Arial"/>
          <w:sz w:val="24"/>
        </w:rPr>
        <w:fldChar w:fldCharType="begin"/>
      </w:r>
      <w:r w:rsidR="00FD4D0D">
        <w:rPr>
          <w:rFonts w:ascii="Arial" w:hAnsi="Arial" w:cs="Arial"/>
          <w:sz w:val="24"/>
          <w:lang w:val="en-US"/>
        </w:rPr>
        <w:instrText xml:space="preserve"> ADDIN ZOTERO_ITEM CSL_CITATION {"citationID":"bruC8oxB","properties":{"formattedCitation":"\\super 7\\nosupersub{}","plainCitation":"7","noteIndex":0},"citationItems":[{"id":1395,"uris":["http://zotero.org/users/4941048/items/GNS9E3I4"],"itemData":{"id":1395,"type":"article-journal","abstract":"An aerosol generator producing particles of any desired mobility equivalent radius, and conducting material has been developed. Particles are formed by electrode atomization in a spark discharge. A high yield of charged particles enables generation of high concentration (&gt; 105cm−3) monodisperse aerosols using electrostatic classification. In order to obtain non-agglomerated particles, the aerosol can be turbulently diluted at the region of particle formation by gas injection through a nozzle. Charged gold particles in the atomic cluster size range (1.3 nm) have been produced in a concentration of 3 × 105cm−3.","container-title":"Journal of Aerosol Science","DOI":"10.1016/0021-8502(88)90215-7","ISSN":"0021-8502","issue":"5","journalAbbreviation":"Journal of Aerosol Science","language":"en","page":"639-642","source":"ScienceDirect","title":"Aerosol generation by spark discharge","volume":"19","author":[{"family":"Schwyn","given":"S"},{"family":"Garwin","given":"E"},{"family":"Schmidt-Ott","given":"A"}],"issued":{"date-parts":[["1988",10,1]]}}}],"schema":"https://github.com/citation-style-language/schema/raw/master/csl-citation.json"} </w:instrText>
      </w:r>
      <w:r w:rsidR="00904985" w:rsidRPr="00FF5897">
        <w:rPr>
          <w:rFonts w:ascii="Arial" w:hAnsi="Arial" w:cs="Arial"/>
          <w:sz w:val="24"/>
        </w:rPr>
        <w:fldChar w:fldCharType="separate"/>
      </w:r>
      <w:r w:rsidR="001E3C11" w:rsidRPr="00FF5897">
        <w:rPr>
          <w:rFonts w:ascii="Arial" w:hAnsi="Arial" w:cs="Arial"/>
          <w:sz w:val="24"/>
          <w:vertAlign w:val="superscript"/>
        </w:rPr>
        <w:t>7</w:t>
      </w:r>
      <w:r w:rsidR="00904985" w:rsidRPr="00FF5897">
        <w:rPr>
          <w:rFonts w:ascii="Arial" w:hAnsi="Arial" w:cs="Arial"/>
          <w:sz w:val="24"/>
        </w:rPr>
        <w:fldChar w:fldCharType="end"/>
      </w:r>
      <w:r w:rsidR="00B166C3" w:rsidRPr="00FF5897">
        <w:rPr>
          <w:rFonts w:ascii="Arial" w:hAnsi="Arial" w:cs="Arial"/>
          <w:sz w:val="24"/>
          <w:vertAlign w:val="superscript"/>
          <w:lang w:val="en-US"/>
        </w:rPr>
        <w:t>,</w:t>
      </w:r>
      <w:r w:rsidR="00B166C3" w:rsidRPr="00FF5897">
        <w:rPr>
          <w:rFonts w:ascii="Arial" w:hAnsi="Arial" w:cs="Arial"/>
          <w:sz w:val="24"/>
        </w:rPr>
        <w:fldChar w:fldCharType="begin"/>
      </w:r>
      <w:r w:rsidR="00FD4D0D">
        <w:rPr>
          <w:rFonts w:ascii="Arial" w:hAnsi="Arial" w:cs="Arial"/>
          <w:sz w:val="24"/>
          <w:vertAlign w:val="superscript"/>
          <w:lang w:val="en-US"/>
        </w:rPr>
        <w:instrText xml:space="preserve"> ADDIN ZOTERO_ITEM CSL_CITATION {"citationID":"vd3nisng","properties":{"formattedCitation":"\\super 8\\nosupersub{}","plainCitation":"8","noteIndex":0},"citationItems":[{"id":1718,"uris":["http://zotero.org/users/4941048/items/WCKWKUM7"],"itemData":{"id":1718,"type":"article-journal","abstract":"The glowing wire represents a clean method of producing particles from a few nanometers to some tens of nanometers in diameter. An empirical rule is derived, identifying the materials, for which the method is applicable. A fraction of the particles is already charged at an efficiency comparable to radioactive chargers. This allows the direct use for mobility size classification and deposition without any further charging step. By applying a potential difference to the wire with respect to the housing, the charged particle yield can be increased by almost two orders of magnitude. Downstream of a mobility classifier a maximum concentration as high as 106cm-3 was reached. The generator shows excellent long-term stability.","container-title":"Journal of Aerosol Science","DOI":"10.1016/j.jaerosci.2006.06.006","ISSN":"0021-8502","issue":"12","journalAbbreviation":"Journal of Aerosol Science","language":"en","page":"1651-1661","source":"ScienceDirect","title":"Using a glowing wire generator for production of charged, uniformly sized nanoparticles at high concentrations","volume":"37","author":[{"family":"Peineke","given":"C."},{"family":"Attoui","given":"M. B."},{"family":"Schmidt-Ott","given":"A."}],"issued":{"date-parts":[["2006",12,1]]}}}],"schema":"https://github.com/citation-style-language/schema/raw/master/csl-citation.json"} </w:instrText>
      </w:r>
      <w:r w:rsidR="00B166C3" w:rsidRPr="00FF5897">
        <w:rPr>
          <w:rFonts w:ascii="Arial" w:hAnsi="Arial" w:cs="Arial"/>
          <w:sz w:val="24"/>
        </w:rPr>
        <w:fldChar w:fldCharType="separate"/>
      </w:r>
      <w:r w:rsidR="001E3C11" w:rsidRPr="00FF5897">
        <w:rPr>
          <w:rFonts w:ascii="Arial" w:hAnsi="Arial" w:cs="Arial"/>
          <w:sz w:val="24"/>
          <w:vertAlign w:val="superscript"/>
        </w:rPr>
        <w:t>8</w:t>
      </w:r>
      <w:r w:rsidR="00B166C3" w:rsidRPr="00FF5897">
        <w:rPr>
          <w:rFonts w:ascii="Arial" w:hAnsi="Arial" w:cs="Arial"/>
          <w:sz w:val="24"/>
        </w:rPr>
        <w:fldChar w:fldCharType="end"/>
      </w:r>
      <w:r w:rsidR="00B166C3" w:rsidRPr="00FF5897">
        <w:rPr>
          <w:rFonts w:ascii="Arial" w:hAnsi="Arial" w:cs="Arial"/>
          <w:sz w:val="24"/>
          <w:vertAlign w:val="superscript"/>
          <w:lang w:val="en-US"/>
        </w:rPr>
        <w:t>,</w:t>
      </w:r>
      <w:r w:rsidR="00B166C3" w:rsidRPr="00FF5897">
        <w:rPr>
          <w:rFonts w:ascii="Arial" w:hAnsi="Arial" w:cs="Arial"/>
          <w:sz w:val="24"/>
        </w:rPr>
        <w:fldChar w:fldCharType="begin"/>
      </w:r>
      <w:r w:rsidR="00FD4D0D">
        <w:rPr>
          <w:rFonts w:ascii="Arial" w:hAnsi="Arial" w:cs="Arial"/>
          <w:sz w:val="24"/>
          <w:vertAlign w:val="superscript"/>
          <w:lang w:val="en-US"/>
        </w:rPr>
        <w:instrText xml:space="preserve"> ADDIN ZOTERO_ITEM CSL_CITATION {"citationID":"B4GzBemY","properties":{"formattedCitation":"\\super 9\\nosupersub{}","plainCitation":"9","noteIndex":0},"citationItems":[{"id":1136,"uris":["http://zotero.org/users/4941048/items/Z6W534MB"],"itemData":{"id":1136,"type":"article-journal","abstract":"The increasing need for engineered alloy nanoparticles (NPs) in diverse fields has spurred efforts to explore efficient/green synthesis methods. In this respect, spark ablation provides a scalable and viable way for producing widely different types of mixed NPs. Most importantly, implementation of the spark has the great advantage to combine a wider range of materials, thereby allowing the synthesis of mixed NPs with virtually unlimited combinations. Here we show that polarity reversal of spark discharges between two electrodes consisting of different materials enables synthesis of alloy NPs, while having a good potential to control the broadness of their composition distribution. A model developed in this work provides a tool for tuning the ablation ratio between the electrodes by adjusting the electric characteristics of the spark circuit. The ablation ratio is equal to the mean composition of the resulting NPs. The model predictions are in accordance with measurements obtained here and in earlier works. The unique way of producing alloy NPs by spark ablation shown in this work becomes especially useful when the starting electrode materials are immiscible at macroscopic scale.Copyright © 2018 American Association for Aerosol Research","container-title":"Aerosol Science and Technology","DOI":"10.1080/02786826.2018.1427852","ISSN":"0278-6826","issue":"5","note":"publisher: Taylor &amp; Francis\n_eprint: https://doi.org/10.1080/02786826.2018.1427852","page":"505-514","source":"Taylor and Francis+NEJM","title":"Internally mixed nanoparticles from oscillatory spark ablation between electrodes of different materials","volume":"52","author":[{"family":"Feng","given":"Jicheng"},{"family":"Ramlawi","given":"Nabil"},{"family":"Biskos","given":"George"},{"family":"Schmidt-Ott","given":"Andreas"}],"issued":{"date-parts":[["2018",5,4]]}}}],"schema":"https://github.com/citation-style-language/schema/raw/master/csl-citation.json"} </w:instrText>
      </w:r>
      <w:r w:rsidR="00B166C3" w:rsidRPr="00FF5897">
        <w:rPr>
          <w:rFonts w:ascii="Arial" w:hAnsi="Arial" w:cs="Arial"/>
          <w:sz w:val="24"/>
        </w:rPr>
        <w:fldChar w:fldCharType="separate"/>
      </w:r>
      <w:r w:rsidR="001E3C11" w:rsidRPr="00FF5897">
        <w:rPr>
          <w:rFonts w:ascii="Arial" w:hAnsi="Arial" w:cs="Arial"/>
          <w:sz w:val="24"/>
          <w:vertAlign w:val="superscript"/>
        </w:rPr>
        <w:t>9</w:t>
      </w:r>
      <w:r w:rsidR="00B166C3" w:rsidRPr="00FF5897">
        <w:rPr>
          <w:rFonts w:ascii="Arial" w:hAnsi="Arial" w:cs="Arial"/>
          <w:sz w:val="24"/>
        </w:rPr>
        <w:fldChar w:fldCharType="end"/>
      </w:r>
      <w:r w:rsidR="00B166C3" w:rsidRPr="00FF5897">
        <w:rPr>
          <w:rFonts w:ascii="Arial" w:hAnsi="Arial" w:cs="Arial"/>
          <w:sz w:val="24"/>
          <w:vertAlign w:val="superscript"/>
          <w:lang w:val="en-US"/>
        </w:rPr>
        <w:t>,</w:t>
      </w:r>
      <w:r w:rsidR="00B166C3" w:rsidRPr="00FF5897">
        <w:rPr>
          <w:rFonts w:ascii="Arial" w:hAnsi="Arial" w:cs="Arial"/>
          <w:sz w:val="24"/>
        </w:rPr>
        <w:fldChar w:fldCharType="begin"/>
      </w:r>
      <w:r w:rsidR="00FD4D0D">
        <w:rPr>
          <w:rFonts w:ascii="Arial" w:hAnsi="Arial" w:cs="Arial"/>
          <w:sz w:val="24"/>
          <w:vertAlign w:val="superscript"/>
          <w:lang w:val="en-US"/>
        </w:rPr>
        <w:instrText xml:space="preserve"> ADDIN ZOTERO_ITEM CSL_CITATION {"citationID":"V45arPC0","properties":{"formattedCitation":"\\super 10\\nosupersub{}","plainCitation":"10","noteIndex":0},"citationItems":[{"id":1132,"uris":["http://zotero.org/users/4941048/items/B3B6HFW4"],"itemData":{"id":1132,"type":"article-journal","container-title":"Matter","DOI":"10.1016/j.matt.2020.07.027","ISSN":"25902385","issue":"5","journalAbbreviation":"Matter","language":"en","page":"1646-1663","source":"DOI.org (Crossref)","title":"Unconventional Alloys Confined in Nanoparticles: Building Blocks for New Matter","title-short":"Unconventional Alloys Confined in Nanoparticles","volume":"3","author":[{"family":"Feng","given":"Jicheng"},{"family":"Chen","given":"Dong"},{"family":"Pikhitsa","given":"Peter V."},{"family":"Jung","given":"Yoon-ho"},{"family":"Yang","given":"Jun"},{"family":"Choi","given":"Mansoo"}],"issued":{"date-parts":[["2020",11]]}}}],"schema":"https://github.com/citation-style-language/schema/raw/master/csl-citation.json"} </w:instrText>
      </w:r>
      <w:r w:rsidR="00B166C3" w:rsidRPr="00FF5897">
        <w:rPr>
          <w:rFonts w:ascii="Arial" w:hAnsi="Arial" w:cs="Arial"/>
          <w:sz w:val="24"/>
        </w:rPr>
        <w:fldChar w:fldCharType="separate"/>
      </w:r>
      <w:r w:rsidR="001E3C11" w:rsidRPr="00FF5897">
        <w:rPr>
          <w:rFonts w:ascii="Arial" w:hAnsi="Arial" w:cs="Arial"/>
          <w:sz w:val="24"/>
          <w:vertAlign w:val="superscript"/>
        </w:rPr>
        <w:t>10</w:t>
      </w:r>
      <w:r w:rsidR="00B166C3" w:rsidRPr="00FF5897">
        <w:rPr>
          <w:rFonts w:ascii="Arial" w:hAnsi="Arial" w:cs="Arial"/>
          <w:sz w:val="24"/>
        </w:rPr>
        <w:fldChar w:fldCharType="end"/>
      </w:r>
      <w:r w:rsidR="00B166C3" w:rsidRPr="00FF5897">
        <w:rPr>
          <w:rFonts w:ascii="Arial" w:hAnsi="Arial" w:cs="Arial"/>
          <w:sz w:val="24"/>
          <w:vertAlign w:val="superscript"/>
          <w:lang w:val="en-US"/>
        </w:rPr>
        <w:t>,</w:t>
      </w:r>
      <w:r w:rsidR="00B166C3" w:rsidRPr="00FF5897">
        <w:rPr>
          <w:rFonts w:ascii="Arial" w:hAnsi="Arial" w:cs="Arial"/>
          <w:sz w:val="24"/>
        </w:rPr>
        <w:fldChar w:fldCharType="begin"/>
      </w:r>
      <w:r w:rsidR="00FD4D0D">
        <w:rPr>
          <w:rFonts w:ascii="Arial" w:hAnsi="Arial" w:cs="Arial"/>
          <w:sz w:val="24"/>
          <w:vertAlign w:val="superscript"/>
          <w:lang w:val="en-US"/>
        </w:rPr>
        <w:instrText xml:space="preserve"> ADDIN ZOTERO_ITEM CSL_CITATION {"citationID":"Atx4bYk9","properties":{"formattedCitation":"\\super 11\\nosupersub{}","plainCitation":"11","noteIndex":0},"citationItems":[{"id":1403,"uris":["http://zotero.org/users/4941048/items/T2S45RSF"],"itemData":{"id":1403,"type":"article-journal","abstract":"The potential of using atmospheric-pressure spark ablation for production of atomic clusters has been shown in the recent past. In this study we used this method to produce atomic clusters in Argon and investigated their chemical composition with an atmospheric pressure interface time-of-flight mass spectrometer (APi-TOF-MS). Both anionic and cationic silver and gold clusters were generated and characterised. The carrier gas was used directly from the gas cylinder without the application of any additional gas purification. As a result, the carrier gas stream contained trace impurities of N2, O2, and H2O, as well as radicals such as O, OH, and H and their ionized forms resulting from the plasma created by the sparks. The experimental results show that different reactivities towards oxygen and water traces can be observed depending on the number of metal atoms in the clusters, their polarity, as well as their compositions; e.g., Aun− shows less reactive behaviour towards oxygen and hydrogen compared to Agn−. The results also show that certain cluster types can be generated at large enough quantities by atmospheric-pressure spark ablation, which considering the low installation and operating cost of the technique can pave the way towards its exploitation for numerous technological applications.","container-title":"Journal of Aerosol Science","DOI":"10.1016/j.jaerosci.2021.105780","ISSN":"0021-8502","journalAbbreviation":"Journal of Aerosol Science","language":"en","page":"105780","source":"ScienceDirect","title":"Characterization of atmospheric-pressure spark generated atomic silver and gold clusters by time-of-flight mass spectrometry","volume":"156","author":[{"family":"Maisser","given":"A."},{"family":"Barmpounis","given":"K."},{"family":"Holm","given":"S."},{"family":"Attoui","given":"M."},{"family":"Schmidt-Ott","given":"A."},{"family":"Kangasluoma","given":"J."},{"family":"Biskos","given":"G."}],"issued":{"date-parts":[["2021",8,1]]}}}],"schema":"https://github.com/citation-style-language/schema/raw/master/csl-citation.json"} </w:instrText>
      </w:r>
      <w:r w:rsidR="00B166C3" w:rsidRPr="00FF5897">
        <w:rPr>
          <w:rFonts w:ascii="Arial" w:hAnsi="Arial" w:cs="Arial"/>
          <w:sz w:val="24"/>
        </w:rPr>
        <w:fldChar w:fldCharType="separate"/>
      </w:r>
      <w:r w:rsidR="001E3C11" w:rsidRPr="00FF5897">
        <w:rPr>
          <w:rFonts w:ascii="Arial" w:hAnsi="Arial" w:cs="Arial"/>
          <w:sz w:val="24"/>
          <w:vertAlign w:val="superscript"/>
        </w:rPr>
        <w:t>11</w:t>
      </w:r>
      <w:r w:rsidR="00B166C3" w:rsidRPr="00FF5897">
        <w:rPr>
          <w:rFonts w:ascii="Arial" w:hAnsi="Arial" w:cs="Arial"/>
          <w:sz w:val="24"/>
        </w:rPr>
        <w:fldChar w:fldCharType="end"/>
      </w:r>
      <w:r w:rsidR="00904985" w:rsidRPr="00FF5897">
        <w:rPr>
          <w:rFonts w:ascii="Arial" w:hAnsi="Arial" w:cs="Arial"/>
          <w:sz w:val="24"/>
          <w:lang w:val="en-US"/>
        </w:rPr>
        <w:t xml:space="preserve"> Traditionally, spark ablation has been used to produce nanoparticles of a </w:t>
      </w:r>
      <w:r w:rsidR="00904985" w:rsidRPr="00FF5897">
        <w:rPr>
          <w:rFonts w:ascii="Arial" w:hAnsi="Arial" w:cs="Arial"/>
          <w:sz w:val="24"/>
          <w:lang w:val="en-US"/>
        </w:rPr>
        <w:lastRenderedPageBreak/>
        <w:t xml:space="preserve">single element </w:t>
      </w:r>
      <w:r w:rsidR="00B166C3" w:rsidRPr="00FF5897">
        <w:rPr>
          <w:rFonts w:ascii="Arial" w:hAnsi="Arial" w:cs="Arial"/>
          <w:sz w:val="24"/>
          <w:lang w:val="en-US"/>
        </w:rPr>
        <w:t xml:space="preserve">in the size range 5-20 nm </w:t>
      </w:r>
      <w:r w:rsidR="00904985" w:rsidRPr="00FF5897">
        <w:rPr>
          <w:rFonts w:ascii="Arial" w:hAnsi="Arial" w:cs="Arial"/>
          <w:sz w:val="24"/>
          <w:lang w:val="en-US"/>
        </w:rPr>
        <w:t xml:space="preserve">(i.e. </w:t>
      </w:r>
      <w:r w:rsidR="00B166C3" w:rsidRPr="00FF5897">
        <w:rPr>
          <w:rFonts w:ascii="Arial" w:hAnsi="Arial" w:cs="Arial"/>
          <w:sz w:val="24"/>
          <w:lang w:val="en-US"/>
        </w:rPr>
        <w:t>C, Ag, Pd, Zr, and Nb</w:t>
      </w:r>
      <w:r w:rsidR="00904985" w:rsidRPr="00FF5897">
        <w:rPr>
          <w:rFonts w:ascii="Arial" w:hAnsi="Arial" w:cs="Arial"/>
          <w:sz w:val="24"/>
          <w:lang w:val="en-US"/>
        </w:rPr>
        <w:t>).</w:t>
      </w:r>
      <w:r w:rsidR="00904985"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{"citationID":"lsHjTBkU","properties":{"formattedCitation":"\\super 7\\nosupersub{}","plainCitation":"7","noteIndex":0},"citationItems":[{"id":1395,"uris":["http://zotero.org/users/4941048/items/GNS9E3I4"],"itemData":{"id":1395,"type":"article-journal","abstract":"An aerosol generator producing particles of any desired mobility equivalent radius, and conducting material has been developed. Particles are formed by electrode atomization in a spark discharge. A high yield of charged particles enables generation of high concentration (&gt; 105cm−3) monodisperse aerosols using electrostatic classification. In order to obtain non-agglomerated particles, the aerosol can be turbulently diluted at the region of particle formation by gas injection through a nozzle. Charged gold particles in the atomic cluster size range (1.3 nm) have been produced in a concentration of 3 × 105cm−3.","container-title":"Journal of Aerosol Science","DOI":"10.1016/0021-8502(88)90215-7","ISSN":"0021-8502","issue":"5","journalAbbreviation":"Journal of Aerosol Science","language":"en","page":"639-642","source":"ScienceDirect","title":"Aerosol generation by spark discharge","volume":"19","author":[{"family":"Schwyn","given":"S"},{"family":"Garwin","given":"E"},{"family":"Schmidt-Ott","given":"A"}],"issued":{"date-parts":[["1988",10,1]]}}}],"schema":"https://github.com/citation-style-language/schema/raw/master/csl-citation.json"} </w:instrText>
      </w:r>
      <w:r w:rsidR="00904985" w:rsidRPr="00FF5897">
        <w:rPr>
          <w:rFonts w:ascii="Arial" w:hAnsi="Arial" w:cs="Arial"/>
          <w:sz w:val="24"/>
          <w:lang w:val="en-US"/>
        </w:rPr>
        <w:fldChar w:fldCharType="separate"/>
      </w:r>
      <w:r w:rsidR="001E3C11" w:rsidRPr="00FF5897">
        <w:rPr>
          <w:rFonts w:ascii="Arial" w:hAnsi="Arial" w:cs="Arial"/>
          <w:sz w:val="24"/>
          <w:vertAlign w:val="superscript"/>
        </w:rPr>
        <w:t>7</w:t>
      </w:r>
      <w:r w:rsidR="00904985" w:rsidRPr="00FF5897">
        <w:rPr>
          <w:rFonts w:ascii="Arial" w:hAnsi="Arial" w:cs="Arial"/>
          <w:sz w:val="24"/>
          <w:lang w:val="en-US"/>
        </w:rPr>
        <w:fldChar w:fldCharType="end"/>
      </w:r>
      <w:r w:rsidR="00B166C3" w:rsidRPr="00FF5897">
        <w:rPr>
          <w:rFonts w:ascii="Arial" w:hAnsi="Arial" w:cs="Arial"/>
          <w:sz w:val="24"/>
          <w:vertAlign w:val="superscript"/>
          <w:lang w:val="en-US"/>
        </w:rPr>
        <w:t>,</w:t>
      </w:r>
      <w:r w:rsidR="00B166C3" w:rsidRPr="00FF5897">
        <w:rPr>
          <w:rFonts w:ascii="Arial" w:hAnsi="Arial" w:cs="Arial"/>
          <w:sz w:val="24"/>
          <w:vertAlign w:val="superscript"/>
          <w:lang w:val="en-US"/>
        </w:rPr>
        <w:fldChar w:fldCharType="begin"/>
      </w:r>
      <w:r w:rsidR="00FD4D0D">
        <w:rPr>
          <w:rFonts w:ascii="Arial" w:hAnsi="Arial" w:cs="Arial"/>
          <w:sz w:val="24"/>
          <w:vertAlign w:val="superscript"/>
          <w:lang w:val="en-US"/>
        </w:rPr>
        <w:instrText xml:space="preserve"> ADDIN ZOTERO_ITEM CSL_CITATION {"citationID":"v79wUysY","properties":{"formattedCitation":"\\super 8\\nosupersub{}","plainCitation":"8","noteIndex":0},"citationItems":[{"id":1718,"uris":["http://zotero.org/users/4941048/items/WCKWKUM7"],"itemData":{"id":1718,"type":"article-journal","abstract":"The glowing wire represents a clean method of producing particles from a few nanometers to some tens of nanometers in diameter. An empirical rule is derived, identifying the materials, for which the method is applicable. A fraction of the particles is already charged at an efficiency comparable to radioactive chargers. This allows the direct use for mobility size classification and deposition without any further charging step. By applying a potential difference to the wire with respect to the housing, the charged particle yield can be increased by almost two orders of magnitude. Downstream of a mobility classifier a maximum concentration as high as 106cm-3 was reached. The generator shows excellent long-term stability.","container-title":"Journal of Aerosol Science","DOI":"10.1016/j.jaerosci.2006.06.006","ISSN":"0021-8502","issue":"12","journalAbbreviation":"Journal of Aerosol Science","language":"en","page":"1651-1661","source":"ScienceDirect","title":"Using a glowing wire generator for production of charged, uniformly sized nanoparticles at high concentrations","volume":"37","author":[{"family":"Peineke","given":"C."},{"family":"Attoui","given":"M. B."},{"family":"Schmidt-Ott","given":"A."}],"issued":{"date-parts":[["2006",12,1]]}}}],"schema":"https://github.com/citation-style-language/schema/raw/master/csl-citation.json"} </w:instrText>
      </w:r>
      <w:r w:rsidR="00B166C3" w:rsidRPr="00FF5897">
        <w:rPr>
          <w:rFonts w:ascii="Arial" w:hAnsi="Arial" w:cs="Arial"/>
          <w:sz w:val="24"/>
          <w:vertAlign w:val="superscript"/>
          <w:lang w:val="en-US"/>
        </w:rPr>
        <w:fldChar w:fldCharType="separate"/>
      </w:r>
      <w:r w:rsidR="001E3C11" w:rsidRPr="00FF5897">
        <w:rPr>
          <w:rFonts w:ascii="Arial" w:hAnsi="Arial" w:cs="Arial"/>
          <w:sz w:val="24"/>
          <w:vertAlign w:val="superscript"/>
        </w:rPr>
        <w:t>8</w:t>
      </w:r>
      <w:r w:rsidR="00B166C3" w:rsidRPr="00FF5897">
        <w:rPr>
          <w:rFonts w:ascii="Arial" w:hAnsi="Arial" w:cs="Arial"/>
          <w:sz w:val="24"/>
          <w:vertAlign w:val="superscript"/>
          <w:lang w:val="en-US"/>
        </w:rPr>
        <w:fldChar w:fldCharType="end"/>
      </w:r>
      <w:r w:rsidR="00904985" w:rsidRPr="00FF5897">
        <w:rPr>
          <w:rFonts w:ascii="Arial" w:hAnsi="Arial" w:cs="Arial"/>
          <w:sz w:val="24"/>
          <w:lang w:val="en-US"/>
        </w:rPr>
        <w:t xml:space="preserve"> More recently, multicomponent materials have been produced as well including immiscible mixtures and high-entropy alloys</w:t>
      </w:r>
      <w:r w:rsidR="00B166C3" w:rsidRPr="00FF5897">
        <w:rPr>
          <w:rFonts w:ascii="Arial" w:hAnsi="Arial" w:cs="Arial"/>
          <w:sz w:val="24"/>
          <w:lang w:val="en-US"/>
        </w:rPr>
        <w:t xml:space="preserve"> </w:t>
      </w:r>
      <w:r w:rsidR="00731044" w:rsidRPr="00FF5897">
        <w:rPr>
          <w:rFonts w:ascii="Arial" w:hAnsi="Arial" w:cs="Arial"/>
          <w:sz w:val="24"/>
          <w:lang w:val="en-US"/>
        </w:rPr>
        <w:t xml:space="preserve">on various substrates </w:t>
      </w:r>
      <w:r w:rsidR="00B166C3" w:rsidRPr="00FF5897">
        <w:rPr>
          <w:rFonts w:ascii="Arial" w:hAnsi="Arial" w:cs="Arial"/>
          <w:sz w:val="24"/>
          <w:lang w:val="en-US"/>
        </w:rPr>
        <w:t>but all of sizes &gt; 5 nm</w:t>
      </w:r>
      <w:r w:rsidR="00904985" w:rsidRPr="00FF5897">
        <w:rPr>
          <w:rFonts w:ascii="Arial" w:hAnsi="Arial" w:cs="Arial"/>
          <w:sz w:val="24"/>
          <w:lang w:val="en-US"/>
        </w:rPr>
        <w:t>.</w:t>
      </w:r>
      <w:r w:rsidR="00904985" w:rsidRPr="00FF5897">
        <w:rPr>
          <w:rFonts w:ascii="Arial" w:hAnsi="Arial" w:cs="Arial"/>
          <w:sz w:val="24"/>
          <w:vertAlign w:val="superscript"/>
          <w:lang w:val="en-US"/>
        </w:rPr>
        <w:fldChar w:fldCharType="begin"/>
      </w:r>
      <w:r w:rsidR="00FD4D0D">
        <w:rPr>
          <w:rFonts w:ascii="Arial" w:hAnsi="Arial" w:cs="Arial"/>
          <w:sz w:val="24"/>
          <w:vertAlign w:val="superscript"/>
          <w:lang w:val="en-US"/>
        </w:rPr>
        <w:instrText xml:space="preserve"> ADDIN ZOTERO_ITEM CSL_CITATION {"citationID":"etbXPD6M","properties":{"formattedCitation":"\\super 12\\nosupersub{}","plainCitation":"12","noteIndex":0},"citationItems":[{"id":130,"uris":["http://zotero.org/users/4941048/items/92BEL34Y"],"itemData":{"id":130,"type":"article-journal","abstract":"Using a spark discharge system, we synthesized Ag-Cu, Pt–Au and Cu-W mixed particles a few nanometers in size. These combinations have miscibility gaps in the bulk form. The microsecond sparks between electrodes consisting of the respective materials, form a vapour cloud. Very fast quenching of the mixed vapour results in the formation of nanoparticles. To investigate the morphology, size, composition and structure of the particles, TEM, XRD analyses and EDS elemental mapping were performed on the samples. The average compositions were measured by ICP and the specific surface areas were determined by the BET. Our method produces Ag-Cu and Au–Pt mixed crystalline phases that do not exist in macroscopic samples. For Cu-W, alloying is not observed, and the metals are mixed on a scale of about 1 nm.","container-title":"Journal of Nanoparticle Research","DOI":"10.1007/s11051-009-9603-4","ISSN":"1572-896X","issue":"1","journalAbbreviation":"J Nanopart Res","language":"en","page":"247-259","source":"Springer Link","title":"Generation of mixed metallic nanoparticles from immiscible metals by spark discharge","volume":"12","author":[{"family":"Tabrizi","given":"N. S."},{"family":"Xu","given":"Q."},{"family":"Pers","given":"N. M.","non-dropping-particle":"van der"},{"family":"Schmidt-Ott","given":"A."}],"issued":{"date-parts":[["2010",1,1]]}}}],"schema":"https://github.com/citation-style-language/schema/raw/master/csl-citation.json"} </w:instrText>
      </w:r>
      <w:r w:rsidR="00904985" w:rsidRPr="00FF5897">
        <w:rPr>
          <w:rFonts w:ascii="Arial" w:hAnsi="Arial" w:cs="Arial"/>
          <w:sz w:val="24"/>
          <w:vertAlign w:val="superscript"/>
          <w:lang w:val="en-US"/>
        </w:rPr>
        <w:fldChar w:fldCharType="separate"/>
      </w:r>
      <w:r w:rsidR="001E3C11" w:rsidRPr="00FF5897">
        <w:rPr>
          <w:rFonts w:ascii="Arial" w:hAnsi="Arial" w:cs="Arial"/>
          <w:sz w:val="24"/>
          <w:vertAlign w:val="superscript"/>
        </w:rPr>
        <w:t>12</w:t>
      </w:r>
      <w:r w:rsidR="00904985" w:rsidRPr="00FF5897">
        <w:rPr>
          <w:rFonts w:ascii="Arial" w:hAnsi="Arial" w:cs="Arial"/>
          <w:sz w:val="24"/>
          <w:vertAlign w:val="superscript"/>
          <w:lang w:val="en-US"/>
        </w:rPr>
        <w:fldChar w:fldCharType="end"/>
      </w:r>
      <w:r w:rsidR="00904985" w:rsidRPr="00FF5897">
        <w:rPr>
          <w:rFonts w:ascii="Arial" w:hAnsi="Arial" w:cs="Arial"/>
          <w:sz w:val="24"/>
          <w:vertAlign w:val="superscript"/>
          <w:lang w:val="en-US"/>
        </w:rPr>
        <w:t>,</w:t>
      </w:r>
      <w:r w:rsidR="00904985"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{"citationID":"4pZ672fc","properties":{"formattedCitation":"\\super 9\\nosupersub{}","plainCitation":"9","noteIndex":0},"citationItems":[{"id":1136,"uris":["http://zotero.org/users/4941048/items/Z6W534MB"],"itemData":{"id":1136,"type":"article-journal","abstract":"The increasing need for engineered alloy nanoparticles (NPs) in diverse fields has spurred efforts to explore efficient/green synthesis methods. In this respect, spark ablation provides a scalable and viable way for producing widely different types of mixed NPs. Most importantly, implementation of the spark has the great advantage to combine a wider range of materials, thereby allowing the synthesis of mixed NPs with virtually unlimited combinations. Here we show that polarity reversal of spark discharges between two electrodes consisting of different materials enables synthesis of alloy NPs, while having a good potential to control the broadness of their composition distribution. A model developed in this work provides a tool for tuning the ablation ratio between the electrodes by adjusting the electric characteristics of the spark circuit. The ablation ratio is equal to the mean composition of the resulting NPs. The model predictions are in accordance with measurements obtained here and in earlier works. The unique way of producing alloy NPs by spark ablation shown in this work becomes especially useful when the starting electrode materials are immiscible at macroscopic scale.Copyright © 2018 American Association for Aerosol Research","container-title":"Aerosol Science and Technology","DOI":"10.1080/02786826.2018.1427852","ISSN":"0278-6826","issue":"5","note":"publisher: Taylor &amp; Francis\n_eprint: https://doi.org/10.1080/02786826.2018.1427852","page":"505-514","source":"Taylor and Francis+NEJM","title":"Internally mixed nanoparticles from oscillatory spark ablation between electrodes of different materials","volume":"52","author":[{"family":"Feng","given":"Jicheng"},{"family":"Ramlawi","given":"Nabil"},{"family":"Biskos","given":"George"},{"family":"Schmidt-Ott","given":"Andreas"}],"issued":{"date-parts":[["2018",5,4]]}}}],"schema":"https://github.com/citation-style-language/schema/raw/master/csl-citation.json"} </w:instrText>
      </w:r>
      <w:r w:rsidR="00904985" w:rsidRPr="00FF5897">
        <w:rPr>
          <w:rFonts w:ascii="Arial" w:hAnsi="Arial" w:cs="Arial"/>
          <w:sz w:val="24"/>
          <w:lang w:val="en-US"/>
        </w:rPr>
        <w:fldChar w:fldCharType="separate"/>
      </w:r>
      <w:r w:rsidR="001E3C11" w:rsidRPr="00FF5897">
        <w:rPr>
          <w:rFonts w:ascii="Arial" w:hAnsi="Arial" w:cs="Arial"/>
          <w:sz w:val="24"/>
          <w:vertAlign w:val="superscript"/>
        </w:rPr>
        <w:t>9</w:t>
      </w:r>
      <w:r w:rsidR="00904985" w:rsidRPr="00FF5897">
        <w:rPr>
          <w:rFonts w:ascii="Arial" w:hAnsi="Arial" w:cs="Arial"/>
          <w:sz w:val="24"/>
          <w:lang w:val="en-US"/>
        </w:rPr>
        <w:fldChar w:fldCharType="end"/>
      </w:r>
      <w:r w:rsidR="00904985" w:rsidRPr="00FF5897">
        <w:rPr>
          <w:rFonts w:ascii="Arial" w:hAnsi="Arial" w:cs="Arial"/>
          <w:sz w:val="24"/>
          <w:vertAlign w:val="superscript"/>
          <w:lang w:val="en-US"/>
        </w:rPr>
        <w:t>,</w:t>
      </w:r>
      <w:r w:rsidR="00904985"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{"citationID":"Gc0g2Wdz","properties":{"formattedCitation":"\\super 10\\nosupersub{}","plainCitation":"10","noteIndex":0},"citationItems":[{"id":1132,"uris":["http://zotero.org/users/4941048/items/B3B6HFW4"],"itemData":{"id":1132,"type":"article-journal","container-title":"Matter","DOI":"10.1016/j.matt.2020.07.027","ISSN":"25902385","issue":"5","journalAbbreviation":"Matter","language":"en","page":"1646-1663","source":"DOI.org (Crossref)","title":"Unconventional Alloys Confined in Nanoparticles: Building Blocks for New Matter","title-short":"Unconventional Alloys Confined in Nanoparticles","volume":"3","author":[{"family":"Feng","given":"Jicheng"},{"family":"Chen","given":"Dong"},{"family":"Pikhitsa","given":"Peter V."},{"family":"Jung","given":"Yoon-ho"},{"family":"Yang","given":"Jun"},{"family":"Choi","given":"Mansoo"}],"issued":{"date-parts":[["2020",11]]}}}],"schema":"https://github.com/citation-style-language/schema/raw/master/csl-citation.json"} </w:instrText>
      </w:r>
      <w:r w:rsidR="00904985" w:rsidRPr="00FF5897">
        <w:rPr>
          <w:rFonts w:ascii="Arial" w:hAnsi="Arial" w:cs="Arial"/>
          <w:sz w:val="24"/>
          <w:lang w:val="en-US"/>
        </w:rPr>
        <w:fldChar w:fldCharType="separate"/>
      </w:r>
      <w:r w:rsidR="001E3C11" w:rsidRPr="00FF5897">
        <w:rPr>
          <w:rFonts w:ascii="Arial" w:hAnsi="Arial" w:cs="Arial"/>
          <w:sz w:val="24"/>
          <w:vertAlign w:val="superscript"/>
        </w:rPr>
        <w:t>10</w:t>
      </w:r>
      <w:r w:rsidR="00904985" w:rsidRPr="00FF5897">
        <w:rPr>
          <w:rFonts w:ascii="Arial" w:hAnsi="Arial" w:cs="Arial"/>
          <w:sz w:val="24"/>
          <w:lang w:val="en-US"/>
        </w:rPr>
        <w:fldChar w:fldCharType="end"/>
      </w:r>
      <w:r w:rsidR="00904985" w:rsidRPr="00FF5897">
        <w:rPr>
          <w:rFonts w:ascii="Arial" w:hAnsi="Arial" w:cs="Arial"/>
          <w:sz w:val="24"/>
          <w:lang w:val="en-US"/>
        </w:rPr>
        <w:t xml:space="preserve"> </w:t>
      </w:r>
      <w:r w:rsidR="006C6E11" w:rsidRPr="00FF5897">
        <w:rPr>
          <w:rFonts w:ascii="Arial" w:hAnsi="Arial" w:cs="Arial"/>
          <w:sz w:val="24"/>
          <w:lang w:val="en-US"/>
        </w:rPr>
        <w:t>On the other hand</w:t>
      </w:r>
      <w:r w:rsidR="00B166C3" w:rsidRPr="00FF5897">
        <w:rPr>
          <w:rFonts w:ascii="Arial" w:hAnsi="Arial" w:cs="Arial"/>
          <w:sz w:val="24"/>
          <w:lang w:val="en-US"/>
        </w:rPr>
        <w:t xml:space="preserve">, </w:t>
      </w:r>
      <w:r w:rsidR="006C6E11" w:rsidRPr="00FF5897">
        <w:rPr>
          <w:rFonts w:ascii="Arial" w:hAnsi="Arial" w:cs="Arial"/>
          <w:sz w:val="24"/>
          <w:lang w:val="en-US"/>
        </w:rPr>
        <w:t xml:space="preserve">spark ablation has also been used to produce </w:t>
      </w:r>
      <w:r w:rsidR="00B166C3" w:rsidRPr="00FF5897">
        <w:rPr>
          <w:rFonts w:ascii="Arial" w:hAnsi="Arial" w:cs="Arial"/>
          <w:sz w:val="24"/>
          <w:lang w:val="en-US"/>
        </w:rPr>
        <w:t xml:space="preserve">atomically precise </w:t>
      </w:r>
      <w:r w:rsidR="006C6E11" w:rsidRPr="00FF5897">
        <w:rPr>
          <w:rFonts w:ascii="Arial" w:hAnsi="Arial" w:cs="Arial"/>
          <w:sz w:val="24"/>
          <w:lang w:val="en-US"/>
        </w:rPr>
        <w:t>metal</w:t>
      </w:r>
      <w:r w:rsidR="00B166C3" w:rsidRPr="00FF5897">
        <w:rPr>
          <w:rFonts w:ascii="Arial" w:hAnsi="Arial" w:cs="Arial"/>
          <w:sz w:val="24"/>
          <w:lang w:val="en-US"/>
        </w:rPr>
        <w:t xml:space="preserve"> (oxide) clusters </w:t>
      </w:r>
      <w:r w:rsidR="006C6E11" w:rsidRPr="00FF5897">
        <w:rPr>
          <w:rFonts w:ascii="Arial" w:hAnsi="Arial" w:cs="Arial"/>
          <w:sz w:val="24"/>
          <w:lang w:val="en-US"/>
        </w:rPr>
        <w:t>(&lt;</w:t>
      </w:r>
      <w:r w:rsidR="00731044" w:rsidRPr="00FF5897">
        <w:rPr>
          <w:rFonts w:ascii="Arial" w:hAnsi="Arial" w:cs="Arial"/>
          <w:sz w:val="24"/>
          <w:lang w:val="en-US"/>
        </w:rPr>
        <w:t>2</w:t>
      </w:r>
      <w:r w:rsidR="006C6E11" w:rsidRPr="00FF5897">
        <w:rPr>
          <w:rFonts w:ascii="Arial" w:hAnsi="Arial" w:cs="Arial"/>
          <w:sz w:val="24"/>
          <w:lang w:val="en-US"/>
        </w:rPr>
        <w:t xml:space="preserve"> nm) but only of single element (Ag, and Au) and </w:t>
      </w:r>
      <w:r w:rsidR="00B166C3" w:rsidRPr="00FF5897">
        <w:rPr>
          <w:rFonts w:ascii="Arial" w:hAnsi="Arial" w:cs="Arial"/>
          <w:sz w:val="24"/>
          <w:lang w:val="en-US"/>
        </w:rPr>
        <w:t>purely in the aerosol</w:t>
      </w:r>
      <w:r w:rsidR="006C6E11" w:rsidRPr="00FF5897">
        <w:rPr>
          <w:rFonts w:ascii="Arial" w:hAnsi="Arial" w:cs="Arial"/>
          <w:sz w:val="24"/>
          <w:lang w:val="en-US"/>
        </w:rPr>
        <w:t xml:space="preserve"> and </w:t>
      </w:r>
      <w:r w:rsidR="00731044" w:rsidRPr="00FF5897">
        <w:rPr>
          <w:rFonts w:ascii="Arial" w:hAnsi="Arial" w:cs="Arial"/>
          <w:sz w:val="24"/>
          <w:lang w:val="en-US"/>
        </w:rPr>
        <w:t>more importantly</w:t>
      </w:r>
      <w:r w:rsidR="006C6E11" w:rsidRPr="00FF5897">
        <w:rPr>
          <w:rFonts w:ascii="Arial" w:hAnsi="Arial" w:cs="Arial"/>
          <w:sz w:val="24"/>
          <w:lang w:val="en-US"/>
        </w:rPr>
        <w:t xml:space="preserve">, not at practically relevant production levels </w:t>
      </w:r>
      <w:r w:rsidR="0086082C" w:rsidRPr="00FF5897">
        <w:rPr>
          <w:rFonts w:ascii="Arial" w:hAnsi="Arial" w:cs="Arial"/>
          <w:sz w:val="24"/>
          <w:lang w:val="en-US"/>
        </w:rPr>
        <w:t>(~</w:t>
      </w:r>
      <w:proofErr w:type="spellStart"/>
      <w:r w:rsidR="00731044" w:rsidRPr="00FF5897">
        <w:rPr>
          <w:rFonts w:ascii="Arial" w:hAnsi="Arial" w:cs="Arial"/>
          <w:sz w:val="24"/>
          <w:lang w:val="en-US"/>
        </w:rPr>
        <w:t>pg</w:t>
      </w:r>
      <w:proofErr w:type="spellEnd"/>
      <w:r w:rsidR="00731044" w:rsidRPr="00FF5897">
        <w:rPr>
          <w:rFonts w:ascii="Arial" w:hAnsi="Arial" w:cs="Arial"/>
          <w:sz w:val="24"/>
          <w:lang w:val="en-US"/>
        </w:rPr>
        <w:t>/</w:t>
      </w:r>
      <w:proofErr w:type="spellStart"/>
      <w:r w:rsidR="00731044" w:rsidRPr="00FF5897">
        <w:rPr>
          <w:rFonts w:ascii="Arial" w:hAnsi="Arial" w:cs="Arial"/>
          <w:sz w:val="24"/>
          <w:lang w:val="en-US"/>
        </w:rPr>
        <w:t>hrs</w:t>
      </w:r>
      <w:proofErr w:type="spellEnd"/>
      <w:r w:rsidR="00731044" w:rsidRPr="00FF5897">
        <w:rPr>
          <w:rFonts w:ascii="Arial" w:hAnsi="Arial" w:cs="Arial"/>
          <w:sz w:val="24"/>
          <w:lang w:val="en-US"/>
        </w:rPr>
        <w:t>)</w:t>
      </w:r>
      <w:r w:rsidR="00B166C3" w:rsidRPr="00FF5897">
        <w:rPr>
          <w:rFonts w:ascii="Arial" w:hAnsi="Arial" w:cs="Arial"/>
          <w:sz w:val="24"/>
          <w:lang w:val="en-US"/>
        </w:rPr>
        <w:t>.</w:t>
      </w:r>
      <w:r w:rsidR="006C6E11"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{"citationID":"5vo9hpi8","properties":{"formattedCitation":"\\super 13\\nosupersub{}","plainCitation":"13","noteIndex":0},"citationItems":[{"id":1402,"uris":["http://zotero.org/users/4941048/items/ZHL6XGHI"],"itemData":{"id":1402,"type":"article-journal","abstract":"A new method for generating metal clusters in the gas phase is described and characterized in this work. The method is based on material evaporation by spark ablation at atmospheric pressure. The characterization of atomic clusters was done by measuring their electrical mobility. The measured mobilities were compared with values found in literature in order to identify the cluster species. We show that silver clusters consisting from one up to 25 atoms can be produced in helium at atmospheric pressure. In addition, the effect of oxygen concentration on the resulting cluster mobility distribution was investigated. Results show that at higher oxygen level, the mobility distribution is dominated by the abundance of stable clusters (i.e., magic number clusters). This can be attributed to an oxidation etching effect.Copyright 2015 American Association for Aerosol Research","container-title":"Aerosol Science and Technology","DOI":"10.1080/02786826.2015.1080812","ISSN":"0278-6826","issue":"10","note":"publisher: Taylor &amp; Francis\n_eprint: https://doi.org/10.1080/02786826.2015.1080812","page":"886-894","source":"Taylor and Francis+NEJM","title":"Atomic Cluster Generation with an Atmospheric Pressure Spark Discharge Generator","volume":"49","author":[{"family":"Maisser","given":"A."},{"family":"Barmpounis","given":"K."},{"family":"Attoui","given":"M. B."},{"family":"Biskos","given":"G."},{"family":"Schmidt-Ott","given":"A."}],"issued":{"date-parts":[["2015",10,3]]}}}],"schema":"https://github.com/citation-style-language/schema/raw/master/csl-citation.json"} </w:instrText>
      </w:r>
      <w:r w:rsidR="006C6E11" w:rsidRPr="00FF5897">
        <w:rPr>
          <w:rFonts w:ascii="Arial" w:hAnsi="Arial" w:cs="Arial"/>
          <w:sz w:val="24"/>
          <w:lang w:val="en-US"/>
        </w:rPr>
        <w:fldChar w:fldCharType="separate"/>
      </w:r>
      <w:r w:rsidR="001E3C11" w:rsidRPr="00FF5897">
        <w:rPr>
          <w:rFonts w:ascii="Arial" w:hAnsi="Arial" w:cs="Arial"/>
          <w:sz w:val="24"/>
          <w:vertAlign w:val="superscript"/>
        </w:rPr>
        <w:t>13</w:t>
      </w:r>
      <w:r w:rsidR="006C6E11" w:rsidRPr="00FF5897">
        <w:rPr>
          <w:rFonts w:ascii="Arial" w:hAnsi="Arial" w:cs="Arial"/>
          <w:sz w:val="24"/>
          <w:lang w:val="en-US"/>
        </w:rPr>
        <w:fldChar w:fldCharType="end"/>
      </w:r>
      <w:r w:rsidR="006C6E11" w:rsidRPr="00FF5897">
        <w:rPr>
          <w:rFonts w:ascii="Arial" w:hAnsi="Arial" w:cs="Arial"/>
          <w:sz w:val="24"/>
          <w:vertAlign w:val="superscript"/>
          <w:lang w:val="en-US"/>
        </w:rPr>
        <w:t>,</w:t>
      </w:r>
      <w:r w:rsidR="006C6E11"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{"citationID":"foHGD10I","properties":{"formattedCitation":"\\super 11\\nosupersub{}","plainCitation":"11","noteIndex":0},"citationItems":[{"id":1403,"uris":["http://zotero.org/users/4941048/items/T2S45RSF"],"itemData":{"id":1403,"type":"article-journal","abstract":"The potential of using atmospheric-pressure spark ablation for production of atomic clusters has been shown in the recent past. In this study we used this method to produce atomic clusters in Argon and investigated their chemical composition with an atmospheric pressure interface time-of-flight mass spectrometer (APi-TOF-MS). Both anionic and cationic silver and gold clusters were generated and characterised. The carrier gas was used directly from the gas cylinder without the application of any additional gas purification. As a result, the carrier gas stream contained trace impurities of N2, O2, and H2O, as well as radicals such as O, OH, and H and their ionized forms resulting from the plasma created by the sparks. The experimental results show that different reactivities towards oxygen and water traces can be observed depending on the number of metal atoms in the clusters, their polarity, as well as their compositions; e.g., Aun− shows less reactive behaviour towards oxygen and hydrogen compared to Agn−. The results also show that certain cluster types can be generated at large enough quantities by atmospheric-pressure spark ablation, which considering the low installation and operating cost of the technique can pave the way towards its exploitation for numerous technological applications.","container-title":"Journal of Aerosol Science","DOI":"10.1016/j.jaerosci.2021.105780","ISSN":"0021-8502","journalAbbreviation":"Journal of Aerosol Science","language":"en","page":"105780","source":"ScienceDirect","title":"Characterization of atmospheric-pressure spark generated atomic silver and gold clusters by time-of-flight mass spectrometry","volume":"156","author":[{"family":"Maisser","given":"A."},{"family":"Barmpounis","given":"K."},{"family":"Holm","given":"S."},{"family":"Attoui","given":"M."},{"family":"Schmidt-Ott","given":"A."},{"family":"Kangasluoma","given":"J."},{"family":"Biskos","given":"G."}],"issued":{"date-parts":[["2021",8,1]]}}}],"schema":"https://github.com/citation-style-language/schema/raw/master/csl-citation.json"} </w:instrText>
      </w:r>
      <w:r w:rsidR="006C6E11" w:rsidRPr="00FF5897">
        <w:rPr>
          <w:rFonts w:ascii="Arial" w:hAnsi="Arial" w:cs="Arial"/>
          <w:sz w:val="24"/>
          <w:lang w:val="en-US"/>
        </w:rPr>
        <w:fldChar w:fldCharType="separate"/>
      </w:r>
      <w:r w:rsidR="001E3C11" w:rsidRPr="00FF5897">
        <w:rPr>
          <w:rFonts w:ascii="Arial" w:hAnsi="Arial" w:cs="Arial"/>
          <w:sz w:val="24"/>
          <w:vertAlign w:val="superscript"/>
        </w:rPr>
        <w:t>11</w:t>
      </w:r>
      <w:r w:rsidR="006C6E11" w:rsidRPr="00FF5897">
        <w:rPr>
          <w:rFonts w:ascii="Arial" w:hAnsi="Arial" w:cs="Arial"/>
          <w:sz w:val="24"/>
          <w:lang w:val="en-US"/>
        </w:rPr>
        <w:fldChar w:fldCharType="end"/>
      </w:r>
      <w:r w:rsidR="006C6E11" w:rsidRPr="00FF5897">
        <w:rPr>
          <w:rFonts w:ascii="Arial" w:hAnsi="Arial" w:cs="Arial"/>
          <w:sz w:val="24"/>
          <w:lang w:val="en-US"/>
        </w:rPr>
        <w:t xml:space="preserve"> In here, we have </w:t>
      </w:r>
      <w:r w:rsidR="008D5356" w:rsidRPr="00FF5897">
        <w:rPr>
          <w:rFonts w:ascii="Arial" w:hAnsi="Arial" w:cs="Arial"/>
          <w:sz w:val="24"/>
          <w:lang w:val="en-US"/>
        </w:rPr>
        <w:t>achieved</w:t>
      </w:r>
      <w:r w:rsidR="006C6E11" w:rsidRPr="00FF5897">
        <w:rPr>
          <w:rFonts w:ascii="Arial" w:hAnsi="Arial" w:cs="Arial"/>
          <w:sz w:val="24"/>
          <w:lang w:val="en-US"/>
        </w:rPr>
        <w:t xml:space="preserve"> a scalable synthesis </w:t>
      </w:r>
      <w:r w:rsidR="00731044" w:rsidRPr="00FF5897">
        <w:rPr>
          <w:rFonts w:ascii="Arial" w:hAnsi="Arial" w:cs="Arial"/>
          <w:sz w:val="24"/>
          <w:lang w:val="en-US"/>
        </w:rPr>
        <w:t xml:space="preserve">of Cu(Ag) metal oxide clusters &lt;2 nm with a </w:t>
      </w:r>
      <w:r w:rsidR="00D30976">
        <w:rPr>
          <w:rFonts w:ascii="Arial" w:hAnsi="Arial" w:cs="Arial"/>
          <w:sz w:val="24"/>
          <w:lang w:val="en-US"/>
        </w:rPr>
        <w:t>6</w:t>
      </w:r>
      <w:r w:rsidR="00731044" w:rsidRPr="00FF5897">
        <w:rPr>
          <w:rFonts w:ascii="Arial" w:hAnsi="Arial" w:cs="Arial"/>
          <w:sz w:val="24"/>
          <w:lang w:val="en-US"/>
        </w:rPr>
        <w:t>-orders higher mass production rate (</w:t>
      </w:r>
      <w:r w:rsidR="00C95108">
        <w:rPr>
          <w:rFonts w:ascii="Arial" w:hAnsi="Arial" w:cs="Arial"/>
          <w:sz w:val="24"/>
          <w:lang w:val="en-US"/>
        </w:rPr>
        <w:t xml:space="preserve">~1 </w:t>
      </w:r>
      <w:proofErr w:type="spellStart"/>
      <w:r w:rsidR="00731044" w:rsidRPr="00FF5897">
        <w:rPr>
          <w:rFonts w:ascii="Arial" w:hAnsi="Arial" w:cs="Arial"/>
          <w:sz w:val="24"/>
          <w:lang w:val="en-US"/>
        </w:rPr>
        <w:t>μg</w:t>
      </w:r>
      <w:proofErr w:type="spellEnd"/>
      <w:r w:rsidR="00731044" w:rsidRPr="00FF5897">
        <w:rPr>
          <w:rFonts w:ascii="Arial" w:hAnsi="Arial" w:cs="Arial"/>
          <w:sz w:val="24"/>
          <w:lang w:val="en-US"/>
        </w:rPr>
        <w:t>/</w:t>
      </w:r>
      <w:proofErr w:type="spellStart"/>
      <w:r w:rsidR="00731044" w:rsidRPr="00FF5897">
        <w:rPr>
          <w:rFonts w:ascii="Arial" w:hAnsi="Arial" w:cs="Arial"/>
          <w:sz w:val="24"/>
          <w:lang w:val="en-US"/>
        </w:rPr>
        <w:t>hrs</w:t>
      </w:r>
      <w:proofErr w:type="spellEnd"/>
      <w:r w:rsidR="00731044" w:rsidRPr="00FF5897">
        <w:rPr>
          <w:rFonts w:ascii="Arial" w:hAnsi="Arial" w:cs="Arial"/>
          <w:sz w:val="24"/>
          <w:lang w:val="en-US"/>
        </w:rPr>
        <w:t xml:space="preserve">). To produce such clusters of well-defined size and composition, and especially at high production rates, a highly specific spark </w:t>
      </w:r>
      <w:r w:rsidR="001C425C" w:rsidRPr="00FF5897">
        <w:rPr>
          <w:rFonts w:ascii="Arial" w:hAnsi="Arial" w:cs="Arial"/>
          <w:sz w:val="24"/>
          <w:lang w:val="en-US"/>
        </w:rPr>
        <w:t xml:space="preserve">generator </w:t>
      </w:r>
      <w:r w:rsidR="00731044" w:rsidRPr="00FF5897">
        <w:rPr>
          <w:rFonts w:ascii="Arial" w:hAnsi="Arial" w:cs="Arial"/>
          <w:sz w:val="24"/>
          <w:lang w:val="en-US"/>
        </w:rPr>
        <w:t>configuration was chosen</w:t>
      </w:r>
      <w:r w:rsidR="00C14A0A" w:rsidRPr="00FF5897">
        <w:rPr>
          <w:rFonts w:ascii="Arial" w:hAnsi="Arial" w:cs="Arial"/>
          <w:sz w:val="24"/>
          <w:lang w:val="en-US"/>
        </w:rPr>
        <w:t xml:space="preserve"> that optimized a set of parameters </w:t>
      </w:r>
      <w:r w:rsidR="002B27CE" w:rsidRPr="00FF5897">
        <w:rPr>
          <w:rFonts w:ascii="Arial" w:hAnsi="Arial" w:cs="Arial"/>
          <w:sz w:val="24"/>
          <w:lang w:val="en-US"/>
        </w:rPr>
        <w:t>to</w:t>
      </w:r>
      <w:r w:rsidR="00C14A0A" w:rsidRPr="00FF5897">
        <w:rPr>
          <w:rFonts w:ascii="Arial" w:hAnsi="Arial" w:cs="Arial"/>
          <w:sz w:val="24"/>
          <w:lang w:val="en-US"/>
        </w:rPr>
        <w:t xml:space="preserve"> </w:t>
      </w:r>
      <w:r w:rsidR="00D766AD" w:rsidRPr="00FF5897">
        <w:rPr>
          <w:rFonts w:ascii="Arial" w:hAnsi="Arial" w:cs="Arial"/>
          <w:sz w:val="24"/>
          <w:lang w:val="en-US"/>
        </w:rPr>
        <w:t xml:space="preserve">control </w:t>
      </w:r>
      <w:r w:rsidR="0062224F" w:rsidRPr="00FF5897">
        <w:rPr>
          <w:rFonts w:ascii="Arial" w:hAnsi="Arial" w:cs="Arial"/>
          <w:sz w:val="24"/>
          <w:lang w:val="en-US"/>
        </w:rPr>
        <w:t>1</w:t>
      </w:r>
      <w:r w:rsidR="00C14A0A" w:rsidRPr="00FF5897">
        <w:rPr>
          <w:rFonts w:ascii="Arial" w:hAnsi="Arial" w:cs="Arial"/>
          <w:sz w:val="24"/>
          <w:lang w:val="en-US"/>
        </w:rPr>
        <w:t>) the size</w:t>
      </w:r>
      <w:r w:rsidR="001C425C" w:rsidRPr="00FF5897">
        <w:rPr>
          <w:rFonts w:ascii="Arial" w:hAnsi="Arial" w:cs="Arial"/>
          <w:sz w:val="24"/>
          <w:lang w:val="en-US"/>
        </w:rPr>
        <w:t>,</w:t>
      </w:r>
      <w:r w:rsidR="00C14A0A" w:rsidRPr="00FF5897">
        <w:rPr>
          <w:rFonts w:ascii="Arial" w:hAnsi="Arial" w:cs="Arial"/>
          <w:sz w:val="24"/>
          <w:lang w:val="en-US"/>
        </w:rPr>
        <w:t xml:space="preserve"> </w:t>
      </w:r>
      <w:r w:rsidR="0062224F" w:rsidRPr="00FF5897">
        <w:rPr>
          <w:rFonts w:ascii="Arial" w:hAnsi="Arial" w:cs="Arial"/>
          <w:sz w:val="24"/>
          <w:lang w:val="en-US"/>
        </w:rPr>
        <w:t>2</w:t>
      </w:r>
      <w:r w:rsidR="00C14A0A" w:rsidRPr="00FF5897">
        <w:rPr>
          <w:rFonts w:ascii="Arial" w:hAnsi="Arial" w:cs="Arial"/>
          <w:sz w:val="24"/>
          <w:lang w:val="en-US"/>
        </w:rPr>
        <w:t xml:space="preserve">) the </w:t>
      </w:r>
      <w:r w:rsidR="002B27CE" w:rsidRPr="00FF5897">
        <w:rPr>
          <w:rFonts w:ascii="Arial" w:hAnsi="Arial" w:cs="Arial"/>
          <w:sz w:val="24"/>
          <w:lang w:val="en-US"/>
        </w:rPr>
        <w:t>production</w:t>
      </w:r>
      <w:r w:rsidR="00C14A0A" w:rsidRPr="00FF5897">
        <w:rPr>
          <w:rFonts w:ascii="Arial" w:hAnsi="Arial" w:cs="Arial"/>
          <w:sz w:val="24"/>
          <w:lang w:val="en-US"/>
        </w:rPr>
        <w:t xml:space="preserve"> rate </w:t>
      </w:r>
      <w:r w:rsidR="001C425C" w:rsidRPr="00FF5897">
        <w:rPr>
          <w:rFonts w:ascii="Arial" w:hAnsi="Arial" w:cs="Arial"/>
          <w:sz w:val="24"/>
          <w:lang w:val="en-US"/>
        </w:rPr>
        <w:t xml:space="preserve">and </w:t>
      </w:r>
      <w:r w:rsidR="0062224F" w:rsidRPr="00FF5897">
        <w:rPr>
          <w:rFonts w:ascii="Arial" w:hAnsi="Arial" w:cs="Arial"/>
          <w:sz w:val="24"/>
          <w:lang w:val="en-US"/>
        </w:rPr>
        <w:t>finally 3</w:t>
      </w:r>
      <w:r w:rsidR="001C425C" w:rsidRPr="00FF5897">
        <w:rPr>
          <w:rFonts w:ascii="Arial" w:hAnsi="Arial" w:cs="Arial"/>
          <w:sz w:val="24"/>
          <w:lang w:val="en-US"/>
        </w:rPr>
        <w:t xml:space="preserve">) the composition </w:t>
      </w:r>
      <w:r w:rsidR="00C14A0A" w:rsidRPr="00FF5897">
        <w:rPr>
          <w:rFonts w:ascii="Arial" w:hAnsi="Arial" w:cs="Arial"/>
          <w:sz w:val="24"/>
          <w:lang w:val="en-US"/>
        </w:rPr>
        <w:t>(</w:t>
      </w:r>
      <w:r w:rsidR="00C14A0A" w:rsidRPr="00FF5897">
        <w:rPr>
          <w:rFonts w:ascii="Arial" w:hAnsi="Arial" w:cs="Arial"/>
          <w:b/>
          <w:sz w:val="24"/>
          <w:lang w:val="en-US"/>
        </w:rPr>
        <w:t>Figure S</w:t>
      </w:r>
      <w:r w:rsidR="0008072F" w:rsidRPr="00FF5897">
        <w:rPr>
          <w:rFonts w:ascii="Arial" w:hAnsi="Arial" w:cs="Arial"/>
          <w:b/>
          <w:sz w:val="24"/>
          <w:lang w:val="en-US"/>
        </w:rPr>
        <w:t>2</w:t>
      </w:r>
      <w:r w:rsidR="00C14A0A" w:rsidRPr="00FF5897">
        <w:rPr>
          <w:rFonts w:ascii="Arial" w:hAnsi="Arial" w:cs="Arial"/>
          <w:sz w:val="24"/>
          <w:lang w:val="en-US"/>
        </w:rPr>
        <w:t>)</w:t>
      </w:r>
      <w:r w:rsidR="00731044" w:rsidRPr="00FF5897">
        <w:rPr>
          <w:rFonts w:ascii="Arial" w:hAnsi="Arial" w:cs="Arial"/>
          <w:sz w:val="24"/>
          <w:lang w:val="en-US"/>
        </w:rPr>
        <w:t>.</w:t>
      </w:r>
      <w:r w:rsidR="00C14A0A" w:rsidRPr="00FF5897">
        <w:rPr>
          <w:rFonts w:ascii="Arial" w:hAnsi="Arial" w:cs="Arial"/>
          <w:sz w:val="24"/>
          <w:lang w:val="en-US"/>
        </w:rPr>
        <w:t xml:space="preserve"> </w:t>
      </w:r>
    </w:p>
    <w:p w14:paraId="457A8C46" w14:textId="77B82EA1" w:rsidR="00CA1050" w:rsidRPr="00B130A7" w:rsidRDefault="00E657CB" w:rsidP="00CA1050">
      <w:pPr>
        <w:jc w:val="both"/>
        <w:rPr>
          <w:rFonts w:ascii="Arial" w:hAnsi="Arial" w:cs="Arial"/>
          <w:b/>
          <w:sz w:val="28"/>
          <w:szCs w:val="28"/>
          <w:lang w:val="en-US"/>
        </w:rPr>
      </w:pPr>
      <w:r>
        <w:rPr>
          <w:rFonts w:ascii="Arial" w:hAnsi="Arial" w:cs="Arial"/>
          <w:b/>
          <w:noProof/>
          <w:sz w:val="28"/>
          <w:szCs w:val="28"/>
          <w:lang w:val="en-US"/>
        </w:rPr>
        <w:drawing>
          <wp:inline distT="0" distB="0" distL="0" distR="0" wp14:anchorId="6FE1D770" wp14:editId="50C47182">
            <wp:extent cx="5731510" cy="2692400"/>
            <wp:effectExtent l="0" t="0" r="2540" b="0"/>
            <wp:docPr id="1969269531"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69531" name="Picture 1" descr="A diagram of a machi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692400"/>
                    </a:xfrm>
                    <a:prstGeom prst="rect">
                      <a:avLst/>
                    </a:prstGeom>
                  </pic:spPr>
                </pic:pic>
              </a:graphicData>
            </a:graphic>
          </wp:inline>
        </w:drawing>
      </w:r>
    </w:p>
    <w:p w14:paraId="09643572" w14:textId="5D905948" w:rsidR="00CA1050" w:rsidRPr="00D87426" w:rsidRDefault="00CA1050" w:rsidP="00CA1050">
      <w:pPr>
        <w:spacing w:after="100" w:afterAutospacing="1"/>
        <w:jc w:val="both"/>
        <w:rPr>
          <w:rFonts w:ascii="Arial" w:hAnsi="Arial" w:cs="Arial"/>
          <w:sz w:val="24"/>
          <w:szCs w:val="24"/>
          <w:lang w:val="en-US"/>
        </w:rPr>
      </w:pPr>
      <w:r w:rsidRPr="00D87426">
        <w:rPr>
          <w:rFonts w:ascii="Arial" w:hAnsi="Arial" w:cs="Arial"/>
          <w:b/>
          <w:sz w:val="24"/>
          <w:szCs w:val="24"/>
          <w:lang w:val="en-US"/>
        </w:rPr>
        <w:t>Figure S2.</w:t>
      </w:r>
      <w:r w:rsidRPr="00D87426">
        <w:rPr>
          <w:rFonts w:ascii="Arial" w:hAnsi="Arial" w:cs="Arial"/>
          <w:sz w:val="24"/>
          <w:szCs w:val="24"/>
          <w:lang w:val="en-US"/>
        </w:rPr>
        <w:t xml:space="preserve"> Description of the spark ablation and electrostatic deposition experimental set-up, operation, and electrical components. (A) Faraday cup used to collect either negatively or positively charged particles from the aerosol. The measured current (via an electrometer) allows to determine the number of ions hitting the cup per unit of time giving a measure of the ablation rate (cluster production rate). (B) Deposition chamber allowing for a filter deposition in which the entire aerosol flow is passed through a substrate as well as an electrostatic deposition method</w:t>
      </w:r>
      <w:r w:rsidRPr="00D87426">
        <w:rPr>
          <w:rFonts w:ascii="Arial" w:hAnsi="Arial" w:cs="Arial"/>
          <w:sz w:val="24"/>
          <w:szCs w:val="24"/>
          <w:lang w:val="en-US"/>
        </w:rPr>
        <w:fldChar w:fldCharType="begin"/>
      </w:r>
      <w:r w:rsidR="004F6613">
        <w:rPr>
          <w:rFonts w:ascii="Arial" w:hAnsi="Arial" w:cs="Arial"/>
          <w:sz w:val="24"/>
          <w:szCs w:val="24"/>
          <w:lang w:val="en-US"/>
        </w:rPr>
        <w:instrText xml:space="preserve"> ADDIN ZOTERO_ITEM CSL_CITATION {"citationID":"o3T6ewZA","properties":{"formattedCitation":"\\super 14\\nosupersub{}","plainCitation":"14","noteIndex":0},"citationItems":[{"id":1133,"uris":["http://zotero.org/users/4941048/items/95R2B23L"],"itemData":{"id":1133,"type":"article-journal","abstract":"Deposition of aerosol nanoparticles using an electrostatic precipitator is widely used in the aerosol community. Despite this, basic knowledge regarding what governs the deposition has been missing. This concerns the prediction of the size of the particle collection zone, but also, perhaps more importantly, prediction of the nanoparticle concentration distribution on the substrate, both of which are necessary to achieve faster and more precise deposition. In this article, we have used COMSOL Multiphysics simulations, experimental depositions, and two analytical models to describe the deposition. Based on that, we propose a simple equation that can be used to predict the size of the deposition spot as well as the particle concentration on the substrate. The equation we derive concludes that the size of the deposition spot only depends on the gas flow rate into the precipitator, and on the constant drift velocity of a particle in an electric field. The equation also displays that the deposited particle concentration is independent of the gas flow rate. Our general mathematical analysis has great applicability, as it can be used to model different geometries and different types of deposition methods than the one described in this article. We can therefore also propose that the drift velocity in this model easily could be replaced by another velocity acting on the particles at other deposition conditions, for instance, the thermophoretic velocity during thermophoretic deposition. This would result in the same dependence as presented in this article. Finally, we demonstrate analytically and through experiment that the particle distribution inside the spot will be homogenous and follows a top hat profile.","container-title":"Aerosol Science and Technology","DOI":"10.1080/02786826.2020.1716939","ISSN":"0278-6826","issue":"6","note":"publisher: Taylor &amp; Francis\n_eprint: https://doi.org/10.1080/02786826.2020.1716939","page":"718-728","source":"Taylor and Francis+NEJM","title":"Predicting the deposition spot radius and the nanoparticle concentration distribution in an electrostatic precipitator","volume":"54","author":[{"family":"Preger","given":"Calle"},{"family":"Overgaard","given":"Niels C."},{"family":"Messing","given":"Maria E."},{"family":"Magnusson","given":"Martin H."}],"issued":{"date-parts":[["2020",6,2]]}}}],"schema":"https://github.com/citation-style-language/schema/raw/master/csl-citation.json"} </w:instrText>
      </w:r>
      <w:r w:rsidRPr="00D87426">
        <w:rPr>
          <w:rFonts w:ascii="Arial" w:hAnsi="Arial" w:cs="Arial"/>
          <w:sz w:val="24"/>
          <w:szCs w:val="24"/>
          <w:lang w:val="en-US"/>
        </w:rPr>
        <w:fldChar w:fldCharType="separate"/>
      </w:r>
      <w:r w:rsidRPr="00D87426">
        <w:rPr>
          <w:rFonts w:ascii="Arial" w:hAnsi="Arial" w:cs="Arial"/>
          <w:sz w:val="24"/>
          <w:szCs w:val="24"/>
          <w:vertAlign w:val="superscript"/>
        </w:rPr>
        <w:t>14</w:t>
      </w:r>
      <w:r w:rsidRPr="00D87426">
        <w:rPr>
          <w:rFonts w:ascii="Arial" w:hAnsi="Arial" w:cs="Arial"/>
          <w:sz w:val="24"/>
          <w:szCs w:val="24"/>
          <w:lang w:val="en-US"/>
        </w:rPr>
        <w:fldChar w:fldCharType="end"/>
      </w:r>
      <w:r w:rsidRPr="00D87426">
        <w:rPr>
          <w:rFonts w:ascii="Arial" w:hAnsi="Arial" w:cs="Arial"/>
          <w:sz w:val="24"/>
          <w:szCs w:val="24"/>
          <w:lang w:val="en-US"/>
        </w:rPr>
        <w:t xml:space="preserve"> in which a bias is applied to a substrate and as such only particles of opposite polarity are adhered to it. (C) Aerosol exhaust. (D) Positive electrode (grounded). (E) Spark chamber. (F) Carrier gas (Ar) flow inlet. Direction of flow is from (E) to (B). (G) Negative electrode. (H) Pin-to-hole configuration of the electrode set-up of the spark ablator showing two Cu electrodes. Exchanging the pin or negative electrode for Ag allows for the production of bimetallic clusters. (I) Picture of the spark in operation. (J) Resistance-inductance-capacitance (RLC) electrical circuit, in which </w:t>
      </w:r>
      <w:r w:rsidRPr="00D87426">
        <w:rPr>
          <w:rFonts w:ascii="Arial" w:hAnsi="Arial" w:cs="Arial"/>
          <w:i/>
          <w:sz w:val="24"/>
          <w:szCs w:val="24"/>
          <w:lang w:val="en-US"/>
        </w:rPr>
        <w:t xml:space="preserve">I </w:t>
      </w:r>
      <w:r w:rsidRPr="00D87426">
        <w:rPr>
          <w:rFonts w:ascii="Arial" w:hAnsi="Arial" w:cs="Arial"/>
          <w:sz w:val="24"/>
          <w:szCs w:val="24"/>
          <w:lang w:val="en-US"/>
        </w:rPr>
        <w:t xml:space="preserve">denote the power supply. </w:t>
      </w:r>
      <w:r w:rsidRPr="00D87426">
        <w:rPr>
          <w:rFonts w:ascii="Arial" w:hAnsi="Arial" w:cs="Arial"/>
          <w:i/>
          <w:sz w:val="24"/>
          <w:szCs w:val="24"/>
          <w:lang w:val="en-US"/>
        </w:rPr>
        <w:t>C</w:t>
      </w:r>
      <w:r w:rsidRPr="00D87426">
        <w:rPr>
          <w:rFonts w:ascii="Arial" w:hAnsi="Arial" w:cs="Arial"/>
          <w:sz w:val="24"/>
          <w:szCs w:val="24"/>
          <w:lang w:val="en-US"/>
        </w:rPr>
        <w:t xml:space="preserve"> denote(s) the capacitor, </w:t>
      </w:r>
      <w:r w:rsidRPr="00D87426">
        <w:rPr>
          <w:rFonts w:ascii="Arial" w:hAnsi="Arial" w:cs="Arial"/>
          <w:i/>
          <w:sz w:val="24"/>
          <w:szCs w:val="24"/>
          <w:lang w:val="en-US"/>
        </w:rPr>
        <w:t>L</w:t>
      </w:r>
      <w:r w:rsidRPr="00D87426">
        <w:rPr>
          <w:rFonts w:ascii="Arial" w:hAnsi="Arial" w:cs="Arial"/>
          <w:sz w:val="24"/>
          <w:szCs w:val="24"/>
          <w:lang w:val="en-US"/>
        </w:rPr>
        <w:t xml:space="preserve"> denotes the inductor needed to store potential energy via the magnetic field needed </w:t>
      </w:r>
      <w:r w:rsidRPr="00D87426">
        <w:rPr>
          <w:rFonts w:ascii="Arial" w:hAnsi="Arial" w:cs="Arial"/>
          <w:sz w:val="24"/>
          <w:szCs w:val="24"/>
          <w:lang w:val="en-US"/>
        </w:rPr>
        <w:lastRenderedPageBreak/>
        <w:t>for the oscillatory nature of the spark. The spark is indicated by the damped exponential with a ~100 ns time constant of the oscillation of the spark between the grounded and negative electrode.</w:t>
      </w:r>
    </w:p>
    <w:p w14:paraId="2AAAEBDA" w14:textId="77777777"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t>Note S2.1 Controlling the particle size</w:t>
      </w:r>
    </w:p>
    <w:p w14:paraId="7A26DE69"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The first objective, was to reduce the particle size, which can be estimated based on Eq. 1:</w:t>
      </w:r>
    </w:p>
    <w:tbl>
      <w:tblPr>
        <w:tblStyle w:val="TableGrid"/>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7987"/>
        <w:gridCol w:w="553"/>
      </w:tblGrid>
      <w:tr w:rsidR="005E4531" w14:paraId="5A9B6A69" w14:textId="77777777" w:rsidTr="00320FDF">
        <w:trPr>
          <w:trHeight w:val="927"/>
        </w:trPr>
        <w:tc>
          <w:tcPr>
            <w:tcW w:w="539" w:type="dxa"/>
            <w:vAlign w:val="center"/>
          </w:tcPr>
          <w:p w14:paraId="402F68A4" w14:textId="77777777" w:rsidR="005E4531" w:rsidRDefault="005E4531" w:rsidP="00320FDF">
            <w:pPr>
              <w:spacing w:before="240" w:after="100" w:afterAutospacing="1" w:line="360" w:lineRule="auto"/>
              <w:jc w:val="both"/>
              <w:rPr>
                <w:rFonts w:ascii="Arial" w:hAnsi="Arial" w:cs="Arial"/>
                <w:sz w:val="24"/>
              </w:rPr>
            </w:pPr>
          </w:p>
        </w:tc>
        <w:tc>
          <w:tcPr>
            <w:tcW w:w="7987" w:type="dxa"/>
            <w:vAlign w:val="bottom"/>
          </w:tcPr>
          <w:p w14:paraId="75CE3736" w14:textId="762ACE82" w:rsidR="005E4531" w:rsidRPr="009C7E3E" w:rsidRDefault="008D5356" w:rsidP="00320FDF">
            <w:pPr>
              <w:spacing w:after="100" w:afterAutospacing="1" w:line="360" w:lineRule="auto"/>
              <w:jc w:val="both"/>
              <w:rPr>
                <w:rFonts w:ascii="Arial" w:hAnsi="Arial"/>
                <w:sz w:val="24"/>
              </w:rPr>
            </w:pPr>
            <m:oMathPara>
              <m:oMathParaPr>
                <m:jc m:val="center"/>
              </m:oMathParaPr>
              <m:oMath>
                <m:r>
                  <w:rPr>
                    <w:rFonts w:ascii="Cambria Math" w:hAnsi="Cambria Math" w:cs="Arial"/>
                    <w:sz w:val="24"/>
                    <w:szCs w:val="24"/>
                  </w:rPr>
                  <m:t>D≈</m:t>
                </m:r>
                <m:sSup>
                  <m:sSupPr>
                    <m:ctrlPr>
                      <w:rPr>
                        <w:rFonts w:ascii="Cambria Math" w:hAnsi="Cambria Math" w:cs="Arial"/>
                        <w:i/>
                        <w:sz w:val="24"/>
                      </w:rPr>
                    </m:ctrlPr>
                  </m:sSupPr>
                  <m:e>
                    <m:d>
                      <m:dPr>
                        <m:ctrlPr>
                          <w:rPr>
                            <w:rFonts w:ascii="Cambria Math" w:hAnsi="Cambria Math" w:cs="Arial"/>
                            <w:i/>
                            <w:sz w:val="24"/>
                          </w:rPr>
                        </m:ctrlPr>
                      </m:dPr>
                      <m:e>
                        <m:f>
                          <m:fPr>
                            <m:ctrlPr>
                              <w:rPr>
                                <w:rFonts w:ascii="Cambria Math" w:hAnsi="Cambria Math" w:cs="Arial"/>
                                <w:i/>
                                <w:sz w:val="24"/>
                              </w:rPr>
                            </m:ctrlPr>
                          </m:fPr>
                          <m:num>
                            <m:r>
                              <w:rPr>
                                <w:rFonts w:ascii="Cambria Math" w:hAnsi="Cambria Math" w:cs="Arial"/>
                                <w:sz w:val="24"/>
                                <w:szCs w:val="24"/>
                              </w:rPr>
                              <m:t>3β</m:t>
                            </m:r>
                            <m:sSub>
                              <m:sSubPr>
                                <m:ctrlPr>
                                  <w:rPr>
                                    <w:rFonts w:ascii="Cambria Math" w:hAnsi="Cambria Math" w:cs="Arial"/>
                                    <w:i/>
                                    <w:sz w:val="24"/>
                                  </w:rPr>
                                </m:ctrlPr>
                              </m:sSubPr>
                              <m:e>
                                <m:r>
                                  <w:rPr>
                                    <w:rFonts w:ascii="Cambria Math" w:hAnsi="Cambria Math" w:cs="Arial"/>
                                    <w:sz w:val="24"/>
                                    <w:szCs w:val="24"/>
                                  </w:rPr>
                                  <m:t>V</m:t>
                                </m:r>
                              </m:e>
                              <m:sub>
                                <m:r>
                                  <w:rPr>
                                    <w:rFonts w:ascii="Cambria Math" w:hAnsi="Cambria Math" w:cs="Arial"/>
                                    <w:sz w:val="24"/>
                                    <w:szCs w:val="24"/>
                                  </w:rPr>
                                  <m:t>eff</m:t>
                                </m:r>
                              </m:sub>
                            </m:sSub>
                            <m:acc>
                              <m:accPr>
                                <m:chr m:val="̇"/>
                                <m:ctrlPr>
                                  <w:rPr>
                                    <w:rFonts w:ascii="Cambria Math" w:hAnsi="Cambria Math" w:cs="Arial"/>
                                    <w:i/>
                                    <w:sz w:val="24"/>
                                  </w:rPr>
                                </m:ctrlPr>
                              </m:accPr>
                              <m:e>
                                <m:r>
                                  <w:rPr>
                                    <w:rFonts w:ascii="Cambria Math" w:hAnsi="Cambria Math" w:cs="Arial"/>
                                    <w:sz w:val="24"/>
                                    <w:szCs w:val="24"/>
                                  </w:rPr>
                                  <m:t>m</m:t>
                                </m:r>
                              </m:e>
                            </m:acc>
                          </m:num>
                          <m:den>
                            <m:r>
                              <w:rPr>
                                <w:rFonts w:ascii="Cambria Math" w:hAnsi="Cambria Math" w:cs="Arial"/>
                                <w:sz w:val="24"/>
                                <w:szCs w:val="24"/>
                              </w:rPr>
                              <m:t>ρπ</m:t>
                            </m:r>
                            <m:sSup>
                              <m:sSupPr>
                                <m:ctrlPr>
                                  <w:rPr>
                                    <w:rFonts w:ascii="Cambria Math" w:hAnsi="Cambria Math" w:cs="Arial"/>
                                    <w:i/>
                                    <w:sz w:val="24"/>
                                  </w:rPr>
                                </m:ctrlPr>
                              </m:sSupPr>
                              <m:e>
                                <m:r>
                                  <w:rPr>
                                    <w:rFonts w:ascii="Cambria Math" w:hAnsi="Cambria Math" w:cs="Arial"/>
                                    <w:sz w:val="24"/>
                                    <w:szCs w:val="24"/>
                                  </w:rPr>
                                  <m:t>Q</m:t>
                                </m:r>
                              </m:e>
                              <m:sup>
                                <m:r>
                                  <w:rPr>
                                    <w:rFonts w:ascii="Cambria Math" w:hAnsi="Cambria Math" w:cs="Arial"/>
                                    <w:sz w:val="24"/>
                                    <w:szCs w:val="24"/>
                                  </w:rPr>
                                  <m:t>2</m:t>
                                </m:r>
                              </m:sup>
                            </m:sSup>
                          </m:den>
                        </m:f>
                      </m:e>
                    </m:d>
                  </m:e>
                  <m:sup>
                    <m:f>
                      <m:fPr>
                        <m:type m:val="skw"/>
                        <m:ctrlPr>
                          <w:rPr>
                            <w:rFonts w:ascii="Cambria Math" w:hAnsi="Cambria Math" w:cs="Arial"/>
                            <w:i/>
                            <w:sz w:val="24"/>
                          </w:rPr>
                        </m:ctrlPr>
                      </m:fPr>
                      <m:num>
                        <m:r>
                          <w:rPr>
                            <w:rFonts w:ascii="Cambria Math" w:hAnsi="Cambria Math" w:cs="Arial"/>
                            <w:sz w:val="24"/>
                            <w:szCs w:val="24"/>
                          </w:rPr>
                          <m:t>1</m:t>
                        </m:r>
                      </m:num>
                      <m:den>
                        <m:r>
                          <w:rPr>
                            <w:rFonts w:ascii="Cambria Math" w:hAnsi="Cambria Math" w:cs="Arial"/>
                            <w:sz w:val="24"/>
                            <w:szCs w:val="24"/>
                          </w:rPr>
                          <m:t>3</m:t>
                        </m:r>
                      </m:den>
                    </m:f>
                  </m:sup>
                </m:sSup>
              </m:oMath>
            </m:oMathPara>
          </w:p>
        </w:tc>
        <w:tc>
          <w:tcPr>
            <w:tcW w:w="553" w:type="dxa"/>
          </w:tcPr>
          <w:p w14:paraId="03291871" w14:textId="77777777" w:rsidR="005E4531" w:rsidRDefault="006B323D" w:rsidP="00320FDF">
            <w:pPr>
              <w:spacing w:before="240" w:after="100" w:afterAutospacing="1" w:line="360" w:lineRule="auto"/>
              <w:jc w:val="both"/>
              <w:rPr>
                <w:rFonts w:ascii="Arial" w:hAnsi="Arial" w:cs="Arial"/>
                <w:sz w:val="24"/>
              </w:rPr>
            </w:pPr>
            <w:r w:rsidRPr="009C7E3E">
              <w:rPr>
                <w:rFonts w:ascii="Arial" w:hAnsi="Arial"/>
                <w:sz w:val="24"/>
              </w:rPr>
              <w:t>(1)</w:t>
            </w:r>
          </w:p>
        </w:tc>
      </w:tr>
    </w:tbl>
    <w:p w14:paraId="2679B1C7" w14:textId="77777777" w:rsidR="008D5356" w:rsidRPr="00FF5897" w:rsidRDefault="008D5356" w:rsidP="00FD4D0D">
      <w:pPr>
        <w:spacing w:after="100" w:afterAutospacing="1" w:line="360" w:lineRule="auto"/>
        <w:jc w:val="both"/>
        <w:rPr>
          <w:rFonts w:ascii="Arial" w:hAnsi="Arial" w:cs="Arial"/>
          <w:sz w:val="24"/>
          <w:lang w:val="en-US"/>
        </w:rPr>
      </w:pPr>
      <w:r w:rsidRPr="00FF5897">
        <w:rPr>
          <w:rFonts w:ascii="Arial" w:hAnsi="Arial" w:cs="Arial"/>
          <w:sz w:val="24"/>
          <w:lang w:val="en-US"/>
        </w:rPr>
        <w:t xml:space="preserve">in which </w:t>
      </w:r>
      <w:r w:rsidRPr="00FF5897">
        <w:rPr>
          <w:rFonts w:ascii="Arial" w:hAnsi="Arial" w:cs="Arial"/>
          <w:i/>
          <w:sz w:val="24"/>
          <w:lang w:val="en-US"/>
        </w:rPr>
        <w:t>Q</w:t>
      </w:r>
      <w:r w:rsidRPr="00FF5897">
        <w:rPr>
          <w:rFonts w:ascii="Arial" w:hAnsi="Arial" w:cs="Arial"/>
          <w:sz w:val="24"/>
          <w:lang w:val="en-US"/>
        </w:rPr>
        <w:t xml:space="preserve"> carrier gas flow rate in this case Ar [m</w:t>
      </w:r>
      <w:r w:rsidRPr="00FF5897">
        <w:rPr>
          <w:rFonts w:ascii="Arial" w:hAnsi="Arial" w:cs="Arial"/>
          <w:sz w:val="24"/>
          <w:vertAlign w:val="superscript"/>
          <w:lang w:val="en-US"/>
        </w:rPr>
        <w:t>3</w:t>
      </w:r>
      <w:r w:rsidRPr="00FF5897">
        <w:rPr>
          <w:rFonts w:ascii="Arial" w:hAnsi="Arial" w:cs="Arial"/>
          <w:sz w:val="24"/>
          <w:lang w:val="en-US"/>
        </w:rPr>
        <w:t xml:space="preserve"> s</w:t>
      </w:r>
      <w:r w:rsidRPr="00FF5897">
        <w:rPr>
          <w:rFonts w:ascii="Arial" w:hAnsi="Arial" w:cs="Arial"/>
          <w:sz w:val="24"/>
          <w:vertAlign w:val="superscript"/>
          <w:lang w:val="en-US"/>
        </w:rPr>
        <w:t>-1</w:t>
      </w:r>
      <w:r w:rsidRPr="00FF5897">
        <w:rPr>
          <w:rFonts w:ascii="Arial" w:hAnsi="Arial" w:cs="Arial"/>
          <w:sz w:val="24"/>
          <w:lang w:val="en-US"/>
        </w:rPr>
        <w:t xml:space="preserve">], </w:t>
      </w:r>
      <w:proofErr w:type="spellStart"/>
      <w:r w:rsidRPr="00FF5897">
        <w:rPr>
          <w:rFonts w:ascii="Arial" w:hAnsi="Arial" w:cs="Arial"/>
          <w:i/>
          <w:sz w:val="24"/>
          <w:lang w:val="en-US"/>
        </w:rPr>
        <w:t>V</w:t>
      </w:r>
      <w:r w:rsidRPr="00FF5897">
        <w:rPr>
          <w:rFonts w:ascii="Arial" w:hAnsi="Arial" w:cs="Arial"/>
          <w:i/>
          <w:sz w:val="24"/>
          <w:vertAlign w:val="subscript"/>
          <w:lang w:val="en-US"/>
        </w:rPr>
        <w:t>eff</w:t>
      </w:r>
      <w:proofErr w:type="spellEnd"/>
      <w:r w:rsidRPr="00FF5897">
        <w:rPr>
          <w:rFonts w:ascii="Arial" w:hAnsi="Arial" w:cs="Arial"/>
          <w:sz w:val="24"/>
          <w:lang w:val="en-US"/>
        </w:rPr>
        <w:t xml:space="preserve">  the effective volume in the spark chamber [m</w:t>
      </w:r>
      <w:r w:rsidRPr="00FF5897">
        <w:rPr>
          <w:rFonts w:ascii="Arial" w:hAnsi="Arial" w:cs="Arial"/>
          <w:sz w:val="24"/>
          <w:vertAlign w:val="superscript"/>
          <w:lang w:val="en-US"/>
        </w:rPr>
        <w:t>3</w:t>
      </w:r>
      <w:r w:rsidRPr="00FF5897">
        <w:rPr>
          <w:rFonts w:ascii="Arial" w:hAnsi="Arial" w:cs="Arial"/>
          <w:sz w:val="24"/>
          <w:lang w:val="en-US"/>
        </w:rPr>
        <w:t xml:space="preserve">], </w:t>
      </w:r>
      <w:r w:rsidRPr="00FF5897">
        <w:rPr>
          <w:rFonts w:ascii="Arial" w:hAnsi="Arial" w:cs="Arial"/>
          <w:i/>
          <w:sz w:val="24"/>
          <w:lang w:val="en-US"/>
        </w:rPr>
        <w:t>β</w:t>
      </w:r>
      <w:r w:rsidRPr="00FF5897">
        <w:rPr>
          <w:rFonts w:ascii="Arial" w:hAnsi="Arial" w:cs="Arial"/>
          <w:sz w:val="24"/>
          <w:lang w:val="en-US"/>
        </w:rPr>
        <w:t xml:space="preserve"> the coalescence kernel [m</w:t>
      </w:r>
      <w:r w:rsidRPr="00FF5897">
        <w:rPr>
          <w:rFonts w:ascii="Arial" w:hAnsi="Arial" w:cs="Arial"/>
          <w:sz w:val="24"/>
          <w:vertAlign w:val="superscript"/>
          <w:lang w:val="en-US"/>
        </w:rPr>
        <w:t>3</w:t>
      </w:r>
      <w:r w:rsidRPr="00FF5897">
        <w:rPr>
          <w:rFonts w:ascii="Arial" w:hAnsi="Arial" w:cs="Arial"/>
          <w:sz w:val="24"/>
          <w:lang w:val="en-US"/>
        </w:rPr>
        <w:t xml:space="preserve"> s</w:t>
      </w:r>
      <w:r w:rsidRPr="00FF5897">
        <w:rPr>
          <w:rFonts w:ascii="Arial" w:hAnsi="Arial" w:cs="Arial"/>
          <w:sz w:val="24"/>
          <w:vertAlign w:val="superscript"/>
          <w:lang w:val="en-US"/>
        </w:rPr>
        <w:t>-1</w:t>
      </w:r>
      <w:r w:rsidRPr="00FF5897">
        <w:rPr>
          <w:rFonts w:ascii="Arial" w:hAnsi="Arial" w:cs="Arial"/>
          <w:sz w:val="24"/>
          <w:lang w:val="en-US"/>
        </w:rPr>
        <w:t xml:space="preserve">], which is rate at which two particles coalesce, </w:t>
      </w:r>
      <m:oMath>
        <m:acc>
          <m:accPr>
            <m:chr m:val="̇"/>
            <m:ctrlPr>
              <w:rPr>
                <w:rFonts w:ascii="Cambria Math" w:eastAsia="Cambria" w:hAnsi="Cambria Math" w:cs="Arial"/>
                <w:i/>
                <w:sz w:val="24"/>
                <w:szCs w:val="24"/>
                <w:lang w:val="en-US"/>
              </w:rPr>
            </m:ctrlPr>
          </m:accPr>
          <m:e>
            <m:r>
              <w:rPr>
                <w:rFonts w:ascii="Cambria Math" w:hAnsi="Cambria Math" w:cs="Arial"/>
                <w:sz w:val="24"/>
                <w:szCs w:val="24"/>
              </w:rPr>
              <m:t>m</m:t>
            </m:r>
          </m:e>
        </m:acc>
      </m:oMath>
      <w:r w:rsidRPr="00FF5897">
        <w:rPr>
          <w:rFonts w:ascii="Arial" w:hAnsi="Arial" w:cs="Arial"/>
          <w:sz w:val="24"/>
          <w:lang w:val="en-US"/>
        </w:rPr>
        <w:t xml:space="preserve"> the mass production rate [kg s</w:t>
      </w:r>
      <w:r w:rsidRPr="00FF5897">
        <w:rPr>
          <w:rFonts w:ascii="Arial" w:hAnsi="Arial" w:cs="Arial"/>
          <w:sz w:val="24"/>
          <w:vertAlign w:val="superscript"/>
          <w:lang w:val="en-US"/>
        </w:rPr>
        <w:t>-1</w:t>
      </w:r>
      <w:r w:rsidRPr="00FF5897">
        <w:rPr>
          <w:rFonts w:ascii="Arial" w:hAnsi="Arial" w:cs="Arial"/>
          <w:sz w:val="24"/>
          <w:lang w:val="en-US"/>
        </w:rPr>
        <w:t xml:space="preserve">]and </w:t>
      </w:r>
      <w:r w:rsidRPr="00FF5897">
        <w:rPr>
          <w:rFonts w:ascii="Arial" w:hAnsi="Arial" w:cs="Arial"/>
          <w:i/>
          <w:sz w:val="24"/>
          <w:lang w:val="en-US"/>
        </w:rPr>
        <w:t>ρ</w:t>
      </w:r>
      <w:r w:rsidRPr="00FF5897">
        <w:rPr>
          <w:rFonts w:ascii="Arial" w:hAnsi="Arial" w:cs="Arial"/>
          <w:sz w:val="24"/>
          <w:lang w:val="en-US"/>
        </w:rPr>
        <w:t xml:space="preserve"> the density of the material ablated [kg m</w:t>
      </w:r>
      <w:r w:rsidRPr="00FF5897">
        <w:rPr>
          <w:rFonts w:ascii="Arial" w:hAnsi="Arial" w:cs="Arial"/>
          <w:sz w:val="24"/>
          <w:vertAlign w:val="superscript"/>
          <w:lang w:val="en-US"/>
        </w:rPr>
        <w:t>-3</w:t>
      </w:r>
      <w:r w:rsidRPr="00FF5897">
        <w:rPr>
          <w:rFonts w:ascii="Arial" w:hAnsi="Arial" w:cs="Arial"/>
          <w:sz w:val="24"/>
          <w:lang w:val="en-US"/>
        </w:rPr>
        <w:t>].</w:t>
      </w:r>
      <w:r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{"citationID":"WkTqVOaU","properties":{"formattedCitation":"\\super 15\\nosupersub{}","plainCitation":"15","noteIndex":0},"citationItems":[{"id":1134,"uris":["http://zotero.org/users/4941048/items/M662Y4FC"],"itemData":{"id":1134,"type":"article-journal","abstract":"Continuous gas-phase synthesis of nanoparticles is associated with rapid agglomeration, which can be a limiting factor for numerous applications. In this report, we challenge this paradigm by providing experimental evidence to support that gas-phase methods can be used to produce ultrapure non-agglomerated “singlet” nanoparticles having tunable sizes at room temperature. By controlling the temperature in the particle growth zone to guarantee complete coalescence of colliding entities, the size of singlets in principle can be regulated from that of single atoms to any desired value. We assess our results in the context of a simple analytical model to explore the dependence of singlet size on the operating conditions. Agreement of the model with experimental measurements shows that these methods can be effectively used for producing singlets that can be processed further by many alternative approaches. Combined with the capabilities of up-scaling and unlimited mixing that spark ablation enables, this study provides an easy-to-use concept for producing the key building blocks for low-cost industrial-scale nanofabrication of advanced materials.","container-title":"Scientific Reports","DOI":"10.1038/srep15788","ISSN":"2045-2322","issue":"1","journalAbbreviation":"Sci Rep","language":"en","license":"2015 The Author(s)","note":"Bandiera_abtest: a\nCc_license_type: cc_by\nCg_type: Nature Research Journals\nnumber: 1\nPrimary_atype: Research\npublisher: Nature Publishing Group\nSubject_term: Nanoparticles;Synthesis and processing\nSubject_term_id: nanoparticles;synthesis-and-processing","page":"15788","source":"www.nature.com","title":"Toward industrial scale synthesis of ultrapure singlet nanoparticles with controllable sizes in a continuous gas-phase process","volume":"5","author":[{"family":"Feng","given":"Jicheng"},{"family":"Biskos","given":"George"},{"family":"Schmidt-Ott","given":"Andreas"}],"issued":{"date-parts":[["2015",10,29]]}}}],"schema":"https://github.com/citation-style-language/schema/raw/master/csl-citation.json"} </w:instrText>
      </w:r>
      <w:r w:rsidRPr="00FF5897">
        <w:rPr>
          <w:rFonts w:ascii="Arial" w:hAnsi="Arial" w:cs="Arial"/>
          <w:sz w:val="24"/>
          <w:lang w:val="en-US"/>
        </w:rPr>
        <w:fldChar w:fldCharType="separate"/>
      </w:r>
      <w:r w:rsidR="001E3C11" w:rsidRPr="00FF5897">
        <w:rPr>
          <w:rFonts w:ascii="Arial" w:hAnsi="Arial" w:cs="Arial"/>
          <w:sz w:val="24"/>
          <w:vertAlign w:val="superscript"/>
        </w:rPr>
        <w:t>15</w:t>
      </w:r>
      <w:r w:rsidRPr="00FF5897">
        <w:rPr>
          <w:rFonts w:ascii="Arial" w:hAnsi="Arial" w:cs="Arial"/>
          <w:sz w:val="24"/>
          <w:lang w:val="en-US"/>
        </w:rPr>
        <w:fldChar w:fldCharType="end"/>
      </w:r>
      <w:r w:rsidRPr="00FF5897">
        <w:rPr>
          <w:rFonts w:ascii="Arial" w:hAnsi="Arial" w:cs="Arial"/>
          <w:sz w:val="24"/>
          <w:vertAlign w:val="superscript"/>
          <w:lang w:val="en-US"/>
        </w:rPr>
        <w:t>,</w:t>
      </w:r>
      <w:r w:rsidRPr="00FF5897">
        <w:rPr>
          <w:rFonts w:ascii="Arial" w:hAnsi="Arial" w:cs="Arial"/>
          <w:sz w:val="24"/>
          <w:vertAlign w:val="superscript"/>
          <w:lang w:val="en-US"/>
        </w:rPr>
        <w:fldChar w:fldCharType="begin"/>
      </w:r>
      <w:r w:rsidR="00FD4D0D">
        <w:rPr>
          <w:rFonts w:ascii="Arial" w:hAnsi="Arial" w:cs="Arial"/>
          <w:sz w:val="24"/>
          <w:vertAlign w:val="superscript"/>
          <w:lang w:val="en-US"/>
        </w:rPr>
        <w:instrText xml:space="preserve"> ADDIN ZOTERO_ITEM CSL_CITATION {"citationID":"91CqaK0p","properties":{"formattedCitation":"\\super 16\\nosupersub{}","plainCitation":"16","noteIndex":0},"citationItems":[{"id":1398,"uris":["http://zotero.org/users/4941048/items/M4PB9BNY"],"itemData":{"id":1398,"type":"article-journal","abstract":"Among the numerous point vapor sources, microsecond-pulsed spark ablation at atmospheric pressure is a versatile and environmentally friendly method for producing ultrapure inorganic nanoparticles ranging from singlets having sizes smaller than 1 nm to larger agglomerated structures. Due to its fast quenching and extremely high supersaturation, coagulational growth already begins at the atomic scale at room temperature. On the basis of this knowledge, we develop a simple semiempirical yet versatile model for predicting the size distribution of singlet particles as a function of the process conditions. The model assumes that a plume of a turbulent aerosol flow flares out from a concentrated point source, eventually reaching the walls of the confinement where a fraction of the particles is deposited. Despite the complexity of the entire process, the concentration and size evolution of particles can be adequately described by a first-order differential equation accounting for coagulation, turbulent dilution, and diffusional deposition to the walls. The model provides a simple and practical tool that can generally be used to design and control point vapor source reactors for the synthesis of singlets with tunable sizes starting from that of single atoms.","container-title":"The Journal of Physical Chemistry C","DOI":"10.1021/acs.jpcc.5b06503","ISSN":"1932-7447","issue":"1","journalAbbreviation":"J. Phys. Chem. C","note":"publisher: American Chemical Society","page":"621-630","source":"ACS Publications","title":"General Approach to the Evolution of Singlet Nanoparticles from a Rapidly Quenched Point Source","volume":"120","author":[{"family":"Feng","given":"Jicheng"},{"family":"Huang","given":"Luyi"},{"family":"Ludvigsson","given":"Linus"},{"family":"Messing","given":"Maria E."},{"family":"Maisser","given":"Anne"},{"family":"Biskos","given":"George"},{"family":"Schmidt-Ott","given":"Andreas"}],"issued":{"date-parts":[["2016",1,14]]}}}],"schema":"https://github.com/citation-style-language/schema/raw/master/csl-citation.json"} </w:instrText>
      </w:r>
      <w:r w:rsidRPr="00FF5897">
        <w:rPr>
          <w:rFonts w:ascii="Arial" w:hAnsi="Arial" w:cs="Arial"/>
          <w:sz w:val="24"/>
          <w:vertAlign w:val="superscript"/>
          <w:lang w:val="en-US"/>
        </w:rPr>
        <w:fldChar w:fldCharType="separate"/>
      </w:r>
      <w:r w:rsidR="001E3C11" w:rsidRPr="00FF5897">
        <w:rPr>
          <w:rFonts w:ascii="Arial" w:hAnsi="Arial" w:cs="Arial"/>
          <w:sz w:val="24"/>
          <w:vertAlign w:val="superscript"/>
        </w:rPr>
        <w:t>16</w:t>
      </w:r>
      <w:r w:rsidRPr="00FF5897">
        <w:rPr>
          <w:rFonts w:ascii="Arial" w:hAnsi="Arial" w:cs="Arial"/>
          <w:sz w:val="24"/>
          <w:vertAlign w:val="superscript"/>
          <w:lang w:val="en-US"/>
        </w:rPr>
        <w:fldChar w:fldCharType="end"/>
      </w:r>
      <w:r w:rsidRPr="00FF5897">
        <w:rPr>
          <w:rFonts w:ascii="Arial" w:hAnsi="Arial" w:cs="Arial"/>
          <w:sz w:val="24"/>
          <w:vertAlign w:val="superscript"/>
          <w:lang w:val="en-US"/>
        </w:rPr>
        <w:t>,</w:t>
      </w:r>
      <w:r w:rsidRPr="00FF5897">
        <w:rPr>
          <w:rFonts w:ascii="Arial" w:hAnsi="Arial" w:cs="Arial"/>
          <w:sz w:val="24"/>
          <w:vertAlign w:val="superscript"/>
          <w:lang w:val="en-US"/>
        </w:rPr>
        <w:fldChar w:fldCharType="begin"/>
      </w:r>
      <w:r w:rsidR="00FD4D0D">
        <w:rPr>
          <w:rFonts w:ascii="Arial" w:hAnsi="Arial" w:cs="Arial"/>
          <w:sz w:val="24"/>
          <w:vertAlign w:val="superscript"/>
          <w:lang w:val="en-US"/>
        </w:rPr>
        <w:instrText xml:space="preserve"> ADDIN ZOTERO_ITEM CSL_CITATION {"citationID":"OrjsOvJ3","properties":{"formattedCitation":"\\super 9\\nosupersub{}","plainCitation":"9","noteIndex":0},"citationItems":[{"id":1136,"uris":["http://zotero.org/users/4941048/items/Z6W534MB"],"itemData":{"id":1136,"type":"article-journal","abstract":"The increasing need for engineered alloy nanoparticles (NPs) in diverse fields has spurred efforts to explore efficient/green synthesis methods. In this respect, spark ablation provides a scalable and viable way for producing widely different types of mixed NPs. Most importantly, implementation of the spark has the great advantage to combine a wider range of materials, thereby allowing the synthesis of mixed NPs with virtually unlimited combinations. Here we show that polarity reversal of spark discharges between two electrodes consisting of different materials enables synthesis of alloy NPs, while having a good potential to control the broadness of their composition distribution. A model developed in this work provides a tool for tuning the ablation ratio between the electrodes by adjusting the electric characteristics of the spark circuit. The ablation ratio is equal to the mean composition of the resulting NPs. The model predictions are in accordance with measurements obtained here and in earlier works. The unique way of producing alloy NPs by spark ablation shown in this work becomes especially useful when the starting electrode materials are immiscible at macroscopic scale.Copyright © 2018 American Association for Aerosol Research","container-title":"Aerosol Science and Technology","DOI":"10.1080/02786826.2018.1427852","ISSN":"0278-6826","issue":"5","note":"publisher: Taylor &amp; Francis\n_eprint: https://doi.org/10.1080/02786826.2018.1427852","page":"505-514","source":"Taylor and Francis+NEJM","title":"Internally mixed nanoparticles from oscillatory spark ablation between electrodes of different materials","volume":"52","author":[{"family":"Feng","given":"Jicheng"},{"family":"Ramlawi","given":"Nabil"},{"family":"Biskos","given":"George"},{"family":"Schmidt-Ott","given":"Andreas"}],"issued":{"date-parts":[["2018",5,4]]}}}],"schema":"https://github.com/citation-style-language/schema/raw/master/csl-citation.json"} </w:instrText>
      </w:r>
      <w:r w:rsidRPr="00FF5897">
        <w:rPr>
          <w:rFonts w:ascii="Arial" w:hAnsi="Arial" w:cs="Arial"/>
          <w:sz w:val="24"/>
          <w:vertAlign w:val="superscript"/>
          <w:lang w:val="en-US"/>
        </w:rPr>
        <w:fldChar w:fldCharType="separate"/>
      </w:r>
      <w:r w:rsidR="001E3C11" w:rsidRPr="00FF5897">
        <w:rPr>
          <w:rFonts w:ascii="Arial" w:hAnsi="Arial" w:cs="Arial"/>
          <w:sz w:val="24"/>
          <w:vertAlign w:val="superscript"/>
        </w:rPr>
        <w:t>9</w:t>
      </w:r>
      <w:r w:rsidRPr="00FF5897">
        <w:rPr>
          <w:rFonts w:ascii="Arial" w:hAnsi="Arial" w:cs="Arial"/>
          <w:sz w:val="24"/>
          <w:vertAlign w:val="superscript"/>
          <w:lang w:val="en-US"/>
        </w:rPr>
        <w:fldChar w:fldCharType="end"/>
      </w:r>
      <w:r w:rsidRPr="00FF5897">
        <w:rPr>
          <w:rFonts w:ascii="Arial" w:hAnsi="Arial" w:cs="Arial"/>
          <w:sz w:val="24"/>
          <w:vertAlign w:val="superscript"/>
          <w:lang w:val="en-US"/>
        </w:rPr>
        <w:t xml:space="preserve"> </w:t>
      </w:r>
      <w:r w:rsidRPr="00FF5897">
        <w:rPr>
          <w:rFonts w:ascii="Arial" w:hAnsi="Arial" w:cs="Arial"/>
          <w:sz w:val="24"/>
          <w:lang w:val="en-US"/>
        </w:rPr>
        <w:t xml:space="preserve"> </w:t>
      </w:r>
      <w:r w:rsidR="001C425C" w:rsidRPr="00FF5897">
        <w:rPr>
          <w:rFonts w:ascii="Arial" w:hAnsi="Arial" w:cs="Arial"/>
          <w:sz w:val="24"/>
          <w:lang w:val="en-US"/>
        </w:rPr>
        <w:t>Therefore</w:t>
      </w:r>
      <w:r w:rsidRPr="00FF5897">
        <w:rPr>
          <w:rFonts w:ascii="Arial" w:hAnsi="Arial" w:cs="Arial"/>
          <w:sz w:val="24"/>
          <w:lang w:val="en-US"/>
        </w:rPr>
        <w:t xml:space="preserve">, three parameters needed to be optimized: 1) the </w:t>
      </w:r>
      <w:proofErr w:type="spellStart"/>
      <w:r w:rsidRPr="00FF5897">
        <w:rPr>
          <w:rFonts w:ascii="Arial" w:hAnsi="Arial" w:cs="Arial"/>
          <w:i/>
          <w:sz w:val="24"/>
          <w:lang w:val="en-US"/>
        </w:rPr>
        <w:t>V</w:t>
      </w:r>
      <w:r w:rsidRPr="00FF5897">
        <w:rPr>
          <w:rFonts w:ascii="Arial" w:hAnsi="Arial" w:cs="Arial"/>
          <w:i/>
          <w:sz w:val="24"/>
          <w:vertAlign w:val="subscript"/>
          <w:lang w:val="en-US"/>
        </w:rPr>
        <w:t>eff</w:t>
      </w:r>
      <w:proofErr w:type="spellEnd"/>
      <w:r w:rsidRPr="00FF5897">
        <w:rPr>
          <w:rFonts w:ascii="Arial" w:hAnsi="Arial" w:cs="Arial"/>
          <w:sz w:val="24"/>
          <w:lang w:val="en-US"/>
        </w:rPr>
        <w:t xml:space="preserve">  </w:t>
      </w:r>
      <w:r w:rsidR="001C425C" w:rsidRPr="00FF5897">
        <w:rPr>
          <w:rFonts w:ascii="Arial" w:hAnsi="Arial" w:cs="Arial"/>
          <w:sz w:val="24"/>
          <w:lang w:val="en-US"/>
        </w:rPr>
        <w:t xml:space="preserve">should </w:t>
      </w:r>
      <w:r w:rsidRPr="00FF5897">
        <w:rPr>
          <w:rFonts w:ascii="Arial" w:hAnsi="Arial" w:cs="Arial"/>
          <w:sz w:val="24"/>
          <w:lang w:val="en-US"/>
        </w:rPr>
        <w:t>be kept at a minimum, 2) the flow rate should be maximized and, finally, 3) the mass production rate should be minimized. To keep the effective volume as small as possible, we opted for a dual-mixed flow geometry using two inlets (</w:t>
      </w:r>
      <w:r w:rsidRPr="00FF5897">
        <w:rPr>
          <w:rFonts w:ascii="Arial" w:hAnsi="Arial" w:cs="Arial"/>
          <w:b/>
          <w:sz w:val="24"/>
          <w:lang w:val="en-US"/>
        </w:rPr>
        <w:t>Figure S</w:t>
      </w:r>
      <w:r w:rsidR="0008072F" w:rsidRPr="00FF5897">
        <w:rPr>
          <w:rFonts w:ascii="Arial" w:hAnsi="Arial" w:cs="Arial"/>
          <w:b/>
          <w:sz w:val="24"/>
          <w:lang w:val="en-US"/>
        </w:rPr>
        <w:t>2</w:t>
      </w:r>
      <w:r w:rsidRPr="00FF5897">
        <w:rPr>
          <w:rFonts w:ascii="Arial" w:hAnsi="Arial" w:cs="Arial"/>
          <w:b/>
          <w:sz w:val="24"/>
          <w:lang w:val="en-US"/>
        </w:rPr>
        <w:t>A-G</w:t>
      </w:r>
      <w:r w:rsidRPr="00FF5897">
        <w:rPr>
          <w:rFonts w:ascii="Arial" w:hAnsi="Arial" w:cs="Arial"/>
          <w:sz w:val="24"/>
          <w:lang w:val="en-US"/>
        </w:rPr>
        <w:t>) and a pin-to-hole configuration (</w:t>
      </w:r>
      <w:r w:rsidRPr="00FF5897">
        <w:rPr>
          <w:rFonts w:ascii="Arial" w:hAnsi="Arial" w:cs="Arial"/>
          <w:b/>
          <w:sz w:val="24"/>
          <w:lang w:val="en-US"/>
        </w:rPr>
        <w:t>Figure S</w:t>
      </w:r>
      <w:r w:rsidR="0008072F" w:rsidRPr="00FF5897">
        <w:rPr>
          <w:rFonts w:ascii="Arial" w:hAnsi="Arial" w:cs="Arial"/>
          <w:b/>
          <w:sz w:val="24"/>
          <w:lang w:val="en-US"/>
        </w:rPr>
        <w:t>2</w:t>
      </w:r>
      <w:r w:rsidRPr="00FF5897">
        <w:rPr>
          <w:rFonts w:ascii="Arial" w:hAnsi="Arial" w:cs="Arial"/>
          <w:b/>
          <w:sz w:val="24"/>
          <w:lang w:val="en-US"/>
        </w:rPr>
        <w:t>H</w:t>
      </w:r>
      <w:r w:rsidRPr="00FF5897">
        <w:rPr>
          <w:rFonts w:ascii="Arial" w:hAnsi="Arial" w:cs="Arial"/>
          <w:sz w:val="24"/>
          <w:lang w:val="en-US"/>
        </w:rPr>
        <w:t>).</w:t>
      </w:r>
      <w:r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{"citationID":"Bo4fa31j","properties":{"formattedCitation":"\\super 17\\nosupersub{}","plainCitation":"17","noteIndex":0},"citationItems":[{"id":1721,"uris":["http://zotero.org/users/4941048/items/EW2PVLQH"],"itemData":{"id":1721,"type":"article-journal","abstract":"Spark discharge nanoparticle generators (SDGs) employ the method of spark ablation to generate nanoparticles (NPs) in the gas phase. The material plume ablated from two bulk electrodes is quenched and carried away by a controlled gas flow. The electrical circuit needed to maintain sparking and the gas/aerosol handling are usually rather simple to implement, therefore many different SDG designs exist in the literature. Since the carrier gas plays an important role in particle formation, the actual flow field inside the SDG chamber might also affect the properties of the generated particles. In this technical note we systematically investigate the size distribution of Ag NPs in various flow conditions. Size distribution measurements are used to compare cross-, coaxial-, and mixed flow geometries at different gas inlet to aerosol outlet distances, flow directions and volumetric flow rates and complemented with steady flow field simulations. The mechanisms behind the results are also briefly discussed.","container-title":"Journal of Aerosol Science","DOI":"10.1016/j.jaerosci.2021.105758","ISSN":"0021-8502","journalAbbreviation":"Journal of Aerosol Science","language":"en","page":"105758","source":"ScienceDirect","title":"Effect of flow geometry on the nanoparticle output of a spark discharge generator","volume":"154","author":[{"family":"Megyeri","given":"Dániel"},{"family":"Kohut","given":"Attila"},{"family":"Geretovszky","given":"Zsolt"}],"issued":{"date-parts":[["2021",5,1]]}}}],"schema":"https://github.com/citation-style-language/schema/raw/master/csl-citation.json"} </w:instrText>
      </w:r>
      <w:r w:rsidRPr="00FF5897">
        <w:rPr>
          <w:rFonts w:ascii="Arial" w:hAnsi="Arial" w:cs="Arial"/>
          <w:sz w:val="24"/>
          <w:lang w:val="en-US"/>
        </w:rPr>
        <w:fldChar w:fldCharType="separate"/>
      </w:r>
      <w:r w:rsidR="001E3C11" w:rsidRPr="00FF5897">
        <w:rPr>
          <w:rFonts w:ascii="Arial" w:hAnsi="Arial" w:cs="Arial"/>
          <w:sz w:val="24"/>
          <w:vertAlign w:val="superscript"/>
        </w:rPr>
        <w:t>17</w:t>
      </w:r>
      <w:r w:rsidRPr="00FF5897">
        <w:rPr>
          <w:rFonts w:ascii="Arial" w:hAnsi="Arial" w:cs="Arial"/>
          <w:sz w:val="24"/>
          <w:lang w:val="en-US"/>
        </w:rPr>
        <w:fldChar w:fldCharType="end"/>
      </w:r>
      <w:r w:rsidRPr="00FF5897">
        <w:rPr>
          <w:rFonts w:ascii="Arial" w:hAnsi="Arial" w:cs="Arial"/>
          <w:sz w:val="24"/>
          <w:lang w:val="en-US"/>
        </w:rPr>
        <w:t xml:space="preserve"> Further, we </w:t>
      </w:r>
      <w:r w:rsidR="00637DD6" w:rsidRPr="00FF5897">
        <w:rPr>
          <w:rFonts w:ascii="Arial" w:hAnsi="Arial" w:cs="Arial"/>
          <w:sz w:val="24"/>
          <w:lang w:val="en-US"/>
        </w:rPr>
        <w:t>chose a</w:t>
      </w:r>
      <w:r w:rsidRPr="00FF5897">
        <w:rPr>
          <w:rFonts w:ascii="Arial" w:hAnsi="Arial" w:cs="Arial"/>
          <w:sz w:val="24"/>
          <w:lang w:val="en-US"/>
        </w:rPr>
        <w:t xml:space="preserve"> </w:t>
      </w:r>
      <w:r w:rsidR="00637DD6" w:rsidRPr="00FF5897">
        <w:rPr>
          <w:rFonts w:ascii="Arial" w:hAnsi="Arial" w:cs="Arial"/>
          <w:sz w:val="24"/>
          <w:lang w:val="en-US"/>
        </w:rPr>
        <w:t xml:space="preserve">gas </w:t>
      </w:r>
      <w:r w:rsidRPr="00FF5897">
        <w:rPr>
          <w:rFonts w:ascii="Arial" w:hAnsi="Arial" w:cs="Arial"/>
          <w:sz w:val="24"/>
          <w:lang w:val="en-US"/>
        </w:rPr>
        <w:t xml:space="preserve">flow rate </w:t>
      </w:r>
      <w:r w:rsidR="00637DD6" w:rsidRPr="00FF5897">
        <w:rPr>
          <w:rFonts w:ascii="Arial" w:hAnsi="Arial" w:cs="Arial"/>
          <w:sz w:val="24"/>
          <w:lang w:val="en-US"/>
        </w:rPr>
        <w:t>of a</w:t>
      </w:r>
      <w:r w:rsidRPr="00FF5897">
        <w:rPr>
          <w:rFonts w:ascii="Arial" w:hAnsi="Arial" w:cs="Arial"/>
          <w:sz w:val="24"/>
          <w:lang w:val="en-US"/>
        </w:rPr>
        <w:t xml:space="preserve"> factor of 2.5 </w:t>
      </w:r>
      <w:r w:rsidR="00637DD6" w:rsidRPr="00FF5897">
        <w:rPr>
          <w:rFonts w:ascii="Arial" w:hAnsi="Arial" w:cs="Arial"/>
          <w:sz w:val="24"/>
          <w:lang w:val="en-US"/>
        </w:rPr>
        <w:t xml:space="preserve">higher </w:t>
      </w:r>
      <w:r w:rsidRPr="00FF5897">
        <w:rPr>
          <w:rFonts w:ascii="Arial" w:hAnsi="Arial" w:cs="Arial"/>
          <w:sz w:val="24"/>
          <w:lang w:val="en-US"/>
        </w:rPr>
        <w:t xml:space="preserve">with respect to a conventional nanoparticle </w:t>
      </w:r>
      <w:r w:rsidR="001C425C" w:rsidRPr="00FF5897">
        <w:rPr>
          <w:rFonts w:ascii="Arial" w:hAnsi="Arial" w:cs="Arial"/>
          <w:sz w:val="24"/>
          <w:lang w:val="en-US"/>
        </w:rPr>
        <w:t xml:space="preserve">spark generated synthesis </w:t>
      </w:r>
      <w:r w:rsidRPr="00FF5897">
        <w:rPr>
          <w:rFonts w:ascii="Arial" w:hAnsi="Arial" w:cs="Arial"/>
          <w:sz w:val="24"/>
          <w:lang w:val="en-US"/>
        </w:rPr>
        <w:t>(~6 nm Au)</w:t>
      </w:r>
      <w:r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{"citationID":"EeBWfmlG","properties":{"formattedCitation":"\\super 15\\nosupersub{}","plainCitation":"15","noteIndex":0},"citationItems":[{"id":1134,"uris":["http://zotero.org/users/4941048/items/M662Y4FC"],"itemData":{"id":1134,"type":"article-journal","abstract":"Continuous gas-phase synthesis of nanoparticles is associated with rapid agglomeration, which can be a limiting factor for numerous applications. In this report, we challenge this paradigm by providing experimental evidence to support that gas-phase methods can be used to produce ultrapure non-agglomerated “singlet” nanoparticles having tunable sizes at room temperature. By controlling the temperature in the particle growth zone to guarantee complete coalescence of colliding entities, the size of singlets in principle can be regulated from that of single atoms to any desired value. We assess our results in the context of a simple analytical model to explore the dependence of singlet size on the operating conditions. Agreement of the model with experimental measurements shows that these methods can be effectively used for producing singlets that can be processed further by many alternative approaches. Combined with the capabilities of up-scaling and unlimited mixing that spark ablation enables, this study provides an easy-to-use concept for producing the key building blocks for low-cost industrial-scale nanofabrication of advanced materials.","container-title":"Scientific Reports","DOI":"10.1038/srep15788","ISSN":"2045-2322","issue":"1","journalAbbreviation":"Sci Rep","language":"en","license":"2015 The Author(s)","note":"Bandiera_abtest: a\nCc_license_type: cc_by\nCg_type: Nature Research Journals\nnumber: 1\nPrimary_atype: Research\npublisher: Nature Publishing Group\nSubject_term: Nanoparticles;Synthesis and processing\nSubject_term_id: nanoparticles;synthesis-and-processing","page":"15788","source":"www.nature.com","title":"Toward industrial scale synthesis of ultrapure singlet nanoparticles with controllable sizes in a continuous gas-phase process","volume":"5","author":[{"family":"Feng","given":"Jicheng"},{"family":"Biskos","given":"George"},{"family":"Schmidt-Ott","given":"Andreas"}],"issued":{"date-parts":[["2015",10,29]]}}}],"schema":"https://github.com/citation-style-language/schema/raw/master/csl-citation.json"} </w:instrText>
      </w:r>
      <w:r w:rsidRPr="00FF5897">
        <w:rPr>
          <w:rFonts w:ascii="Arial" w:hAnsi="Arial" w:cs="Arial"/>
          <w:sz w:val="24"/>
          <w:lang w:val="en-US"/>
        </w:rPr>
        <w:fldChar w:fldCharType="separate"/>
      </w:r>
      <w:r w:rsidR="001E3C11" w:rsidRPr="00FF5897">
        <w:rPr>
          <w:rFonts w:ascii="Arial" w:hAnsi="Arial" w:cs="Arial"/>
          <w:sz w:val="24"/>
          <w:vertAlign w:val="superscript"/>
        </w:rPr>
        <w:t>15</w:t>
      </w:r>
      <w:r w:rsidRPr="00FF5897">
        <w:rPr>
          <w:rFonts w:ascii="Arial" w:hAnsi="Arial" w:cs="Arial"/>
          <w:sz w:val="24"/>
          <w:lang w:val="en-US"/>
        </w:rPr>
        <w:fldChar w:fldCharType="end"/>
      </w:r>
      <w:r w:rsidRPr="00FF5897">
        <w:rPr>
          <w:rFonts w:ascii="Arial" w:hAnsi="Arial" w:cs="Arial"/>
          <w:sz w:val="24"/>
          <w:lang w:val="en-US"/>
        </w:rPr>
        <w:t xml:space="preserve">, effectively reducing the particle size by a factor ~2. And lastly, </w:t>
      </w:r>
      <w:r w:rsidR="00637DD6" w:rsidRPr="00FF5897">
        <w:rPr>
          <w:rFonts w:ascii="Arial" w:hAnsi="Arial" w:cs="Arial"/>
          <w:sz w:val="24"/>
          <w:lang w:val="en-US"/>
        </w:rPr>
        <w:t xml:space="preserve">we </w:t>
      </w:r>
      <w:r w:rsidRPr="00FF5897">
        <w:rPr>
          <w:rFonts w:ascii="Arial" w:hAnsi="Arial" w:cs="Arial"/>
          <w:sz w:val="24"/>
          <w:lang w:val="en-US"/>
        </w:rPr>
        <w:t>reduce</w:t>
      </w:r>
      <w:r w:rsidR="00637DD6" w:rsidRPr="00FF5897">
        <w:rPr>
          <w:rFonts w:ascii="Arial" w:hAnsi="Arial" w:cs="Arial"/>
          <w:sz w:val="24"/>
          <w:lang w:val="en-US"/>
        </w:rPr>
        <w:t>d</w:t>
      </w:r>
      <w:r w:rsidRPr="00FF5897">
        <w:rPr>
          <w:rFonts w:ascii="Arial" w:hAnsi="Arial" w:cs="Arial"/>
          <w:sz w:val="24"/>
          <w:lang w:val="en-US"/>
        </w:rPr>
        <w:t xml:space="preserve"> the ablation rate, which is given by Eq. 2:</w:t>
      </w:r>
    </w:p>
    <w:tbl>
      <w:tblPr>
        <w:tblStyle w:val="TableGrid"/>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7987"/>
        <w:gridCol w:w="553"/>
      </w:tblGrid>
      <w:tr w:rsidR="005E4531" w14:paraId="3AC0F675" w14:textId="77777777" w:rsidTr="00320FDF">
        <w:trPr>
          <w:trHeight w:val="927"/>
        </w:trPr>
        <w:tc>
          <w:tcPr>
            <w:tcW w:w="539" w:type="dxa"/>
            <w:vAlign w:val="center"/>
          </w:tcPr>
          <w:p w14:paraId="2BAD13B2" w14:textId="77777777" w:rsidR="005E4531" w:rsidRDefault="005E4531" w:rsidP="00320FDF">
            <w:pPr>
              <w:spacing w:before="240" w:after="100" w:afterAutospacing="1" w:line="360" w:lineRule="auto"/>
              <w:jc w:val="both"/>
              <w:rPr>
                <w:rFonts w:ascii="Arial" w:hAnsi="Arial" w:cs="Arial"/>
                <w:sz w:val="24"/>
              </w:rPr>
            </w:pPr>
          </w:p>
        </w:tc>
        <w:tc>
          <w:tcPr>
            <w:tcW w:w="7987" w:type="dxa"/>
            <w:vAlign w:val="bottom"/>
          </w:tcPr>
          <w:p w14:paraId="29D95B86" w14:textId="4F515638" w:rsidR="005E4531" w:rsidRPr="009C7E3E" w:rsidRDefault="00000000" w:rsidP="00320FDF">
            <w:pPr>
              <w:spacing w:after="100" w:afterAutospacing="1" w:line="360" w:lineRule="auto"/>
              <w:jc w:val="both"/>
              <w:rPr>
                <w:rFonts w:ascii="Arial" w:hAnsi="Arial"/>
                <w:sz w:val="24"/>
              </w:rPr>
            </w:pPr>
            <m:oMathPara>
              <m:oMathParaPr>
                <m:jc m:val="center"/>
              </m:oMathParaPr>
              <m:oMath>
                <m:acc>
                  <m:accPr>
                    <m:chr m:val="̇"/>
                    <m:ctrlPr>
                      <w:rPr>
                        <w:rFonts w:ascii="Cambria Math" w:hAnsi="Cambria Math" w:cs="Arial"/>
                        <w:i/>
                        <w:sz w:val="24"/>
                      </w:rPr>
                    </m:ctrlPr>
                  </m:accPr>
                  <m:e>
                    <m:r>
                      <w:rPr>
                        <w:rFonts w:ascii="Cambria Math" w:hAnsi="Cambria Math" w:cs="Arial"/>
                        <w:sz w:val="24"/>
                        <w:szCs w:val="24"/>
                      </w:rPr>
                      <m:t>m</m:t>
                    </m:r>
                  </m:e>
                </m:acc>
                <m:r>
                  <w:rPr>
                    <w:rFonts w:ascii="Cambria Math" w:hAnsi="Cambria Math" w:cs="Arial"/>
                    <w:sz w:val="24"/>
                    <w:szCs w:val="24"/>
                  </w:rPr>
                  <m:t>= ∆</m:t>
                </m:r>
                <m:r>
                  <w:rPr>
                    <w:rFonts w:ascii="Cambria Math" w:hAnsi="Cambria Math"/>
                    <w:sz w:val="24"/>
                  </w:rPr>
                  <m:t>mf≈</m:t>
                </m:r>
                <m:r>
                  <w:rPr>
                    <w:rFonts w:ascii="Cambria Math" w:hAnsi="Cambria Math" w:cs="Arial"/>
                    <w:sz w:val="24"/>
                    <w:szCs w:val="24"/>
                  </w:rPr>
                  <m:t xml:space="preserve"> </m:t>
                </m:r>
                <m:sSub>
                  <m:sSubPr>
                    <m:ctrlPr>
                      <w:rPr>
                        <w:rFonts w:ascii="Cambria Math" w:hAnsi="Cambria Math" w:cs="Arial"/>
                        <w:i/>
                        <w:sz w:val="24"/>
                      </w:rPr>
                    </m:ctrlPr>
                  </m:sSubPr>
                  <m:e>
                    <m:r>
                      <w:rPr>
                        <w:rFonts w:ascii="Cambria Math" w:hAnsi="Cambria Math" w:cs="Arial"/>
                        <w:sz w:val="24"/>
                        <w:szCs w:val="24"/>
                      </w:rPr>
                      <m:t>E</m:t>
                    </m:r>
                  </m:e>
                  <m:sub>
                    <m:r>
                      <w:rPr>
                        <w:rFonts w:ascii="Cambria Math" w:hAnsi="Cambria Math" w:cs="Arial"/>
                        <w:sz w:val="24"/>
                        <w:szCs w:val="24"/>
                      </w:rPr>
                      <m:t>s</m:t>
                    </m:r>
                  </m:sub>
                </m:sSub>
                <m:r>
                  <w:rPr>
                    <w:rFonts w:ascii="Cambria Math" w:hAnsi="Cambria Math"/>
                    <w:sz w:val="24"/>
                  </w:rPr>
                  <m:t>cf</m:t>
                </m:r>
              </m:oMath>
            </m:oMathPara>
          </w:p>
          <w:p w14:paraId="1298DE94" w14:textId="77777777" w:rsidR="005E4531" w:rsidRDefault="005E4531" w:rsidP="00320FDF">
            <w:pPr>
              <w:spacing w:after="100" w:afterAutospacing="1" w:line="360" w:lineRule="auto"/>
              <w:jc w:val="both"/>
              <w:rPr>
                <w:rFonts w:ascii="Arial" w:hAnsi="Arial" w:cs="Arial"/>
                <w:sz w:val="24"/>
              </w:rPr>
            </w:pPr>
          </w:p>
        </w:tc>
        <w:tc>
          <w:tcPr>
            <w:tcW w:w="553" w:type="dxa"/>
          </w:tcPr>
          <w:p w14:paraId="0D9F7E67" w14:textId="77777777" w:rsidR="005E4531" w:rsidRDefault="006B323D" w:rsidP="00320FDF">
            <w:pPr>
              <w:spacing w:before="240" w:after="100" w:afterAutospacing="1" w:line="360" w:lineRule="auto"/>
              <w:jc w:val="both"/>
              <w:rPr>
                <w:rFonts w:ascii="Arial" w:hAnsi="Arial" w:cs="Arial"/>
                <w:sz w:val="24"/>
              </w:rPr>
            </w:pPr>
            <w:r w:rsidRPr="009C7E3E">
              <w:rPr>
                <w:rFonts w:ascii="Arial" w:hAnsi="Arial"/>
                <w:sz w:val="24"/>
              </w:rPr>
              <w:t>(2)</w:t>
            </w:r>
          </w:p>
        </w:tc>
      </w:tr>
    </w:tbl>
    <w:p w14:paraId="17BBB375"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in which </w:t>
      </w:r>
      <w:r>
        <w:rPr>
          <w:rFonts w:ascii="Arial" w:hAnsi="Arial" w:cs="Arial"/>
          <w:i/>
          <w:sz w:val="24"/>
          <w:lang w:val="en-US"/>
        </w:rPr>
        <w:t>Δm</w:t>
      </w:r>
      <w:r>
        <w:rPr>
          <w:rFonts w:ascii="Arial" w:hAnsi="Arial" w:cs="Arial"/>
          <w:sz w:val="24"/>
          <w:lang w:val="en-US"/>
        </w:rPr>
        <w:t xml:space="preserve"> denotes the change in the electrode mass or ablated mass [kg] and </w:t>
      </w:r>
      <w:r>
        <w:rPr>
          <w:rFonts w:ascii="Arial" w:hAnsi="Arial" w:cs="Arial"/>
          <w:i/>
          <w:sz w:val="24"/>
          <w:lang w:val="en-US"/>
        </w:rPr>
        <w:t xml:space="preserve">f </w:t>
      </w:r>
      <w:r>
        <w:rPr>
          <w:rFonts w:ascii="Arial" w:hAnsi="Arial" w:cs="Arial"/>
          <w:sz w:val="24"/>
          <w:lang w:val="en-US"/>
        </w:rPr>
        <w:t>the repetition frequency of the spark [s</w:t>
      </w:r>
      <w:r>
        <w:rPr>
          <w:rFonts w:ascii="Arial" w:hAnsi="Arial" w:cs="Arial"/>
          <w:sz w:val="24"/>
          <w:vertAlign w:val="superscript"/>
          <w:lang w:val="en-US"/>
        </w:rPr>
        <w:t>-1</w:t>
      </w:r>
      <w:r>
        <w:rPr>
          <w:rFonts w:ascii="Arial" w:hAnsi="Arial" w:cs="Arial"/>
          <w:sz w:val="24"/>
          <w:lang w:val="en-US"/>
        </w:rPr>
        <w:t>], which roughly equates to the product of the energy per spark (</w:t>
      </w:r>
      <w:r>
        <w:rPr>
          <w:rFonts w:ascii="Arial" w:hAnsi="Arial" w:cs="Arial"/>
          <w:i/>
          <w:sz w:val="24"/>
          <w:lang w:val="en-US"/>
        </w:rPr>
        <w:t>E</w:t>
      </w:r>
      <w:r>
        <w:rPr>
          <w:rFonts w:ascii="Arial" w:hAnsi="Arial" w:cs="Arial"/>
          <w:i/>
          <w:sz w:val="24"/>
          <w:vertAlign w:val="subscript"/>
          <w:lang w:val="en-US"/>
        </w:rPr>
        <w:t>s</w:t>
      </w:r>
      <w:r>
        <w:rPr>
          <w:rFonts w:ascii="Arial" w:hAnsi="Arial" w:cs="Arial"/>
          <w:sz w:val="24"/>
          <w:lang w:val="en-US"/>
        </w:rPr>
        <w:t xml:space="preserve">) and </w:t>
      </w:r>
      <w:r>
        <w:rPr>
          <w:rFonts w:ascii="Arial" w:hAnsi="Arial" w:cs="Arial"/>
          <w:i/>
          <w:sz w:val="24"/>
          <w:lang w:val="en-US"/>
        </w:rPr>
        <w:t>c,</w:t>
      </w:r>
      <w:r>
        <w:rPr>
          <w:rFonts w:ascii="Arial" w:hAnsi="Arial" w:cs="Arial"/>
          <w:sz w:val="24"/>
          <w:lang w:val="en-US"/>
        </w:rPr>
        <w:t xml:space="preserve"> a material dependent constant [kg J</w:t>
      </w:r>
      <w:r>
        <w:rPr>
          <w:rFonts w:ascii="Arial" w:hAnsi="Arial" w:cs="Arial"/>
          <w:sz w:val="24"/>
          <w:vertAlign w:val="superscript"/>
          <w:lang w:val="en-US"/>
        </w:rPr>
        <w:t>-1</w:t>
      </w:r>
      <w:r>
        <w:rPr>
          <w:rFonts w:ascii="Arial" w:hAnsi="Arial" w:cs="Arial"/>
          <w:sz w:val="24"/>
          <w:lang w:val="en-US"/>
        </w:rPr>
        <w:t>], by reducing the energy per spark (</w:t>
      </w:r>
      <w:r>
        <w:rPr>
          <w:rFonts w:ascii="Arial" w:hAnsi="Arial" w:cs="Arial"/>
          <w:b/>
          <w:sz w:val="24"/>
          <w:lang w:val="en-US"/>
        </w:rPr>
        <w:t>Figure S2I</w:t>
      </w:r>
      <w:r>
        <w:rPr>
          <w:rFonts w:ascii="Arial" w:hAnsi="Arial" w:cs="Arial"/>
          <w:sz w:val="24"/>
          <w:lang w:val="en-US"/>
        </w:rPr>
        <w:t xml:space="preserve">). The </w:t>
      </w:r>
      <w:r>
        <w:rPr>
          <w:rFonts w:ascii="Arial" w:hAnsi="Arial" w:cs="Arial"/>
          <w:i/>
          <w:sz w:val="24"/>
          <w:lang w:val="en-US"/>
        </w:rPr>
        <w:t>E</w:t>
      </w:r>
      <w:r>
        <w:rPr>
          <w:rFonts w:ascii="Arial" w:hAnsi="Arial" w:cs="Arial"/>
          <w:i/>
          <w:sz w:val="24"/>
          <w:vertAlign w:val="subscript"/>
          <w:lang w:val="en-US"/>
        </w:rPr>
        <w:t>s</w:t>
      </w:r>
      <w:r>
        <w:rPr>
          <w:rFonts w:ascii="Arial" w:hAnsi="Arial" w:cs="Arial"/>
          <w:sz w:val="24"/>
          <w:lang w:val="en-US"/>
        </w:rPr>
        <w:t>, can be determined via Eq. 3:</w:t>
      </w:r>
    </w:p>
    <w:tbl>
      <w:tblPr>
        <w:tblStyle w:val="TableGrid"/>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7987"/>
        <w:gridCol w:w="553"/>
      </w:tblGrid>
      <w:tr w:rsidR="005E4531" w14:paraId="2688B2A4" w14:textId="77777777" w:rsidTr="00320FDF">
        <w:trPr>
          <w:trHeight w:val="927"/>
        </w:trPr>
        <w:tc>
          <w:tcPr>
            <w:tcW w:w="539" w:type="dxa"/>
            <w:vAlign w:val="center"/>
          </w:tcPr>
          <w:p w14:paraId="16E057E3" w14:textId="77777777" w:rsidR="005E4531" w:rsidRDefault="005E4531" w:rsidP="00320FDF">
            <w:pPr>
              <w:spacing w:before="240" w:after="100" w:afterAutospacing="1" w:line="360" w:lineRule="auto"/>
              <w:jc w:val="both"/>
              <w:rPr>
                <w:rFonts w:ascii="Arial" w:hAnsi="Arial" w:cs="Arial"/>
                <w:sz w:val="24"/>
              </w:rPr>
            </w:pPr>
          </w:p>
        </w:tc>
        <w:tc>
          <w:tcPr>
            <w:tcW w:w="7987" w:type="dxa"/>
            <w:vAlign w:val="bottom"/>
          </w:tcPr>
          <w:p w14:paraId="379864C6" w14:textId="7E658000" w:rsidR="005E4531" w:rsidRPr="009C7E3E" w:rsidRDefault="00000000" w:rsidP="00320FDF">
            <w:pPr>
              <w:spacing w:after="100" w:afterAutospacing="1" w:line="360" w:lineRule="auto"/>
              <w:jc w:val="both"/>
              <w:rPr>
                <w:rFonts w:ascii="Arial" w:hAnsi="Arial"/>
                <w:sz w:val="24"/>
              </w:rPr>
            </w:pPr>
            <m:oMathPara>
              <m:oMathParaPr>
                <m:jc m:val="center"/>
              </m:oMathParaPr>
              <m:oMath>
                <m:sSub>
                  <m:sSubPr>
                    <m:ctrlPr>
                      <w:rPr>
                        <w:rFonts w:ascii="Cambria Math" w:hAnsi="Cambria Math"/>
                        <w:i/>
                        <w:sz w:val="24"/>
                      </w:rPr>
                    </m:ctrlPr>
                  </m:sSubPr>
                  <m:e>
                    <m:r>
                      <w:rPr>
                        <w:rFonts w:ascii="Cambria Math" w:hAnsi="Cambria Math"/>
                        <w:sz w:val="24"/>
                      </w:rPr>
                      <m:t>E</m:t>
                    </m:r>
                  </m:e>
                  <m:sub>
                    <m:r>
                      <w:rPr>
                        <w:rFonts w:ascii="Cambria Math" w:hAnsi="Cambria Math"/>
                        <w:sz w:val="24"/>
                      </w:rPr>
                      <m:t>s</m:t>
                    </m:r>
                  </m:sub>
                </m:sSub>
                <m:r>
                  <w:rPr>
                    <w:rFonts w:ascii="Cambria Math" w:hAnsi="Cambria Math"/>
                    <w:sz w:val="24"/>
                  </w:rPr>
                  <m:t>=</m:t>
                </m:r>
                <m:r>
                  <w:rPr>
                    <w:rFonts w:ascii="Cambria Math" w:hAnsi="Cambria Math" w:cs="Arial"/>
                    <w:sz w:val="24"/>
                    <w:szCs w:val="24"/>
                  </w:rPr>
                  <m:t xml:space="preserve"> </m:t>
                </m:r>
                <m:f>
                  <m:fPr>
                    <m:ctrlPr>
                      <w:rPr>
                        <w:rFonts w:ascii="Cambria Math" w:hAnsi="Cambria Math" w:cs="Arial"/>
                        <w:i/>
                        <w:sz w:val="24"/>
                      </w:rPr>
                    </m:ctrlPr>
                  </m:fPr>
                  <m:num>
                    <m:r>
                      <w:rPr>
                        <w:rFonts w:ascii="Cambria Math" w:hAnsi="Cambria Math" w:cs="Arial"/>
                        <w:sz w:val="24"/>
                        <w:szCs w:val="24"/>
                      </w:rPr>
                      <m:t>1</m:t>
                    </m:r>
                  </m:num>
                  <m:den>
                    <m:r>
                      <w:rPr>
                        <w:rFonts w:ascii="Cambria Math" w:hAnsi="Cambria Math" w:cs="Arial"/>
                        <w:sz w:val="24"/>
                        <w:szCs w:val="24"/>
                      </w:rPr>
                      <m:t>2</m:t>
                    </m:r>
                  </m:den>
                </m:f>
                <m:r>
                  <w:rPr>
                    <w:rFonts w:ascii="Cambria Math" w:hAnsi="Cambria Math"/>
                    <w:sz w:val="24"/>
                  </w:rPr>
                  <m:t>C</m:t>
                </m:r>
                <m:sSup>
                  <m:sSupPr>
                    <m:ctrlPr>
                      <w:rPr>
                        <w:rFonts w:ascii="Cambria Math" w:hAnsi="Cambria Math"/>
                        <w:i/>
                        <w:sz w:val="24"/>
                      </w:rPr>
                    </m:ctrlPr>
                  </m:sSupPr>
                  <m:e>
                    <m:r>
                      <w:rPr>
                        <w:rFonts w:ascii="Cambria Math" w:hAnsi="Cambria Math"/>
                        <w:sz w:val="24"/>
                      </w:rPr>
                      <m:t>U</m:t>
                    </m:r>
                  </m:e>
                  <m:sup>
                    <m:r>
                      <w:rPr>
                        <w:rFonts w:ascii="Cambria Math" w:hAnsi="Cambria Math"/>
                        <w:sz w:val="24"/>
                      </w:rPr>
                      <m:t>2</m:t>
                    </m:r>
                  </m:sup>
                </m:sSup>
              </m:oMath>
            </m:oMathPara>
          </w:p>
          <w:p w14:paraId="6C5EDA71" w14:textId="77777777" w:rsidR="005E4531" w:rsidRDefault="005E4531" w:rsidP="00320FDF">
            <w:pPr>
              <w:spacing w:after="100" w:afterAutospacing="1" w:line="360" w:lineRule="auto"/>
              <w:jc w:val="both"/>
              <w:rPr>
                <w:rFonts w:ascii="Arial" w:hAnsi="Arial" w:cs="Arial"/>
                <w:sz w:val="24"/>
              </w:rPr>
            </w:pPr>
          </w:p>
        </w:tc>
        <w:tc>
          <w:tcPr>
            <w:tcW w:w="553" w:type="dxa"/>
          </w:tcPr>
          <w:p w14:paraId="0DEF0B14" w14:textId="77777777" w:rsidR="005E4531" w:rsidRDefault="006B323D" w:rsidP="00320FDF">
            <w:pPr>
              <w:spacing w:before="240" w:after="100" w:afterAutospacing="1" w:line="360" w:lineRule="auto"/>
              <w:jc w:val="both"/>
              <w:rPr>
                <w:rFonts w:ascii="Arial" w:hAnsi="Arial" w:cs="Arial"/>
                <w:sz w:val="24"/>
              </w:rPr>
            </w:pPr>
            <w:r w:rsidRPr="009C7E3E">
              <w:rPr>
                <w:rFonts w:ascii="Arial" w:hAnsi="Arial"/>
                <w:sz w:val="24"/>
              </w:rPr>
              <w:t>(3)</w:t>
            </w:r>
          </w:p>
        </w:tc>
      </w:tr>
    </w:tbl>
    <w:p w14:paraId="653A1624"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lastRenderedPageBreak/>
        <w:t xml:space="preserve">in which </w:t>
      </w:r>
      <w:r>
        <w:rPr>
          <w:rFonts w:ascii="Arial" w:hAnsi="Arial" w:cs="Arial"/>
          <w:i/>
          <w:sz w:val="24"/>
          <w:lang w:val="en-US"/>
        </w:rPr>
        <w:t xml:space="preserve">U </w:t>
      </w:r>
      <w:r>
        <w:rPr>
          <w:rFonts w:ascii="Arial" w:hAnsi="Arial" w:cs="Arial"/>
          <w:sz w:val="24"/>
          <w:lang w:val="en-US"/>
        </w:rPr>
        <w:t xml:space="preserve">denotes the breakdown-voltage [V] and </w:t>
      </w:r>
      <w:r>
        <w:rPr>
          <w:rFonts w:ascii="Arial" w:hAnsi="Arial" w:cs="Arial"/>
          <w:i/>
          <w:sz w:val="24"/>
          <w:lang w:val="en-US"/>
        </w:rPr>
        <w:t>C</w:t>
      </w:r>
      <w:r>
        <w:rPr>
          <w:rFonts w:ascii="Arial" w:hAnsi="Arial" w:cs="Arial"/>
          <w:sz w:val="24"/>
          <w:lang w:val="en-US"/>
        </w:rPr>
        <w:t xml:space="preserve"> the capacitance [F] (</w:t>
      </w:r>
      <w:r>
        <w:rPr>
          <w:rFonts w:ascii="Arial" w:hAnsi="Arial" w:cs="Arial"/>
          <w:b/>
          <w:sz w:val="24"/>
          <w:lang w:val="en-US"/>
        </w:rPr>
        <w:t>Figure S2J</w:t>
      </w:r>
      <w:r>
        <w:rPr>
          <w:rFonts w:ascii="Arial" w:hAnsi="Arial" w:cs="Arial"/>
          <w:sz w:val="24"/>
          <w:lang w:val="en-US"/>
        </w:rPr>
        <w:t xml:space="preserve">). By bringing the energy per spark down by an order of magnitude (1 </w:t>
      </w:r>
      <w:proofErr w:type="spellStart"/>
      <w:r>
        <w:rPr>
          <w:rFonts w:ascii="Arial" w:hAnsi="Arial" w:cs="Arial"/>
          <w:sz w:val="24"/>
          <w:lang w:val="en-US"/>
        </w:rPr>
        <w:t>nF</w:t>
      </w:r>
      <w:proofErr w:type="spellEnd"/>
      <w:r>
        <w:rPr>
          <w:rFonts w:ascii="Arial" w:hAnsi="Arial" w:cs="Arial"/>
          <w:sz w:val="24"/>
          <w:lang w:val="en-US"/>
        </w:rPr>
        <w:t xml:space="preserve">), the particle size should be reduced further by an estimated factor of ~2.2, effectively pushing the particle size in to the cluster regime (~1 nm). </w:t>
      </w:r>
    </w:p>
    <w:p w14:paraId="007057BF" w14:textId="77777777" w:rsidR="005E4531" w:rsidRDefault="006B323D" w:rsidP="00320FDF">
      <w:pPr>
        <w:spacing w:after="100" w:afterAutospacing="1" w:line="360" w:lineRule="auto"/>
        <w:jc w:val="both"/>
        <w:rPr>
          <w:rFonts w:ascii="Arial" w:hAnsi="Arial" w:cs="Arial"/>
          <w:sz w:val="28"/>
          <w:lang w:val="en-US"/>
        </w:rPr>
      </w:pPr>
      <w:r>
        <w:rPr>
          <w:rFonts w:ascii="Arial" w:hAnsi="Arial" w:cs="Arial"/>
          <w:sz w:val="28"/>
          <w:lang w:val="en-US"/>
        </w:rPr>
        <w:t>Note S2.2 Optimizing the ablation rate</w:t>
      </w:r>
    </w:p>
    <w:p w14:paraId="70E2E6BE" w14:textId="74C38536"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The second objective, was to enhance the production rate. Therefore, we maximized the spark repetition frequency to ~</w:t>
      </w:r>
      <w:r>
        <w:rPr>
          <w:rFonts w:ascii="Arial" w:hAnsi="Arial" w:cs="Arial"/>
          <w:sz w:val="24"/>
          <w:szCs w:val="24"/>
          <w:lang w:val="en-US"/>
        </w:rPr>
        <w:t xml:space="preserve">1 </w:t>
      </w:r>
      <w:r w:rsidR="00AB1809">
        <w:rPr>
          <w:rFonts w:ascii="Arial" w:hAnsi="Arial" w:cs="Arial"/>
          <w:sz w:val="24"/>
          <w:szCs w:val="24"/>
          <w:lang w:val="en-US"/>
        </w:rPr>
        <w:t>k</w:t>
      </w:r>
      <w:r>
        <w:rPr>
          <w:rFonts w:ascii="Arial" w:hAnsi="Arial" w:cs="Arial"/>
          <w:sz w:val="24"/>
          <w:szCs w:val="24"/>
          <w:lang w:val="en-US"/>
        </w:rPr>
        <w:t>Hz</w:t>
      </w:r>
      <w:r>
        <w:rPr>
          <w:rFonts w:ascii="Arial" w:hAnsi="Arial" w:cs="Arial"/>
          <w:sz w:val="24"/>
          <w:lang w:val="en-US"/>
        </w:rPr>
        <w:t xml:space="preserve"> by enhancing the charging current of the capacitor banks whilst maintaining a stable spark and preventing continuous plasma formation, which would destroy the size distribution as the well-defined nature of the particles is a direct consequence of the pulsating nature of the spark (1 mA).</w:t>
      </w:r>
      <w:r w:rsidR="00637DD6"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{"citationID":"LCkrZl7C","properties":{"formattedCitation":"\\super 18\\nosupersub{}","plainCitation":"18","noteIndex":0},"citationItems":[{"id":1716,"uris":["http://zotero.org/users/4941048/items/ZT753QUU"],"itemData":{"id":1716,"type":"thesis","language":"en","note":"DOI: 10.4233/UUID:FB6C0122-587B-471D-8009-B52EF9B69B07\nDOI: 10.4233/UUID:FB6C0122-587B-471D-8009-B52EF9B69B07","publisher":"Delft University of Technology","source":"DOI.org (Datacite)","title":"Scalable Spark Ablation Synthesis of Nanoparticles: Fundamental Considerations and Application in Textile Nanofinishing","title-short":"Scalable Spark Ablation Synthesis of Nanoparticles","URL":"http://resolver.tudelft.nl/uuid:fb6c0122-587b-471d-8009-b52ef9b69b07","author":[{"family":"Feng","given":"J."}],"accessed":{"date-parts":[["2022",10,25]]},"issued":{"date-parts":[["2016"]]}}}],"schema":"https://github.com/citation-style-language/schema/raw/master/csl-citation.json"} </w:instrText>
      </w:r>
      <w:r w:rsidR="00637DD6" w:rsidRPr="00FF5897">
        <w:rPr>
          <w:rFonts w:ascii="Arial" w:hAnsi="Arial" w:cs="Arial"/>
          <w:sz w:val="24"/>
          <w:lang w:val="en-US"/>
        </w:rPr>
        <w:fldChar w:fldCharType="separate"/>
      </w:r>
      <w:r w:rsidR="001E3C11" w:rsidRPr="00FF5897">
        <w:rPr>
          <w:rFonts w:ascii="Arial" w:hAnsi="Arial" w:cs="Arial"/>
          <w:sz w:val="24"/>
          <w:vertAlign w:val="superscript"/>
        </w:rPr>
        <w:t>18</w:t>
      </w:r>
      <w:r w:rsidR="00637DD6" w:rsidRPr="00FF5897">
        <w:rPr>
          <w:rFonts w:ascii="Arial" w:hAnsi="Arial" w:cs="Arial"/>
          <w:sz w:val="24"/>
          <w:lang w:val="en-US"/>
        </w:rPr>
        <w:fldChar w:fldCharType="end"/>
      </w:r>
      <w:r>
        <w:rPr>
          <w:rFonts w:ascii="Arial" w:hAnsi="Arial" w:cs="Arial"/>
          <w:sz w:val="24"/>
          <w:lang w:val="en-US"/>
        </w:rPr>
        <w:t xml:space="preserve"> Further, as the ratio between positively and negatively charged particles differs in the cluster regime as well as their most frequently observed size</w:t>
      </w:r>
      <w:r w:rsidR="001C425C"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{"citationID":"Ve2ndOPL","properties":{"formattedCitation":"\\super 11\\nosupersub{}","plainCitation":"11","noteIndex":0},"citationItems":[{"id":1403,"uris":["http://zotero.org/users/4941048/items/T2S45RSF"],"itemData":{"id":1403,"type":"article-journal","abstract":"The potential of using atmospheric-pressure spark ablation for production of atomic clusters has been shown in the recent past. In this study we used this method to produce atomic clusters in Argon and investigated their chemical composition with an atmospheric pressure interface time-of-flight mass spectrometer (APi-TOF-MS). Both anionic and cationic silver and gold clusters were generated and characterised. The carrier gas was used directly from the gas cylinder without the application of any additional gas purification. As a result, the carrier gas stream contained trace impurities of N2, O2, and H2O, as well as radicals such as O, OH, and H and their ionized forms resulting from the plasma created by the sparks. The experimental results show that different reactivities towards oxygen and water traces can be observed depending on the number of metal atoms in the clusters, their polarity, as well as their compositions; e.g., Aun− shows less reactive behaviour towards oxygen and hydrogen compared to Agn−. The results also show that certain cluster types can be generated at large enough quantities by atmospheric-pressure spark ablation, which considering the low installation and operating cost of the technique can pave the way towards its exploitation for numerous technological applications.","container-title":"Journal of Aerosol Science","DOI":"10.1016/j.jaerosci.2021.105780","ISSN":"0021-8502","journalAbbreviation":"Journal of Aerosol Science","language":"en","page":"105780","source":"ScienceDirect","title":"Characterization of atmospheric-pressure spark generated atomic silver and gold clusters by time-of-flight mass spectrometry","volume":"156","author":[{"family":"Maisser","given":"A."},{"family":"Barmpounis","given":"K."},{"family":"Holm","given":"S."},{"family":"Attoui","given":"M."},{"family":"Schmidt-Ott","given":"A."},{"family":"Kangasluoma","given":"J."},{"family":"Biskos","given":"G."}],"issued":{"date-parts":[["2021",8,1]]}}}],"schema":"https://github.com/citation-style-language/schema/raw/master/csl-citation.json"} </w:instrText>
      </w:r>
      <w:r w:rsidR="001C425C" w:rsidRPr="00FF5897">
        <w:rPr>
          <w:rFonts w:ascii="Arial" w:hAnsi="Arial" w:cs="Arial"/>
          <w:sz w:val="24"/>
          <w:lang w:val="en-US"/>
        </w:rPr>
        <w:fldChar w:fldCharType="separate"/>
      </w:r>
      <w:r w:rsidR="001E3C11" w:rsidRPr="00FF5897">
        <w:rPr>
          <w:rFonts w:ascii="Arial" w:hAnsi="Arial" w:cs="Arial"/>
          <w:sz w:val="24"/>
          <w:vertAlign w:val="superscript"/>
        </w:rPr>
        <w:t>11</w:t>
      </w:r>
      <w:r w:rsidR="001C425C" w:rsidRPr="00FF5897">
        <w:rPr>
          <w:rFonts w:ascii="Arial" w:hAnsi="Arial" w:cs="Arial"/>
          <w:sz w:val="24"/>
          <w:lang w:val="en-US"/>
        </w:rPr>
        <w:fldChar w:fldCharType="end"/>
      </w:r>
      <w:r>
        <w:rPr>
          <w:rFonts w:ascii="Arial" w:hAnsi="Arial" w:cs="Arial"/>
          <w:sz w:val="24"/>
          <w:lang w:val="en-US"/>
        </w:rPr>
        <w:t xml:space="preserve">, we investigated the effect of charge as well. </w:t>
      </w:r>
      <w:r>
        <w:rPr>
          <w:rFonts w:ascii="Arial" w:hAnsi="Arial" w:cs="Arial"/>
          <w:b/>
          <w:sz w:val="24"/>
          <w:lang w:val="en-US"/>
        </w:rPr>
        <w:t>Figure S3</w:t>
      </w:r>
      <w:r>
        <w:rPr>
          <w:rFonts w:ascii="Arial" w:hAnsi="Arial" w:cs="Arial"/>
          <w:sz w:val="24"/>
          <w:lang w:val="en-US"/>
        </w:rPr>
        <w:t xml:space="preserve"> shows the effect of capacitance and cluster charge on both the particle size and production rate for a Cu-Cu electrode configuration (i.e. </w:t>
      </w:r>
      <w:r>
        <w:rPr>
          <w:rFonts w:ascii="Arial" w:hAnsi="Arial" w:cs="Arial"/>
          <w:b/>
          <w:sz w:val="24"/>
          <w:lang w:val="en-US"/>
        </w:rPr>
        <w:t>Figure S2H</w:t>
      </w:r>
      <w:r>
        <w:rPr>
          <w:rFonts w:ascii="Arial" w:hAnsi="Arial" w:cs="Arial"/>
          <w:sz w:val="24"/>
          <w:lang w:val="en-US"/>
        </w:rPr>
        <w:t>).</w:t>
      </w:r>
    </w:p>
    <w:p w14:paraId="4CAED279" w14:textId="77777777" w:rsidR="00266643" w:rsidRPr="00FF5897" w:rsidRDefault="00266643" w:rsidP="00FD4D0D">
      <w:pPr>
        <w:spacing w:after="100" w:afterAutospacing="1" w:line="360" w:lineRule="auto"/>
        <w:jc w:val="both"/>
        <w:rPr>
          <w:rFonts w:ascii="Arial" w:hAnsi="Arial" w:cs="Arial"/>
          <w:sz w:val="24"/>
          <w:szCs w:val="24"/>
          <w:lang w:val="en-US"/>
        </w:rPr>
      </w:pPr>
      <w:r w:rsidRPr="00FF5897">
        <w:rPr>
          <w:rFonts w:ascii="Arial" w:hAnsi="Arial" w:cs="Arial"/>
          <w:noProof/>
          <w:sz w:val="24"/>
          <w:szCs w:val="24"/>
          <w:lang w:val="en-US"/>
        </w:rPr>
        <w:drawing>
          <wp:inline distT="0" distB="0" distL="0" distR="0" wp14:anchorId="69CD42CC" wp14:editId="028879F5">
            <wp:extent cx="5229225" cy="2981325"/>
            <wp:effectExtent l="0" t="0" r="9525" b="9525"/>
            <wp:docPr id="110" name="Picture 110" descr="A picture containing text, screenshot, diagram,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 diagram, number&#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r="8804"/>
                    <a:stretch/>
                  </pic:blipFill>
                  <pic:spPr bwMode="auto">
                    <a:xfrm>
                      <a:off x="0" y="0"/>
                      <a:ext cx="5229225" cy="2981325"/>
                    </a:xfrm>
                    <a:prstGeom prst="rect">
                      <a:avLst/>
                    </a:prstGeom>
                    <a:noFill/>
                    <a:ln>
                      <a:noFill/>
                    </a:ln>
                    <a:extLst>
                      <a:ext uri="{53640926-AAD7-44D8-BBD7-CCE9431645EC}">
                        <a14:shadowObscured xmlns:a14="http://schemas.microsoft.com/office/drawing/2010/main"/>
                      </a:ext>
                    </a:extLst>
                  </pic:spPr>
                </pic:pic>
              </a:graphicData>
            </a:graphic>
          </wp:inline>
        </w:drawing>
      </w:r>
    </w:p>
    <w:p w14:paraId="5E5F3865"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b/>
          <w:lang w:val="en-US"/>
        </w:rPr>
        <w:t xml:space="preserve">Figure S3. </w:t>
      </w:r>
      <w:r>
        <w:rPr>
          <w:rFonts w:ascii="Arial" w:hAnsi="Arial" w:cs="Arial"/>
          <w:lang w:val="en-US"/>
        </w:rPr>
        <w:t>Size distributions of charged clusters produced in the aerosol as measured by a differential mobility analyzer (DMA) to determine the particle mobility (and thus</w:t>
      </w:r>
      <w:r>
        <w:rPr>
          <w:rFonts w:ascii="Arial" w:hAnsi="Arial" w:cs="Arial"/>
          <w:sz w:val="24"/>
          <w:lang w:val="en-US"/>
        </w:rPr>
        <w:t xml:space="preserve"> size) and the production rate measured via the Faraday cup depicted in </w:t>
      </w:r>
      <w:r>
        <w:rPr>
          <w:rFonts w:ascii="Arial" w:hAnsi="Arial" w:cs="Arial"/>
          <w:b/>
          <w:sz w:val="24"/>
          <w:lang w:val="en-US"/>
        </w:rPr>
        <w:t xml:space="preserve">Figure S2A </w:t>
      </w:r>
      <w:r>
        <w:rPr>
          <w:rFonts w:ascii="Arial" w:hAnsi="Arial" w:cs="Arial"/>
          <w:sz w:val="24"/>
          <w:lang w:val="en-US"/>
        </w:rPr>
        <w:t>and an electrometer. The voltage scan of</w:t>
      </w:r>
      <w:r>
        <w:rPr>
          <w:rFonts w:ascii="Arial" w:hAnsi="Arial" w:cs="Arial"/>
          <w:b/>
          <w:sz w:val="24"/>
          <w:lang w:val="en-US"/>
        </w:rPr>
        <w:t xml:space="preserve"> </w:t>
      </w:r>
      <w:r>
        <w:rPr>
          <w:rFonts w:ascii="Arial" w:hAnsi="Arial" w:cs="Arial"/>
          <w:sz w:val="24"/>
          <w:lang w:val="en-US"/>
        </w:rPr>
        <w:t xml:space="preserve">the DMA is converted to a particle size. The current </w:t>
      </w:r>
      <w:r>
        <w:rPr>
          <w:rFonts w:ascii="Arial" w:hAnsi="Arial" w:cs="Arial"/>
          <w:sz w:val="24"/>
          <w:lang w:val="en-US"/>
        </w:rPr>
        <w:lastRenderedPageBreak/>
        <w:t>measured by the electrometer is converted to a number concentration and thus the production rate (min losses). (A)</w:t>
      </w:r>
      <w:r>
        <w:rPr>
          <w:rFonts w:ascii="Arial" w:hAnsi="Arial" w:cs="Arial"/>
          <w:b/>
          <w:sz w:val="24"/>
          <w:lang w:val="en-US"/>
        </w:rPr>
        <w:t xml:space="preserve"> </w:t>
      </w:r>
      <w:r>
        <w:rPr>
          <w:rFonts w:ascii="Arial" w:hAnsi="Arial" w:cs="Arial"/>
          <w:sz w:val="24"/>
          <w:lang w:val="en-US"/>
        </w:rPr>
        <w:t>The Cu oxide positively charged particle size distribution with an average size of ~2.1 nm, a 7 10</w:t>
      </w:r>
      <w:r>
        <w:rPr>
          <w:rFonts w:ascii="Arial" w:hAnsi="Arial" w:cs="Arial"/>
          <w:sz w:val="24"/>
          <w:vertAlign w:val="superscript"/>
          <w:lang w:val="en-US"/>
        </w:rPr>
        <w:t xml:space="preserve">5 </w:t>
      </w:r>
      <w:r>
        <w:rPr>
          <w:rFonts w:ascii="Arial" w:hAnsi="Arial" w:cs="Arial"/>
          <w:sz w:val="24"/>
          <w:lang w:val="en-US"/>
        </w:rPr>
        <w:t>s</w:t>
      </w:r>
      <w:r>
        <w:rPr>
          <w:rFonts w:ascii="Arial" w:hAnsi="Arial" w:cs="Arial"/>
          <w:sz w:val="24"/>
          <w:vertAlign w:val="superscript"/>
          <w:lang w:val="en-US"/>
        </w:rPr>
        <w:t>-1</w:t>
      </w:r>
      <w:r>
        <w:rPr>
          <w:rFonts w:ascii="Arial" w:hAnsi="Arial" w:cs="Arial"/>
          <w:sz w:val="24"/>
          <w:lang w:val="en-US"/>
        </w:rPr>
        <w:t xml:space="preserve"> production rate, at 0.4 kV spark discharge voltage, 1 mA charging current, 25 lpm aerosol gas flow and 20 </w:t>
      </w:r>
      <w:proofErr w:type="spellStart"/>
      <w:r>
        <w:rPr>
          <w:rFonts w:ascii="Arial" w:hAnsi="Arial" w:cs="Arial"/>
          <w:sz w:val="24"/>
          <w:lang w:val="en-US"/>
        </w:rPr>
        <w:t>nF</w:t>
      </w:r>
      <w:proofErr w:type="spellEnd"/>
      <w:r>
        <w:rPr>
          <w:rFonts w:ascii="Arial" w:hAnsi="Arial" w:cs="Arial"/>
          <w:sz w:val="24"/>
          <w:lang w:val="en-US"/>
        </w:rPr>
        <w:t xml:space="preserve"> capacitance. (B) The Cu oxide size distribution of negatively charged particles with the average size of 1.6 nm and double the production rate at 1 </w:t>
      </w:r>
      <w:proofErr w:type="spellStart"/>
      <w:r>
        <w:rPr>
          <w:rFonts w:ascii="Arial" w:hAnsi="Arial" w:cs="Arial"/>
          <w:sz w:val="24"/>
          <w:lang w:val="en-US"/>
        </w:rPr>
        <w:t>nF</w:t>
      </w:r>
      <w:proofErr w:type="spellEnd"/>
      <w:r>
        <w:rPr>
          <w:rFonts w:ascii="Arial" w:hAnsi="Arial" w:cs="Arial"/>
          <w:sz w:val="24"/>
          <w:lang w:val="en-US"/>
        </w:rPr>
        <w:t xml:space="preserve"> capacitance but all other parameters kept the same (1.4 10</w:t>
      </w:r>
      <w:r>
        <w:rPr>
          <w:rFonts w:ascii="Arial" w:hAnsi="Arial" w:cs="Arial"/>
          <w:sz w:val="24"/>
          <w:vertAlign w:val="superscript"/>
          <w:lang w:val="en-US"/>
        </w:rPr>
        <w:t xml:space="preserve">6 </w:t>
      </w:r>
      <w:r>
        <w:rPr>
          <w:rFonts w:ascii="Arial" w:hAnsi="Arial" w:cs="Arial"/>
          <w:sz w:val="24"/>
          <w:lang w:val="en-US"/>
        </w:rPr>
        <w:t>s</w:t>
      </w:r>
      <w:r>
        <w:rPr>
          <w:rFonts w:ascii="Arial" w:hAnsi="Arial" w:cs="Arial"/>
          <w:sz w:val="24"/>
          <w:vertAlign w:val="superscript"/>
          <w:lang w:val="en-US"/>
        </w:rPr>
        <w:t>-1</w:t>
      </w:r>
      <w:r>
        <w:rPr>
          <w:rFonts w:ascii="Arial" w:hAnsi="Arial" w:cs="Arial"/>
          <w:sz w:val="24"/>
          <w:lang w:val="en-US"/>
        </w:rPr>
        <w:t xml:space="preserve">). </w:t>
      </w:r>
    </w:p>
    <w:p w14:paraId="0603519D" w14:textId="77777777" w:rsidR="005E4531" w:rsidRDefault="006B323D" w:rsidP="00320FDF">
      <w:pPr>
        <w:spacing w:after="100" w:afterAutospacing="1" w:line="360" w:lineRule="auto"/>
        <w:jc w:val="both"/>
        <w:rPr>
          <w:rFonts w:ascii="Arial" w:hAnsi="Arial" w:cs="Arial"/>
          <w:sz w:val="28"/>
          <w:lang w:val="en-US"/>
        </w:rPr>
      </w:pPr>
      <w:r>
        <w:rPr>
          <w:rFonts w:ascii="Arial" w:hAnsi="Arial" w:cs="Arial"/>
          <w:sz w:val="28"/>
          <w:lang w:val="en-US"/>
        </w:rPr>
        <w:t>Note S2.3 Controlling the particle composition</w:t>
      </w:r>
    </w:p>
    <w:p w14:paraId="485E9C1F" w14:textId="1979E317"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The third and final objective was to control the particle composition by mixing in a second element. </w:t>
      </w:r>
      <w:r w:rsidR="00447319" w:rsidRPr="00FF5897">
        <w:rPr>
          <w:rFonts w:ascii="Arial" w:hAnsi="Arial" w:cs="Arial"/>
          <w:sz w:val="24"/>
          <w:lang w:val="en-US"/>
        </w:rPr>
        <w:t>This can be achieved simply by switching out either the pin or the hole electrode for one of a different element (in this case Ag).</w:t>
      </w:r>
      <w:r w:rsidR="00720BC7"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{"citationID":"vZlwdcJa","properties":{"formattedCitation":"\\super 10\\nosupersub{}","plainCitation":"10","noteIndex":0},"citationItems":[{"id":1132,"uris":["http://zotero.org/users/4941048/items/B3B6HFW4"],"itemData":{"id":1132,"type":"article-journal","container-title":"Matter","DOI":"10.1016/j.matt.2020.07.027","ISSN":"25902385","issue":"5","journalAbbreviation":"Matter","language":"en","page":"1646-1663","source":"DOI.org (Crossref)","title":"Unconventional Alloys Confined in Nanoparticles: Building Blocks for New Matter","title-short":"Unconventional Alloys Confined in Nanoparticles","volume":"3","author":[{"family":"Feng","given":"Jicheng"},{"family":"Chen","given":"Dong"},{"family":"Pikhitsa","given":"Peter V."},{"family":"Jung","given":"Yoon-ho"},{"family":"Yang","given":"Jun"},{"family":"Choi","given":"Mansoo"}],"issued":{"date-parts":[["2020",11]]}}}],"schema":"https://github.com/citation-style-language/schema/raw/master/csl-citation.json"} </w:instrText>
      </w:r>
      <w:r w:rsidR="00720BC7" w:rsidRPr="00FF5897">
        <w:rPr>
          <w:rFonts w:ascii="Arial" w:hAnsi="Arial" w:cs="Arial"/>
          <w:sz w:val="24"/>
          <w:lang w:val="en-US"/>
        </w:rPr>
        <w:fldChar w:fldCharType="separate"/>
      </w:r>
      <w:r w:rsidR="001E3C11" w:rsidRPr="00FF5897">
        <w:rPr>
          <w:rFonts w:ascii="Arial" w:hAnsi="Arial" w:cs="Arial"/>
          <w:sz w:val="24"/>
          <w:vertAlign w:val="superscript"/>
        </w:rPr>
        <w:t>10</w:t>
      </w:r>
      <w:r w:rsidR="00720BC7" w:rsidRPr="00FF5897">
        <w:rPr>
          <w:rFonts w:ascii="Arial" w:hAnsi="Arial" w:cs="Arial"/>
          <w:sz w:val="24"/>
          <w:lang w:val="en-US"/>
        </w:rPr>
        <w:fldChar w:fldCharType="end"/>
      </w:r>
      <w:r w:rsidR="00447319" w:rsidRPr="00FF5897">
        <w:rPr>
          <w:rFonts w:ascii="Arial" w:hAnsi="Arial" w:cs="Arial"/>
          <w:sz w:val="24"/>
          <w:lang w:val="en-US"/>
        </w:rPr>
        <w:t xml:space="preserve"> Since</w:t>
      </w:r>
      <w:r w:rsidR="00720BC7" w:rsidRPr="00FF5897">
        <w:rPr>
          <w:rFonts w:ascii="Arial" w:hAnsi="Arial" w:cs="Arial"/>
          <w:sz w:val="24"/>
          <w:lang w:val="en-US"/>
        </w:rPr>
        <w:t xml:space="preserve"> the negatively charged electrode will have the highest relative ablation rate due to its attraction of the Ar</w:t>
      </w:r>
      <w:r w:rsidR="00720BC7" w:rsidRPr="00FF5897">
        <w:rPr>
          <w:rFonts w:ascii="Arial" w:hAnsi="Arial" w:cs="Arial"/>
          <w:sz w:val="24"/>
          <w:vertAlign w:val="superscript"/>
          <w:lang w:val="en-US"/>
        </w:rPr>
        <w:t>+</w:t>
      </w:r>
      <w:r w:rsidR="00447319" w:rsidRPr="00FF5897">
        <w:rPr>
          <w:rFonts w:ascii="Arial" w:hAnsi="Arial" w:cs="Arial"/>
          <w:sz w:val="24"/>
          <w:lang w:val="en-US"/>
        </w:rPr>
        <w:t xml:space="preserve"> </w:t>
      </w:r>
      <w:r w:rsidR="00720BC7" w:rsidRPr="00FF5897">
        <w:rPr>
          <w:rFonts w:ascii="Arial" w:hAnsi="Arial" w:cs="Arial"/>
          <w:sz w:val="24"/>
          <w:lang w:val="en-US"/>
        </w:rPr>
        <w:t xml:space="preserve">ions existing in the plasma resulting in </w:t>
      </w:r>
      <w:r w:rsidR="00361176" w:rsidRPr="00FF5897">
        <w:rPr>
          <w:rFonts w:ascii="Arial" w:hAnsi="Arial" w:cs="Arial"/>
          <w:sz w:val="24"/>
          <w:lang w:val="en-US"/>
        </w:rPr>
        <w:t xml:space="preserve">rapid </w:t>
      </w:r>
      <w:r w:rsidR="00720BC7" w:rsidRPr="00FF5897">
        <w:rPr>
          <w:rFonts w:ascii="Arial" w:hAnsi="Arial" w:cs="Arial"/>
          <w:sz w:val="24"/>
          <w:lang w:val="en-US"/>
        </w:rPr>
        <w:t>ion bombardment</w:t>
      </w:r>
      <w:r w:rsidR="002B1EA6"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{"citationID":"qO0haZV8","properties":{"formattedCitation":"\\super 19\\nosupersub{}","plainCitation":"19","noteIndex":0},"citationItems":[{"id":1656,"uris":["http://zotero.org/users/4941048/items/NJ9RD3ZL"],"itemData":{"id":1656,"type":"book","abstract":"Laser ablation (LA) and spark discharge (SD) techniques are commonly used for nanoparticle (NP) formation. The produced NPs have found numerous applications in such areas as electronics, biomedicine, textile production, etc. Previous studies provide us information about the amount of NPs, their size distribution, and possible applications. On one hand, the main advantage of the LA method is in the possibilities of changing laser parameters and background conditions and to ablate materials with complicated stoichiometry. On the other hand, the major advantage of the SD technique is in the possibility of using several facilities in parallel to increase the yield of nanoparticles. To optimize these processes, we consider different stages involved and analyze the resulting plasma and nanoparticle (NP) parameters. Based on the performed calculations, we analyze nanoparticle properties, such as mean size and mean density. The performed analysis (shows how the experimental conditions are connected with the resulted nanoparticle characteristics in agreement with several previous experiments. Cylindrical plasma column expansion and return are shown to govern primary nanoparticle formation in spark discharge, whereas hemispherical shock describes quite well this process for nanosecond laser ablation at atmospheric pressure. In addition, spark discharge leads to the oscillations in plasma properties, whereas monotonous behavior is characteristic for nanosecond laser ablation. Despite the difference in plasma density and time evolutions calculated for both phenomena, after well-defined delays, similar critical nuclei have been shown to be formed by both techniques. This result is attributed to the fact that whereas larger evaporation rate is typical for nanosecond laser ablation, a mixture of vapor and background gas determines the supersaturation in the case of spark.","ISBN":"978-953-51-2214-2","language":"en","note":"container-title: Nanoparticles Technology\nDOI: 10.5772/61303","publisher":"IntechOpen","source":"www.intechopen.com","title":"Nanoparticle Formation by Laser Ablation and by Spark Discharges — Properties, Mechanisms, and Control Possibilities","URL":"https://www.intechopen.com/state.item.id","author":[{"family":"Voloshko","given":"Andrey"},{"family":"Itina","given":"Tatiana E."},{"family":"Voloshko","given":"Andrey"},{"family":"Itina","given":"Tatiana E."}],"accessed":{"date-parts":[["2022",11,17]]},"issued":{"date-parts":[["2015",12,9]]}}}],"schema":"https://github.com/citation-style-language/schema/raw/master/csl-citation.json"} </w:instrText>
      </w:r>
      <w:r w:rsidR="002B1EA6" w:rsidRPr="00FF5897">
        <w:rPr>
          <w:rFonts w:ascii="Arial" w:hAnsi="Arial" w:cs="Arial"/>
          <w:sz w:val="24"/>
          <w:lang w:val="en-US"/>
        </w:rPr>
        <w:fldChar w:fldCharType="separate"/>
      </w:r>
      <w:r w:rsidR="001E3C11" w:rsidRPr="00FF5897">
        <w:rPr>
          <w:rFonts w:ascii="Arial" w:hAnsi="Arial" w:cs="Arial"/>
          <w:sz w:val="24"/>
          <w:vertAlign w:val="superscript"/>
        </w:rPr>
        <w:t>19</w:t>
      </w:r>
      <w:r w:rsidR="002B1EA6" w:rsidRPr="00FF5897">
        <w:rPr>
          <w:rFonts w:ascii="Arial" w:hAnsi="Arial" w:cs="Arial"/>
          <w:sz w:val="24"/>
          <w:lang w:val="en-US"/>
        </w:rPr>
        <w:fldChar w:fldCharType="end"/>
      </w:r>
      <w:r w:rsidR="00720BC7" w:rsidRPr="00FF5897">
        <w:rPr>
          <w:rFonts w:ascii="Arial" w:hAnsi="Arial" w:cs="Arial"/>
          <w:sz w:val="24"/>
          <w:lang w:val="en-US"/>
        </w:rPr>
        <w:t>,</w:t>
      </w:r>
      <w:r w:rsidR="000A1DD8" w:rsidRPr="00FF5897">
        <w:rPr>
          <w:rFonts w:ascii="Arial" w:hAnsi="Arial" w:cs="Arial"/>
          <w:sz w:val="24"/>
          <w:lang w:val="en-US"/>
        </w:rPr>
        <w:t xml:space="preserve"> and we need a majority Cu for a good electrochemical performance, we opted to sw</w:t>
      </w:r>
      <w:r w:rsidR="00925076">
        <w:rPr>
          <w:rFonts w:ascii="Arial" w:hAnsi="Arial" w:cs="Arial"/>
          <w:sz w:val="24"/>
          <w:lang w:val="en-US"/>
        </w:rPr>
        <w:t>a</w:t>
      </w:r>
      <w:r w:rsidR="000A1DD8" w:rsidRPr="00FF5897">
        <w:rPr>
          <w:rFonts w:ascii="Arial" w:hAnsi="Arial" w:cs="Arial"/>
          <w:sz w:val="24"/>
          <w:lang w:val="en-US"/>
        </w:rPr>
        <w:t>p this electrode.</w:t>
      </w:r>
      <w:r>
        <w:rPr>
          <w:rFonts w:ascii="Arial" w:hAnsi="Arial" w:cs="Arial"/>
          <w:sz w:val="24"/>
          <w:lang w:val="en-US"/>
        </w:rPr>
        <w:t xml:space="preserve"> </w:t>
      </w:r>
      <w:r>
        <w:rPr>
          <w:rFonts w:ascii="Arial" w:hAnsi="Arial" w:cs="Arial"/>
          <w:b/>
          <w:sz w:val="24"/>
          <w:lang w:val="en-US"/>
        </w:rPr>
        <w:t>Figure S4</w:t>
      </w:r>
      <w:r>
        <w:rPr>
          <w:rFonts w:ascii="Arial" w:hAnsi="Arial" w:cs="Arial"/>
          <w:sz w:val="24"/>
          <w:lang w:val="en-US"/>
        </w:rPr>
        <w:t xml:space="preserve"> shows the size distribution with a Cu-pin, Ag-hole configuration.</w:t>
      </w:r>
    </w:p>
    <w:p w14:paraId="58EE707A" w14:textId="1F17EAD6" w:rsidR="00266643" w:rsidRPr="00FF5897" w:rsidRDefault="008D0289" w:rsidP="00FD4D0D">
      <w:pPr>
        <w:spacing w:after="100" w:afterAutospacing="1"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7398DB4C" wp14:editId="05D02F2F">
            <wp:extent cx="5731510" cy="4122420"/>
            <wp:effectExtent l="0" t="0" r="2540" b="0"/>
            <wp:docPr id="2027229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29887" name="Picture 20272298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122420"/>
                    </a:xfrm>
                    <a:prstGeom prst="rect">
                      <a:avLst/>
                    </a:prstGeom>
                  </pic:spPr>
                </pic:pic>
              </a:graphicData>
            </a:graphic>
          </wp:inline>
        </w:drawing>
      </w:r>
    </w:p>
    <w:p w14:paraId="19BFEA5A"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lastRenderedPageBreak/>
        <w:t xml:space="preserve">Figure S4. </w:t>
      </w:r>
      <w:r>
        <w:rPr>
          <w:rFonts w:ascii="Arial" w:hAnsi="Arial" w:cs="Arial"/>
          <w:lang w:val="en-US"/>
        </w:rPr>
        <w:t>Size distribution and production rate of the positively charged Cu-Ag oxide clusters with an average size of 1.5 nm, which showed the smallest size and highest production rate whilst maintaining a stable spark.</w:t>
      </w:r>
    </w:p>
    <w:p w14:paraId="728E3A69" w14:textId="77777777"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t>Note S3. Experimental part related to electrostatic precipitation deposition.</w:t>
      </w:r>
    </w:p>
    <w:p w14:paraId="5563C56E" w14:textId="744E1B73"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In order to accurately deposit the metal oxide clusters on a substrate with a well-defined spot size to control the loading/dispersion on various substrates, we opted for the use of electrostatic precipitation.</w:t>
      </w:r>
      <w:r w:rsidR="00361176"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{"citationID":"uzxoOjjT","properties":{"formattedCitation":"\\super 14\\nosupersub{}","plainCitation":"14","noteIndex":0},"citationItems":[{"id":1133,"uris":["http://zotero.org/users/4941048/items/95R2B23L"],"itemData":{"id":1133,"type":"article-journal","abstract":"Deposition of aerosol nanoparticles using an electrostatic precipitator is widely used in the aerosol community. Despite this, basic knowledge regarding what governs the deposition has been missing. This concerns the prediction of the size of the particle collection zone, but also, perhaps more importantly, prediction of the nanoparticle concentration distribution on the substrate, both of which are necessary to achieve faster and more precise deposition. In this article, we have used COMSOL Multiphysics simulations, experimental depositions, and two analytical models to describe the deposition. Based on that, we propose a simple equation that can be used to predict the size of the deposition spot as well as the particle concentration on the substrate. The equation we derive concludes that the size of the deposition spot only depends on the gas flow rate into the precipitator, and on the constant drift velocity of a particle in an electric field. The equation also displays that the deposited particle concentration is independent of the gas flow rate. Our general mathematical analysis has great applicability, as it can be used to model different geometries and different types of deposition methods than the one described in this article. We can therefore also propose that the drift velocity in this model easily could be replaced by another velocity acting on the particles at other deposition conditions, for instance, the thermophoretic velocity during thermophoretic deposition. This would result in the same dependence as presented in this article. Finally, we demonstrate analytically and through experiment that the particle distribution inside the spot will be homogenous and follows a top hat profile.","container-title":"Aerosol Science and Technology","DOI":"10.1080/02786826.2020.1716939","ISSN":"0278-6826","issue":"6","note":"publisher: Taylor &amp; Francis\n_eprint: https://doi.org/10.1080/02786826.2020.1716939","page":"718-728","source":"Taylor and Francis+NEJM","title":"Predicting the deposition spot radius and the nanoparticle concentration distribution in an electrostatic precipitator","volume":"54","author":[{"family":"Preger","given":"Calle"},{"family":"Overgaard","given":"Niels C."},{"family":"Messing","given":"Maria E."},{"family":"Magnusson","given":"Martin H."}],"issued":{"date-parts":[["2020",6,2]]}}}],"schema":"https://github.com/citation-style-language/schema/raw/master/csl-citation.json"} </w:instrText>
      </w:r>
      <w:r w:rsidR="00361176" w:rsidRPr="00FF5897">
        <w:rPr>
          <w:rFonts w:ascii="Arial" w:hAnsi="Arial" w:cs="Arial"/>
          <w:sz w:val="24"/>
          <w:lang w:val="en-US"/>
        </w:rPr>
        <w:fldChar w:fldCharType="separate"/>
      </w:r>
      <w:r w:rsidR="001E3C11" w:rsidRPr="00FF5897">
        <w:rPr>
          <w:rFonts w:ascii="Arial" w:hAnsi="Arial" w:cs="Arial"/>
          <w:sz w:val="24"/>
          <w:vertAlign w:val="superscript"/>
        </w:rPr>
        <w:t>14</w:t>
      </w:r>
      <w:r w:rsidR="00361176" w:rsidRPr="00FF5897">
        <w:rPr>
          <w:rFonts w:ascii="Arial" w:hAnsi="Arial" w:cs="Arial"/>
          <w:sz w:val="24"/>
          <w:lang w:val="en-US"/>
        </w:rPr>
        <w:fldChar w:fldCharType="end"/>
      </w:r>
      <w:r>
        <w:rPr>
          <w:rFonts w:ascii="Arial" w:hAnsi="Arial" w:cs="Arial"/>
          <w:sz w:val="24"/>
          <w:lang w:val="en-US"/>
        </w:rPr>
        <w:t xml:space="preserve"> Since metal oxide clusters carry for the large part a charge, they are well suited to be extracted from the aerosol using an applied bias. Therefore, we placed a TEM grid coated with support material orthogonal to the particle beam (to minimize diffusion deposition) in the deposition chamber indicated in </w:t>
      </w:r>
      <w:r>
        <w:rPr>
          <w:rFonts w:ascii="Arial" w:hAnsi="Arial" w:cs="Arial"/>
          <w:b/>
          <w:sz w:val="24"/>
          <w:lang w:val="en-US"/>
        </w:rPr>
        <w:t>Figure S2B</w:t>
      </w:r>
      <w:r>
        <w:rPr>
          <w:rFonts w:ascii="Arial" w:hAnsi="Arial" w:cs="Arial"/>
          <w:sz w:val="24"/>
          <w:lang w:val="en-US"/>
        </w:rPr>
        <w:t>. By applying a bias of (+/-)60 V, all the particles of opposite polarity could thereby be deposited on to the TEM grid by concentrating the particle beam into a spot size equal to the TEM grid diameter. An optimized loading of 1.0 mg cm</w:t>
      </w:r>
      <w:r>
        <w:rPr>
          <w:rFonts w:ascii="Arial" w:hAnsi="Arial" w:cs="Arial"/>
          <w:sz w:val="24"/>
          <w:vertAlign w:val="superscript"/>
          <w:lang w:val="en-US"/>
        </w:rPr>
        <w:t>-2</w:t>
      </w:r>
      <w:r>
        <w:rPr>
          <w:rFonts w:ascii="Arial" w:hAnsi="Arial" w:cs="Arial"/>
          <w:sz w:val="24"/>
          <w:lang w:val="en-US"/>
        </w:rPr>
        <w:t xml:space="preserve"> MWCNTs, 0.27 mg cm</w:t>
      </w:r>
      <w:r>
        <w:rPr>
          <w:rFonts w:ascii="Arial" w:hAnsi="Arial" w:cs="Arial"/>
          <w:sz w:val="24"/>
          <w:vertAlign w:val="superscript"/>
          <w:lang w:val="en-US"/>
        </w:rPr>
        <w:t>-2</w:t>
      </w:r>
      <w:r>
        <w:rPr>
          <w:rFonts w:ascii="Arial" w:hAnsi="Arial" w:cs="Arial"/>
          <w:sz w:val="24"/>
          <w:lang w:val="en-US"/>
        </w:rPr>
        <w:t xml:space="preserve"> NG-NPs, 0.13 mg cm</w:t>
      </w:r>
      <w:r>
        <w:rPr>
          <w:rFonts w:ascii="Arial" w:hAnsi="Arial" w:cs="Arial"/>
          <w:sz w:val="24"/>
          <w:vertAlign w:val="superscript"/>
          <w:lang w:val="en-US"/>
        </w:rPr>
        <w:t>-2</w:t>
      </w:r>
      <w:r>
        <w:rPr>
          <w:rFonts w:ascii="Arial" w:hAnsi="Arial" w:cs="Arial"/>
          <w:sz w:val="24"/>
          <w:lang w:val="en-US"/>
        </w:rPr>
        <w:t xml:space="preserve"> NCB-, 0.050 mg cm</w:t>
      </w:r>
      <w:r>
        <w:rPr>
          <w:rFonts w:ascii="Arial" w:hAnsi="Arial" w:cs="Arial"/>
          <w:sz w:val="24"/>
          <w:vertAlign w:val="superscript"/>
          <w:lang w:val="en-US"/>
        </w:rPr>
        <w:t>-2</w:t>
      </w:r>
      <w:r>
        <w:rPr>
          <w:rFonts w:ascii="Arial" w:hAnsi="Arial" w:cs="Arial"/>
          <w:sz w:val="24"/>
          <w:lang w:val="en-US"/>
        </w:rPr>
        <w:t xml:space="preserve"> GO-NPs support was used for uniform sub-monolayer coating of the TEM grid (</w:t>
      </w:r>
      <w:r>
        <w:rPr>
          <w:rFonts w:ascii="Arial" w:hAnsi="Arial" w:cs="Arial"/>
          <w:b/>
          <w:sz w:val="24"/>
          <w:lang w:val="en-US"/>
        </w:rPr>
        <w:t>Figure S1</w:t>
      </w:r>
      <w:r>
        <w:rPr>
          <w:rFonts w:ascii="Arial" w:hAnsi="Arial" w:cs="Arial"/>
          <w:sz w:val="24"/>
          <w:lang w:val="en-US"/>
        </w:rPr>
        <w:t>). The particle spot size can be determined via Eq. 4:</w:t>
      </w:r>
    </w:p>
    <w:tbl>
      <w:tblPr>
        <w:tblStyle w:val="TableGrid"/>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7987"/>
        <w:gridCol w:w="553"/>
      </w:tblGrid>
      <w:tr w:rsidR="005E4531" w14:paraId="44CFF32F" w14:textId="77777777" w:rsidTr="00320FDF">
        <w:trPr>
          <w:trHeight w:val="927"/>
        </w:trPr>
        <w:tc>
          <w:tcPr>
            <w:tcW w:w="539" w:type="dxa"/>
            <w:vAlign w:val="center"/>
          </w:tcPr>
          <w:p w14:paraId="6F99ED64" w14:textId="77777777" w:rsidR="005E4531" w:rsidRDefault="005E4531" w:rsidP="00320FDF">
            <w:pPr>
              <w:spacing w:before="240" w:after="100" w:afterAutospacing="1" w:line="360" w:lineRule="auto"/>
              <w:jc w:val="both"/>
              <w:rPr>
                <w:rFonts w:ascii="Arial" w:hAnsi="Arial" w:cs="Arial"/>
                <w:sz w:val="24"/>
              </w:rPr>
            </w:pPr>
          </w:p>
        </w:tc>
        <w:tc>
          <w:tcPr>
            <w:tcW w:w="7987" w:type="dxa"/>
            <w:vAlign w:val="bottom"/>
          </w:tcPr>
          <w:p w14:paraId="7F350CC3" w14:textId="737FFACB" w:rsidR="005E4531" w:rsidRPr="009C7E3E" w:rsidRDefault="00000000" w:rsidP="00320FDF">
            <w:pPr>
              <w:spacing w:after="100" w:afterAutospacing="1" w:line="360" w:lineRule="auto"/>
              <w:jc w:val="both"/>
              <w:rPr>
                <w:rFonts w:ascii="Arial" w:hAnsi="Arial"/>
                <w:sz w:val="24"/>
              </w:rPr>
            </w:pPr>
            <m:oMathPara>
              <m:oMathParaPr>
                <m:jc m:val="center"/>
              </m:oMathParaPr>
              <m:oMath>
                <m:sSub>
                  <m:sSubPr>
                    <m:ctrlPr>
                      <w:rPr>
                        <w:rFonts w:ascii="Cambria Math" w:hAnsi="Cambria Math"/>
                        <w:i/>
                        <w:sz w:val="24"/>
                      </w:rPr>
                    </m:ctrlPr>
                  </m:sSubPr>
                  <m:e>
                    <m:r>
                      <w:rPr>
                        <w:rFonts w:ascii="Cambria Math" w:hAnsi="Cambria Math"/>
                        <w:sz w:val="24"/>
                      </w:rPr>
                      <m:t>r</m:t>
                    </m:r>
                  </m:e>
                  <m:sub>
                    <m:r>
                      <w:rPr>
                        <w:rFonts w:ascii="Cambria Math" w:hAnsi="Cambria Math"/>
                        <w:sz w:val="24"/>
                      </w:rPr>
                      <m:t>spot</m:t>
                    </m:r>
                  </m:sub>
                </m:sSub>
                <m:r>
                  <w:rPr>
                    <w:rFonts w:ascii="Cambria Math" w:hAnsi="Cambria Math"/>
                    <w:sz w:val="24"/>
                  </w:rPr>
                  <m:t>=</m:t>
                </m:r>
                <m:r>
                  <w:rPr>
                    <w:rFonts w:ascii="Cambria Math" w:hAnsi="Cambria Math" w:cs="Arial"/>
                    <w:sz w:val="24"/>
                    <w:szCs w:val="24"/>
                  </w:rPr>
                  <m:t xml:space="preserve"> </m:t>
                </m:r>
                <m:rad>
                  <m:radPr>
                    <m:degHide m:val="1"/>
                    <m:ctrlPr>
                      <w:rPr>
                        <w:rFonts w:ascii="Cambria Math" w:hAnsi="Cambria Math" w:cs="Arial"/>
                        <w:i/>
                        <w:sz w:val="24"/>
                      </w:rPr>
                    </m:ctrlPr>
                  </m:radPr>
                  <m:deg/>
                  <m:e>
                    <m:f>
                      <m:fPr>
                        <m:ctrlPr>
                          <w:rPr>
                            <w:rFonts w:ascii="Cambria Math" w:hAnsi="Cambria Math" w:cs="Arial"/>
                            <w:i/>
                            <w:sz w:val="24"/>
                          </w:rPr>
                        </m:ctrlPr>
                      </m:fPr>
                      <m:num>
                        <m:r>
                          <w:rPr>
                            <w:rFonts w:ascii="Cambria Math" w:hAnsi="Cambria Math" w:cs="Arial"/>
                            <w:sz w:val="24"/>
                            <w:szCs w:val="24"/>
                          </w:rPr>
                          <m:t>Q</m:t>
                        </m:r>
                      </m:num>
                      <m:den>
                        <m:r>
                          <w:rPr>
                            <w:rFonts w:ascii="Cambria Math" w:hAnsi="Cambria Math" w:cs="Arial"/>
                            <w:sz w:val="24"/>
                            <w:szCs w:val="24"/>
                          </w:rPr>
                          <m:t>π</m:t>
                        </m:r>
                        <m:sSub>
                          <m:sSubPr>
                            <m:ctrlPr>
                              <w:rPr>
                                <w:rFonts w:ascii="Cambria Math" w:hAnsi="Cambria Math" w:cs="Arial"/>
                                <w:i/>
                                <w:sz w:val="24"/>
                              </w:rPr>
                            </m:ctrlPr>
                          </m:sSubPr>
                          <m:e>
                            <m:r>
                              <w:rPr>
                                <w:rFonts w:ascii="Cambria Math" w:hAnsi="Cambria Math" w:cs="Arial"/>
                                <w:sz w:val="24"/>
                                <w:szCs w:val="24"/>
                              </w:rPr>
                              <m:t>V</m:t>
                            </m:r>
                          </m:e>
                          <m:sub>
                            <m:r>
                              <w:rPr>
                                <w:rFonts w:ascii="Cambria Math" w:hAnsi="Cambria Math" w:cs="Arial"/>
                                <w:sz w:val="24"/>
                                <w:szCs w:val="24"/>
                              </w:rPr>
                              <m:t>d</m:t>
                            </m:r>
                          </m:sub>
                        </m:sSub>
                      </m:den>
                    </m:f>
                  </m:e>
                </m:rad>
              </m:oMath>
            </m:oMathPara>
          </w:p>
          <w:p w14:paraId="3137835C" w14:textId="77777777" w:rsidR="005E4531" w:rsidRDefault="005E4531" w:rsidP="00320FDF">
            <w:pPr>
              <w:spacing w:after="100" w:afterAutospacing="1" w:line="360" w:lineRule="auto"/>
              <w:jc w:val="both"/>
              <w:rPr>
                <w:rFonts w:ascii="Arial" w:hAnsi="Arial" w:cs="Arial"/>
                <w:sz w:val="24"/>
              </w:rPr>
            </w:pPr>
          </w:p>
        </w:tc>
        <w:tc>
          <w:tcPr>
            <w:tcW w:w="553" w:type="dxa"/>
          </w:tcPr>
          <w:p w14:paraId="39B73744" w14:textId="77777777" w:rsidR="005E4531" w:rsidRDefault="006B323D" w:rsidP="00320FDF">
            <w:pPr>
              <w:spacing w:before="240" w:after="100" w:afterAutospacing="1" w:line="360" w:lineRule="auto"/>
              <w:jc w:val="both"/>
              <w:rPr>
                <w:rFonts w:ascii="Arial" w:hAnsi="Arial" w:cs="Arial"/>
                <w:sz w:val="24"/>
              </w:rPr>
            </w:pPr>
            <w:r w:rsidRPr="009C7E3E">
              <w:rPr>
                <w:rFonts w:ascii="Arial" w:hAnsi="Arial"/>
                <w:sz w:val="24"/>
              </w:rPr>
              <w:t>(4)</w:t>
            </w:r>
          </w:p>
        </w:tc>
      </w:tr>
    </w:tbl>
    <w:p w14:paraId="78B136DA"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in which </w:t>
      </w:r>
      <w:r>
        <w:rPr>
          <w:rFonts w:ascii="Arial" w:hAnsi="Arial" w:cs="Arial"/>
          <w:i/>
          <w:sz w:val="24"/>
          <w:lang w:val="en-US"/>
        </w:rPr>
        <w:t xml:space="preserve">Q </w:t>
      </w:r>
      <w:r>
        <w:rPr>
          <w:rFonts w:ascii="Arial" w:hAnsi="Arial" w:cs="Arial"/>
          <w:sz w:val="24"/>
          <w:lang w:val="en-US"/>
        </w:rPr>
        <w:t>is the aerosol flow rate [m</w:t>
      </w:r>
      <w:r>
        <w:rPr>
          <w:rFonts w:ascii="Arial" w:hAnsi="Arial" w:cs="Arial"/>
          <w:sz w:val="24"/>
          <w:vertAlign w:val="superscript"/>
          <w:lang w:val="en-US"/>
        </w:rPr>
        <w:t>3</w:t>
      </w:r>
      <w:r>
        <w:rPr>
          <w:rFonts w:ascii="Arial" w:hAnsi="Arial" w:cs="Arial"/>
          <w:sz w:val="24"/>
          <w:lang w:val="en-US"/>
        </w:rPr>
        <w:t xml:space="preserve"> s</w:t>
      </w:r>
      <w:r>
        <w:rPr>
          <w:rFonts w:ascii="Arial" w:hAnsi="Arial" w:cs="Arial"/>
          <w:sz w:val="24"/>
          <w:vertAlign w:val="superscript"/>
          <w:lang w:val="en-US"/>
        </w:rPr>
        <w:t>-1</w:t>
      </w:r>
      <w:r>
        <w:rPr>
          <w:rFonts w:ascii="Arial" w:hAnsi="Arial" w:cs="Arial"/>
          <w:sz w:val="24"/>
          <w:lang w:val="en-US"/>
        </w:rPr>
        <w:t xml:space="preserve">]and </w:t>
      </w:r>
      <w:proofErr w:type="spellStart"/>
      <w:r>
        <w:rPr>
          <w:rFonts w:ascii="Arial" w:hAnsi="Arial" w:cs="Arial"/>
          <w:i/>
          <w:sz w:val="24"/>
          <w:lang w:val="en-US"/>
        </w:rPr>
        <w:t>V</w:t>
      </w:r>
      <w:r>
        <w:rPr>
          <w:rFonts w:ascii="Arial" w:hAnsi="Arial" w:cs="Arial"/>
          <w:i/>
          <w:sz w:val="24"/>
          <w:vertAlign w:val="subscript"/>
          <w:lang w:val="en-US"/>
        </w:rPr>
        <w:t>d</w:t>
      </w:r>
      <w:proofErr w:type="spellEnd"/>
      <w:r>
        <w:rPr>
          <w:rFonts w:ascii="Arial" w:hAnsi="Arial" w:cs="Arial"/>
          <w:sz w:val="24"/>
          <w:lang w:val="en-US"/>
        </w:rPr>
        <w:t xml:space="preserve"> is the particle velocity [m s</w:t>
      </w:r>
      <w:r>
        <w:rPr>
          <w:rFonts w:ascii="Arial" w:hAnsi="Arial" w:cs="Arial"/>
          <w:sz w:val="24"/>
          <w:vertAlign w:val="superscript"/>
          <w:lang w:val="en-US"/>
        </w:rPr>
        <w:t>-1</w:t>
      </w:r>
      <w:r>
        <w:rPr>
          <w:rFonts w:ascii="Arial" w:hAnsi="Arial" w:cs="Arial"/>
          <w:sz w:val="24"/>
          <w:lang w:val="en-US"/>
        </w:rPr>
        <w:t xml:space="preserve">], which can be estimated based on the particle mobility (measured via the DMA) and the electric field applied. The projected 2D coverage of such an electrostatic precipitation deposition can then be estimated via Eq. 5: </w:t>
      </w:r>
    </w:p>
    <w:tbl>
      <w:tblPr>
        <w:tblStyle w:val="TableGrid"/>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7987"/>
        <w:gridCol w:w="553"/>
      </w:tblGrid>
      <w:tr w:rsidR="005E4531" w14:paraId="42FF9CFA" w14:textId="77777777" w:rsidTr="00320FDF">
        <w:trPr>
          <w:trHeight w:val="927"/>
        </w:trPr>
        <w:tc>
          <w:tcPr>
            <w:tcW w:w="539" w:type="dxa"/>
            <w:vAlign w:val="center"/>
          </w:tcPr>
          <w:p w14:paraId="41922ECC" w14:textId="77777777" w:rsidR="005E4531" w:rsidRDefault="005E4531" w:rsidP="00320FDF">
            <w:pPr>
              <w:spacing w:before="240" w:after="100" w:afterAutospacing="1" w:line="360" w:lineRule="auto"/>
              <w:jc w:val="both"/>
              <w:rPr>
                <w:rFonts w:ascii="Arial" w:hAnsi="Arial" w:cs="Arial"/>
                <w:sz w:val="24"/>
              </w:rPr>
            </w:pPr>
          </w:p>
        </w:tc>
        <w:tc>
          <w:tcPr>
            <w:tcW w:w="7987" w:type="dxa"/>
            <w:vAlign w:val="bottom"/>
          </w:tcPr>
          <w:p w14:paraId="201A2DA4" w14:textId="0FC52CDE" w:rsidR="005E4531" w:rsidRPr="009C7E3E" w:rsidRDefault="006B323D" w:rsidP="00320FDF">
            <w:pPr>
              <w:spacing w:after="100" w:afterAutospacing="1" w:line="360" w:lineRule="auto"/>
              <w:jc w:val="both"/>
              <w:rPr>
                <w:rFonts w:ascii="Arial" w:hAnsi="Arial"/>
                <w:sz w:val="24"/>
              </w:rPr>
            </w:pPr>
            <m:oMathPara>
              <m:oMathParaPr>
                <m:jc m:val="center"/>
              </m:oMathParaPr>
              <m:oMath>
                <m:r>
                  <w:rPr>
                    <w:rFonts w:ascii="Cambria Math" w:hAnsi="Cambria Math"/>
                    <w:sz w:val="24"/>
                  </w:rPr>
                  <m:t>coverage=</m:t>
                </m:r>
                <m:r>
                  <w:rPr>
                    <w:rFonts w:ascii="Cambria Math" w:hAnsi="Cambria Math" w:cs="Arial"/>
                    <w:sz w:val="24"/>
                    <w:szCs w:val="24"/>
                  </w:rPr>
                  <m:t xml:space="preserve"> </m:t>
                </m:r>
                <m:f>
                  <m:fPr>
                    <m:ctrlPr>
                      <w:rPr>
                        <w:rFonts w:ascii="Cambria Math" w:hAnsi="Cambria Math" w:cs="Arial"/>
                        <w:i/>
                        <w:sz w:val="24"/>
                      </w:rPr>
                    </m:ctrlPr>
                  </m:fPr>
                  <m:num>
                    <m:sSub>
                      <m:sSubPr>
                        <m:ctrlPr>
                          <w:rPr>
                            <w:rFonts w:ascii="Cambria Math" w:hAnsi="Cambria Math" w:cs="Arial"/>
                            <w:i/>
                            <w:sz w:val="24"/>
                          </w:rPr>
                        </m:ctrlPr>
                      </m:sSubPr>
                      <m:e>
                        <m:r>
                          <w:rPr>
                            <w:rFonts w:ascii="Cambria Math" w:hAnsi="Cambria Math" w:cs="Arial"/>
                            <w:sz w:val="24"/>
                            <w:szCs w:val="24"/>
                          </w:rPr>
                          <m:t>N</m:t>
                        </m:r>
                      </m:e>
                      <m:sub>
                        <m:r>
                          <w:rPr>
                            <w:rFonts w:ascii="Cambria Math" w:hAnsi="Cambria Math" w:cs="Arial"/>
                            <w:sz w:val="24"/>
                            <w:szCs w:val="24"/>
                          </w:rPr>
                          <m:t>p</m:t>
                        </m:r>
                      </m:sub>
                    </m:sSub>
                    <m:r>
                      <w:rPr>
                        <w:rFonts w:ascii="Cambria Math" w:hAnsi="Cambria Math" w:cs="Arial"/>
                        <w:sz w:val="24"/>
                        <w:szCs w:val="24"/>
                      </w:rPr>
                      <m:t>4π</m:t>
                    </m:r>
                    <m:sSup>
                      <m:sSupPr>
                        <m:ctrlPr>
                          <w:rPr>
                            <w:rFonts w:ascii="Cambria Math" w:hAnsi="Cambria Math" w:cs="Arial"/>
                            <w:i/>
                            <w:sz w:val="24"/>
                          </w:rPr>
                        </m:ctrlPr>
                      </m:sSupPr>
                      <m:e>
                        <m:sSub>
                          <m:sSubPr>
                            <m:ctrlPr>
                              <w:rPr>
                                <w:rFonts w:ascii="Cambria Math" w:hAnsi="Cambria Math" w:cs="Arial"/>
                                <w:i/>
                                <w:sz w:val="24"/>
                              </w:rPr>
                            </m:ctrlPr>
                          </m:sSubPr>
                          <m:e>
                            <m:r>
                              <w:rPr>
                                <w:rFonts w:ascii="Cambria Math" w:hAnsi="Cambria Math" w:cs="Arial"/>
                                <w:sz w:val="24"/>
                                <w:szCs w:val="24"/>
                              </w:rPr>
                              <m:t>r</m:t>
                            </m:r>
                          </m:e>
                          <m:sub>
                            <m:r>
                              <w:rPr>
                                <w:rFonts w:ascii="Cambria Math" w:hAnsi="Cambria Math" w:cs="Arial"/>
                                <w:sz w:val="24"/>
                                <w:szCs w:val="24"/>
                              </w:rPr>
                              <m:t>p</m:t>
                            </m:r>
                          </m:sub>
                        </m:sSub>
                      </m:e>
                      <m:sup>
                        <m:r>
                          <w:rPr>
                            <w:rFonts w:ascii="Cambria Math" w:hAnsi="Cambria Math" w:cs="Arial"/>
                            <w:sz w:val="24"/>
                            <w:szCs w:val="24"/>
                          </w:rPr>
                          <m:t>2</m:t>
                        </m:r>
                      </m:sup>
                    </m:sSup>
                    <m:sSub>
                      <m:sSubPr>
                        <m:ctrlPr>
                          <w:rPr>
                            <w:rFonts w:ascii="Cambria Math" w:hAnsi="Cambria Math" w:cs="Arial"/>
                            <w:i/>
                            <w:sz w:val="24"/>
                          </w:rPr>
                        </m:ctrlPr>
                      </m:sSubPr>
                      <m:e>
                        <m:r>
                          <w:rPr>
                            <w:rFonts w:ascii="Cambria Math" w:hAnsi="Cambria Math" w:cs="Arial"/>
                            <w:sz w:val="24"/>
                            <w:szCs w:val="24"/>
                          </w:rPr>
                          <m:t>t</m:t>
                        </m:r>
                      </m:e>
                      <m:sub>
                        <m:r>
                          <w:rPr>
                            <w:rFonts w:ascii="Cambria Math" w:hAnsi="Cambria Math" w:cs="Arial"/>
                            <w:sz w:val="24"/>
                            <w:szCs w:val="24"/>
                          </w:rPr>
                          <m:t>d</m:t>
                        </m:r>
                      </m:sub>
                    </m:sSub>
                  </m:num>
                  <m:den>
                    <m:r>
                      <w:rPr>
                        <w:rFonts w:ascii="Cambria Math" w:hAnsi="Cambria Math" w:cs="Arial"/>
                        <w:sz w:val="24"/>
                        <w:szCs w:val="24"/>
                      </w:rPr>
                      <m:t>4π</m:t>
                    </m:r>
                    <m:sSup>
                      <m:sSupPr>
                        <m:ctrlPr>
                          <w:rPr>
                            <w:rFonts w:ascii="Cambria Math" w:hAnsi="Cambria Math" w:cs="Arial"/>
                            <w:i/>
                            <w:sz w:val="24"/>
                          </w:rPr>
                        </m:ctrlPr>
                      </m:sSupPr>
                      <m:e>
                        <m:sSub>
                          <m:sSubPr>
                            <m:ctrlPr>
                              <w:rPr>
                                <w:rFonts w:ascii="Cambria Math" w:hAnsi="Cambria Math" w:cs="Arial"/>
                                <w:i/>
                                <w:sz w:val="24"/>
                              </w:rPr>
                            </m:ctrlPr>
                          </m:sSubPr>
                          <m:e>
                            <m:r>
                              <w:rPr>
                                <w:rFonts w:ascii="Cambria Math" w:hAnsi="Cambria Math" w:cs="Arial"/>
                                <w:sz w:val="24"/>
                                <w:szCs w:val="24"/>
                              </w:rPr>
                              <m:t>r</m:t>
                            </m:r>
                          </m:e>
                          <m:sub>
                            <m:r>
                              <w:rPr>
                                <w:rFonts w:ascii="Cambria Math" w:hAnsi="Cambria Math" w:cs="Arial"/>
                                <w:sz w:val="24"/>
                                <w:szCs w:val="24"/>
                              </w:rPr>
                              <m:t>spot</m:t>
                            </m:r>
                          </m:sub>
                        </m:sSub>
                      </m:e>
                      <m:sup>
                        <m:r>
                          <w:rPr>
                            <w:rFonts w:ascii="Cambria Math" w:hAnsi="Cambria Math" w:cs="Arial"/>
                            <w:sz w:val="24"/>
                            <w:szCs w:val="24"/>
                          </w:rPr>
                          <m:t>2</m:t>
                        </m:r>
                      </m:sup>
                    </m:sSup>
                  </m:den>
                </m:f>
              </m:oMath>
            </m:oMathPara>
          </w:p>
          <w:p w14:paraId="2755A4C7" w14:textId="77777777" w:rsidR="005E4531" w:rsidRDefault="005E4531" w:rsidP="00320FDF">
            <w:pPr>
              <w:spacing w:after="100" w:afterAutospacing="1" w:line="360" w:lineRule="auto"/>
              <w:jc w:val="both"/>
              <w:rPr>
                <w:rFonts w:ascii="Arial" w:hAnsi="Arial" w:cs="Arial"/>
                <w:sz w:val="24"/>
              </w:rPr>
            </w:pPr>
          </w:p>
        </w:tc>
        <w:tc>
          <w:tcPr>
            <w:tcW w:w="553" w:type="dxa"/>
          </w:tcPr>
          <w:p w14:paraId="1B9F229D" w14:textId="77777777" w:rsidR="005E4531" w:rsidRDefault="006B323D" w:rsidP="00320FDF">
            <w:pPr>
              <w:spacing w:before="240" w:after="100" w:afterAutospacing="1" w:line="360" w:lineRule="auto"/>
              <w:jc w:val="both"/>
              <w:rPr>
                <w:rFonts w:ascii="Arial" w:hAnsi="Arial" w:cs="Arial"/>
                <w:sz w:val="24"/>
              </w:rPr>
            </w:pPr>
            <w:r w:rsidRPr="009C7E3E">
              <w:rPr>
                <w:rFonts w:ascii="Arial" w:hAnsi="Arial"/>
                <w:sz w:val="24"/>
              </w:rPr>
              <w:t>(5)</w:t>
            </w:r>
          </w:p>
        </w:tc>
      </w:tr>
    </w:tbl>
    <w:p w14:paraId="633608A5" w14:textId="43405C21"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in which </w:t>
      </w:r>
      <w:r>
        <w:rPr>
          <w:rFonts w:ascii="Arial" w:hAnsi="Arial" w:cs="Arial"/>
          <w:i/>
          <w:sz w:val="24"/>
          <w:lang w:val="en-US"/>
        </w:rPr>
        <w:t>N</w:t>
      </w:r>
      <w:r>
        <w:rPr>
          <w:rFonts w:ascii="Arial" w:hAnsi="Arial" w:cs="Arial"/>
          <w:i/>
          <w:sz w:val="24"/>
          <w:vertAlign w:val="subscript"/>
          <w:lang w:val="en-US"/>
        </w:rPr>
        <w:t>p</w:t>
      </w:r>
      <w:r>
        <w:rPr>
          <w:rFonts w:ascii="Arial" w:hAnsi="Arial" w:cs="Arial"/>
          <w:i/>
          <w:sz w:val="24"/>
          <w:lang w:val="en-US"/>
        </w:rPr>
        <w:t xml:space="preserve"> </w:t>
      </w:r>
      <w:r>
        <w:rPr>
          <w:rFonts w:ascii="Arial" w:hAnsi="Arial" w:cs="Arial"/>
          <w:sz w:val="24"/>
          <w:lang w:val="en-US"/>
        </w:rPr>
        <w:t>denotes the particle production rate [s</w:t>
      </w:r>
      <w:r>
        <w:rPr>
          <w:rFonts w:ascii="Arial" w:hAnsi="Arial" w:cs="Arial"/>
          <w:sz w:val="24"/>
          <w:vertAlign w:val="superscript"/>
          <w:lang w:val="en-US"/>
        </w:rPr>
        <w:t>-1</w:t>
      </w:r>
      <w:r>
        <w:rPr>
          <w:rFonts w:ascii="Arial" w:hAnsi="Arial" w:cs="Arial"/>
          <w:sz w:val="24"/>
          <w:lang w:val="en-US"/>
        </w:rPr>
        <w:t xml:space="preserve">], </w:t>
      </w:r>
      <w:proofErr w:type="spellStart"/>
      <w:r>
        <w:rPr>
          <w:rFonts w:ascii="Arial" w:hAnsi="Arial" w:cs="Arial"/>
          <w:sz w:val="24"/>
          <w:lang w:val="en-US"/>
        </w:rPr>
        <w:t>r</w:t>
      </w:r>
      <w:r>
        <w:rPr>
          <w:rFonts w:ascii="Arial" w:hAnsi="Arial" w:cs="Arial"/>
          <w:sz w:val="24"/>
          <w:vertAlign w:val="subscript"/>
          <w:lang w:val="en-US"/>
        </w:rPr>
        <w:t>p</w:t>
      </w:r>
      <w:proofErr w:type="spellEnd"/>
      <w:r>
        <w:rPr>
          <w:rFonts w:ascii="Arial" w:hAnsi="Arial" w:cs="Arial"/>
          <w:sz w:val="24"/>
          <w:lang w:val="en-US"/>
        </w:rPr>
        <w:t xml:space="preserve"> the particle radius [m],and t</w:t>
      </w:r>
      <w:r>
        <w:rPr>
          <w:rFonts w:ascii="Arial" w:hAnsi="Arial" w:cs="Arial"/>
          <w:sz w:val="24"/>
          <w:vertAlign w:val="subscript"/>
          <w:lang w:val="en-US"/>
        </w:rPr>
        <w:t xml:space="preserve">d </w:t>
      </w:r>
      <w:r>
        <w:rPr>
          <w:rFonts w:ascii="Arial" w:hAnsi="Arial" w:cs="Arial"/>
          <w:sz w:val="24"/>
          <w:lang w:val="en-US"/>
        </w:rPr>
        <w:t>the deposition ti</w:t>
      </w:r>
      <w:r w:rsidR="00EA7B38">
        <w:rPr>
          <w:rFonts w:ascii="Arial" w:hAnsi="Arial" w:cs="Arial"/>
          <w:sz w:val="24"/>
          <w:lang w:val="en-US"/>
        </w:rPr>
        <w:t>m</w:t>
      </w:r>
      <w:r>
        <w:rPr>
          <w:rFonts w:ascii="Arial" w:hAnsi="Arial" w:cs="Arial"/>
          <w:sz w:val="24"/>
          <w:lang w:val="en-US"/>
        </w:rPr>
        <w:t xml:space="preserve">e [s]. For the electrostatic precipitation experiments, we report </w:t>
      </w:r>
      <w:r>
        <w:rPr>
          <w:rFonts w:ascii="Arial" w:hAnsi="Arial" w:cs="Arial"/>
          <w:sz w:val="24"/>
          <w:lang w:val="en-US"/>
        </w:rPr>
        <w:lastRenderedPageBreak/>
        <w:t>coverage in the form of partial monolayers as determined for a 2D projection on a flat surface. The actual coverage is factors smaller due to the added depth-profile of the 3D surface.</w:t>
      </w:r>
    </w:p>
    <w:p w14:paraId="2AF69C60" w14:textId="77777777"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t>Note S4. Experimental part related to cluster immobilization.</w:t>
      </w:r>
    </w:p>
    <w:p w14:paraId="51D9E112" w14:textId="415C2FC2"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Since the clusters produced have &gt;70% of their atoms at the surface, which are highly undercoordinated, they are extremely reactive and agglomerate and sinter easily. Therefore, cluster immobilization is no mean task. Here, we have studied the stability of (bi)metal oxide clusters on various carbonaceous supports: N-doped carbon black NPs (NCBNPs), graphene oxide NPs (GONPs), N-edge functionalized graphite NPs (NGNPs), and finally N-edge functionalized multiwalled carbon nanotubes (NMWCNTs). The synthesis of these substrates is described </w:t>
      </w:r>
      <w:r w:rsidR="00F42C3D">
        <w:rPr>
          <w:rFonts w:ascii="Arial" w:hAnsi="Arial" w:cs="Arial"/>
          <w:sz w:val="24"/>
          <w:lang w:val="en-US"/>
        </w:rPr>
        <w:t>in the Methods section of the main manuscript</w:t>
      </w:r>
      <w:r>
        <w:rPr>
          <w:rFonts w:ascii="Arial" w:hAnsi="Arial" w:cs="Arial"/>
          <w:sz w:val="24"/>
          <w:lang w:val="en-US"/>
        </w:rPr>
        <w:t>.</w:t>
      </w:r>
      <w:r w:rsidR="00F42C3D">
        <w:rPr>
          <w:rFonts w:ascii="Arial" w:hAnsi="Arial" w:cs="Arial"/>
          <w:sz w:val="24"/>
          <w:lang w:val="en-US"/>
        </w:rPr>
        <w:t xml:space="preserve"> </w:t>
      </w:r>
      <w:r>
        <w:rPr>
          <w:rFonts w:ascii="Arial" w:hAnsi="Arial" w:cs="Arial"/>
          <w:sz w:val="24"/>
          <w:lang w:val="en-US"/>
        </w:rPr>
        <w:t xml:space="preserve">Here we report the cluster immobilization and stabilization via the electrostatic precipitation deposition study, described in </w:t>
      </w:r>
      <w:r>
        <w:rPr>
          <w:rFonts w:ascii="Arial" w:hAnsi="Arial" w:cs="Arial"/>
          <w:b/>
          <w:sz w:val="24"/>
          <w:lang w:val="en-US"/>
        </w:rPr>
        <w:t>Note S3</w:t>
      </w:r>
      <w:r>
        <w:rPr>
          <w:rFonts w:ascii="Arial" w:hAnsi="Arial" w:cs="Arial"/>
          <w:sz w:val="24"/>
          <w:lang w:val="en-US"/>
        </w:rPr>
        <w:t xml:space="preserve">, instead. We observed a deposition equivalent of 0.5 </w:t>
      </w:r>
      <w:r w:rsidR="00F42C3D">
        <w:rPr>
          <w:rFonts w:ascii="Arial" w:hAnsi="Arial" w:cs="Arial"/>
          <w:sz w:val="24"/>
          <w:lang w:val="en-US"/>
        </w:rPr>
        <w:t>mono layers (</w:t>
      </w:r>
      <w:r>
        <w:rPr>
          <w:rFonts w:ascii="Arial" w:hAnsi="Arial" w:cs="Arial"/>
          <w:sz w:val="24"/>
          <w:lang w:val="en-US"/>
        </w:rPr>
        <w:t>ML</w:t>
      </w:r>
      <w:r w:rsidR="00F42C3D">
        <w:rPr>
          <w:rFonts w:ascii="Arial" w:hAnsi="Arial" w:cs="Arial"/>
          <w:sz w:val="24"/>
          <w:lang w:val="en-US"/>
        </w:rPr>
        <w:t>)</w:t>
      </w:r>
      <w:r>
        <w:rPr>
          <w:rFonts w:ascii="Arial" w:hAnsi="Arial" w:cs="Arial"/>
          <w:sz w:val="24"/>
          <w:lang w:val="en-US"/>
        </w:rPr>
        <w:t xml:space="preserve"> of </w:t>
      </w:r>
      <w:proofErr w:type="spellStart"/>
      <w:r>
        <w:rPr>
          <w:rFonts w:ascii="Arial" w:hAnsi="Arial" w:cs="Arial"/>
          <w:sz w:val="24"/>
          <w:lang w:val="en-US"/>
        </w:rPr>
        <w:t>CuO</w:t>
      </w:r>
      <w:proofErr w:type="spellEnd"/>
      <w:r>
        <w:rPr>
          <w:rFonts w:ascii="Arial" w:hAnsi="Arial" w:cs="Arial"/>
          <w:sz w:val="24"/>
          <w:lang w:val="en-US"/>
        </w:rPr>
        <w:t xml:space="preserve"> and </w:t>
      </w:r>
      <w:proofErr w:type="spellStart"/>
      <w:r>
        <w:rPr>
          <w:rFonts w:ascii="Arial" w:hAnsi="Arial" w:cs="Arial"/>
          <w:sz w:val="24"/>
          <w:lang w:val="en-US"/>
        </w:rPr>
        <w:t>CuAgO</w:t>
      </w:r>
      <w:proofErr w:type="spellEnd"/>
      <w:r>
        <w:rPr>
          <w:rFonts w:ascii="Arial" w:hAnsi="Arial" w:cs="Arial"/>
          <w:sz w:val="24"/>
          <w:lang w:val="en-US"/>
        </w:rPr>
        <w:t xml:space="preserve"> clusters in 2D projection with BF-TEM on all four supports (</w:t>
      </w:r>
      <w:r>
        <w:rPr>
          <w:rFonts w:ascii="Arial" w:hAnsi="Arial" w:cs="Arial"/>
          <w:b/>
          <w:sz w:val="24"/>
          <w:lang w:val="en-US"/>
        </w:rPr>
        <w:t>Figure S5</w:t>
      </w:r>
      <w:r>
        <w:rPr>
          <w:rFonts w:ascii="Arial" w:hAnsi="Arial" w:cs="Arial"/>
          <w:sz w:val="24"/>
          <w:lang w:val="en-US"/>
        </w:rPr>
        <w:t xml:space="preserve">). For NCB, GO and NG, coated with </w:t>
      </w:r>
      <w:proofErr w:type="spellStart"/>
      <w:r>
        <w:rPr>
          <w:rFonts w:ascii="Arial" w:hAnsi="Arial" w:cs="Arial"/>
          <w:sz w:val="24"/>
          <w:lang w:val="en-US"/>
        </w:rPr>
        <w:t>CuO</w:t>
      </w:r>
      <w:proofErr w:type="spellEnd"/>
      <w:r>
        <w:rPr>
          <w:rFonts w:ascii="Arial" w:hAnsi="Arial" w:cs="Arial"/>
          <w:sz w:val="24"/>
          <w:lang w:val="en-US"/>
        </w:rPr>
        <w:t>, no apparent particles could be observed (</w:t>
      </w:r>
      <w:r>
        <w:rPr>
          <w:rFonts w:ascii="Arial" w:hAnsi="Arial" w:cs="Arial"/>
          <w:b/>
          <w:sz w:val="24"/>
          <w:lang w:val="en-US"/>
        </w:rPr>
        <w:t>Figure S5A, C-D</w:t>
      </w:r>
      <w:r>
        <w:rPr>
          <w:rFonts w:ascii="Arial" w:hAnsi="Arial" w:cs="Arial"/>
          <w:sz w:val="24"/>
          <w:lang w:val="en-US"/>
        </w:rPr>
        <w:t xml:space="preserve">), which is a direct result of the low thickness contrast and low density of </w:t>
      </w:r>
      <w:proofErr w:type="spellStart"/>
      <w:r>
        <w:rPr>
          <w:rFonts w:ascii="Arial" w:hAnsi="Arial" w:cs="Arial"/>
          <w:sz w:val="24"/>
          <w:lang w:val="en-US"/>
        </w:rPr>
        <w:t>CuO</w:t>
      </w:r>
      <w:proofErr w:type="spellEnd"/>
      <w:r>
        <w:rPr>
          <w:rFonts w:ascii="Arial" w:hAnsi="Arial" w:cs="Arial"/>
          <w:sz w:val="24"/>
          <w:lang w:val="en-US"/>
        </w:rPr>
        <w:t>. Instead, for the NMWCNTs-based sample, particle agglomeration had occurred as particles &gt;20 nm could be distinguished (</w:t>
      </w:r>
      <w:r>
        <w:rPr>
          <w:rFonts w:ascii="Arial" w:hAnsi="Arial" w:cs="Arial"/>
          <w:b/>
          <w:sz w:val="24"/>
          <w:lang w:val="en-US"/>
        </w:rPr>
        <w:t>Figure S5B</w:t>
      </w:r>
      <w:r>
        <w:rPr>
          <w:rFonts w:ascii="Arial" w:hAnsi="Arial" w:cs="Arial"/>
          <w:sz w:val="24"/>
          <w:lang w:val="en-US"/>
        </w:rPr>
        <w:t xml:space="preserve">). Interestingly, for the </w:t>
      </w:r>
      <w:proofErr w:type="spellStart"/>
      <w:r>
        <w:rPr>
          <w:rFonts w:ascii="Arial" w:hAnsi="Arial" w:cs="Arial"/>
          <w:sz w:val="24"/>
          <w:lang w:val="en-US"/>
        </w:rPr>
        <w:t>CuAgO</w:t>
      </w:r>
      <w:proofErr w:type="spellEnd"/>
      <w:r>
        <w:rPr>
          <w:rFonts w:ascii="Arial" w:hAnsi="Arial" w:cs="Arial"/>
          <w:sz w:val="24"/>
          <w:lang w:val="en-US"/>
        </w:rPr>
        <w:t xml:space="preserve"> particles, a similar effect could be discerned as here larger particles could be observed likewise (</w:t>
      </w:r>
      <w:r>
        <w:rPr>
          <w:rFonts w:ascii="Arial" w:hAnsi="Arial" w:cs="Arial"/>
          <w:b/>
          <w:sz w:val="24"/>
          <w:lang w:val="en-US"/>
        </w:rPr>
        <w:t>Figure S5F</w:t>
      </w:r>
      <w:r>
        <w:rPr>
          <w:rFonts w:ascii="Arial" w:hAnsi="Arial" w:cs="Arial"/>
          <w:sz w:val="24"/>
          <w:lang w:val="en-US"/>
        </w:rPr>
        <w:t>). Contrarily, particle agglomerates were absent for the NCB, NG, and GO coated materials with particles &lt;2 nm clearly visible (</w:t>
      </w:r>
      <w:r>
        <w:rPr>
          <w:rFonts w:ascii="Arial" w:hAnsi="Arial" w:cs="Arial"/>
          <w:b/>
          <w:sz w:val="24"/>
          <w:lang w:val="en-US"/>
        </w:rPr>
        <w:t>Figure S5E, G-H</w:t>
      </w:r>
      <w:r>
        <w:rPr>
          <w:rFonts w:ascii="Arial" w:hAnsi="Arial" w:cs="Arial"/>
          <w:sz w:val="24"/>
          <w:lang w:val="en-US"/>
        </w:rPr>
        <w:t>).</w:t>
      </w:r>
    </w:p>
    <w:p w14:paraId="35D8D28C" w14:textId="77777777" w:rsidR="00266643" w:rsidRPr="00FF5897" w:rsidRDefault="00266643" w:rsidP="00FD4D0D">
      <w:pPr>
        <w:spacing w:after="100" w:afterAutospacing="1" w:line="360" w:lineRule="auto"/>
        <w:jc w:val="both"/>
        <w:rPr>
          <w:rFonts w:ascii="Arial" w:hAnsi="Arial" w:cs="Arial"/>
          <w:b/>
          <w:sz w:val="24"/>
          <w:szCs w:val="24"/>
          <w:lang w:val="en-US"/>
        </w:rPr>
      </w:pPr>
      <w:r w:rsidRPr="00FF5897">
        <w:rPr>
          <w:rFonts w:ascii="Arial" w:hAnsi="Arial" w:cs="Arial"/>
          <w:b/>
          <w:noProof/>
          <w:sz w:val="24"/>
          <w:szCs w:val="24"/>
          <w:lang w:val="en-US"/>
        </w:rPr>
        <w:lastRenderedPageBreak/>
        <w:drawing>
          <wp:inline distT="0" distB="0" distL="0" distR="0" wp14:anchorId="5A1216AE" wp14:editId="02FCF88B">
            <wp:extent cx="5734050" cy="3505200"/>
            <wp:effectExtent l="0" t="0" r="0" b="0"/>
            <wp:docPr id="108" name="Picture 108"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creensho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3505200"/>
                    </a:xfrm>
                    <a:prstGeom prst="rect">
                      <a:avLst/>
                    </a:prstGeom>
                    <a:noFill/>
                    <a:ln>
                      <a:noFill/>
                    </a:ln>
                  </pic:spPr>
                </pic:pic>
              </a:graphicData>
            </a:graphic>
          </wp:inline>
        </w:drawing>
      </w:r>
    </w:p>
    <w:p w14:paraId="3E362EB6"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Figure S5. </w:t>
      </w:r>
      <w:r>
        <w:rPr>
          <w:rFonts w:ascii="Arial" w:hAnsi="Arial" w:cs="Arial"/>
          <w:lang w:val="en-US"/>
        </w:rPr>
        <w:t xml:space="preserve">BF-TEM images of the electrostatic precipitation deposition of 0.5 mL equivalent of 1.6 nm </w:t>
      </w:r>
      <w:proofErr w:type="spellStart"/>
      <w:r>
        <w:rPr>
          <w:rFonts w:ascii="Arial" w:hAnsi="Arial" w:cs="Arial"/>
          <w:lang w:val="en-US"/>
        </w:rPr>
        <w:t>CuO</w:t>
      </w:r>
      <w:proofErr w:type="spellEnd"/>
      <w:r>
        <w:rPr>
          <w:rFonts w:ascii="Arial" w:hAnsi="Arial" w:cs="Arial"/>
          <w:lang w:val="en-US"/>
        </w:rPr>
        <w:t xml:space="preserve"> and 1.5 nm </w:t>
      </w:r>
      <w:proofErr w:type="spellStart"/>
      <w:r>
        <w:rPr>
          <w:rFonts w:ascii="Arial" w:hAnsi="Arial" w:cs="Arial"/>
          <w:lang w:val="en-US"/>
        </w:rPr>
        <w:t>CuAgO</w:t>
      </w:r>
      <w:proofErr w:type="spellEnd"/>
      <w:r>
        <w:rPr>
          <w:rFonts w:ascii="Arial" w:hAnsi="Arial" w:cs="Arial"/>
          <w:lang w:val="en-US"/>
        </w:rPr>
        <w:t xml:space="preserve"> clusters on four different carbonaceous supports. (A-D) NGNPs and NMWCNTs (produced mechanochemically) and NCBNPs and GONPs (produced chemically) coated with </w:t>
      </w:r>
      <w:proofErr w:type="spellStart"/>
      <w:r>
        <w:rPr>
          <w:rFonts w:ascii="Arial" w:hAnsi="Arial" w:cs="Arial"/>
          <w:lang w:val="en-US"/>
        </w:rPr>
        <w:t>CuO</w:t>
      </w:r>
      <w:proofErr w:type="spellEnd"/>
      <w:r>
        <w:rPr>
          <w:rFonts w:ascii="Arial" w:hAnsi="Arial" w:cs="Arial"/>
          <w:lang w:val="en-US"/>
        </w:rPr>
        <w:t xml:space="preserve"> clusters, respectively. No apparent particles can be observed with BF-TEM other than in (B). This is due to the small particle size, low relative density of </w:t>
      </w:r>
      <w:proofErr w:type="spellStart"/>
      <w:r>
        <w:rPr>
          <w:rFonts w:ascii="Arial" w:hAnsi="Arial" w:cs="Arial"/>
          <w:lang w:val="en-US"/>
        </w:rPr>
        <w:t>CuO</w:t>
      </w:r>
      <w:proofErr w:type="spellEnd"/>
      <w:r>
        <w:rPr>
          <w:rFonts w:ascii="Arial" w:hAnsi="Arial" w:cs="Arial"/>
          <w:lang w:val="en-US"/>
        </w:rPr>
        <w:t xml:space="preserve"> (6.31 g cm</w:t>
      </w:r>
      <w:r>
        <w:rPr>
          <w:rFonts w:ascii="Arial" w:hAnsi="Arial" w:cs="Arial"/>
          <w:vertAlign w:val="superscript"/>
          <w:lang w:val="en-US"/>
        </w:rPr>
        <w:t>-3</w:t>
      </w:r>
      <w:r>
        <w:rPr>
          <w:rFonts w:ascii="Arial" w:hAnsi="Arial" w:cs="Arial"/>
          <w:lang w:val="en-US"/>
        </w:rPr>
        <w:t xml:space="preserve">) and therefore low contrast in bright-field mode. Instead, in (B), particle agglomeration had occurred resulting in the observed particle size &gt;20 nm. (E-H) NGNPs, NMWCNTs, NCBNPs, and GONPs coated with </w:t>
      </w:r>
      <w:proofErr w:type="spellStart"/>
      <w:r>
        <w:rPr>
          <w:rFonts w:ascii="Arial" w:hAnsi="Arial" w:cs="Arial"/>
          <w:lang w:val="en-US"/>
        </w:rPr>
        <w:t>CuAgO</w:t>
      </w:r>
      <w:proofErr w:type="spellEnd"/>
      <w:r>
        <w:rPr>
          <w:rFonts w:ascii="Arial" w:hAnsi="Arial" w:cs="Arial"/>
          <w:lang w:val="en-US"/>
        </w:rPr>
        <w:t xml:space="preserve"> clusters, respectively. Particles &lt;2 nm could clearly be observed for NCB, NG and GO based supports and indicated by the blue circles. However, the particle size distribution for the NG-NPs indicated some form of sintering as the mean size shifted from ~1.5 to 2.1 ±0.6 nm (&gt;2 nm particle indicated by red circle). Further, for the NMWCNTs, particle agglomerates &gt;20 nm could be observed similar to the </w:t>
      </w:r>
      <w:proofErr w:type="spellStart"/>
      <w:r>
        <w:rPr>
          <w:rFonts w:ascii="Arial" w:hAnsi="Arial" w:cs="Arial"/>
          <w:lang w:val="en-US"/>
        </w:rPr>
        <w:t>CuO</w:t>
      </w:r>
      <w:proofErr w:type="spellEnd"/>
      <w:r>
        <w:rPr>
          <w:rFonts w:ascii="Arial" w:hAnsi="Arial" w:cs="Arial"/>
          <w:lang w:val="en-US"/>
        </w:rPr>
        <w:t xml:space="preserve"> coated system confirming the high surface mobility on carbon nanotubes (red circles, respectively).</w:t>
      </w:r>
    </w:p>
    <w:p w14:paraId="3FAACA7E"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To further investigate the nature of the particles (or the absence thereof) deposited on the various supports as well as their apparent agglomeration when deposited on NMWCNTs, we conducted a STEM-HAADF/EDXS study. Here, we selected one unstable material, MWCNT, and a stable one, NCB, and investigated both the </w:t>
      </w:r>
      <w:proofErr w:type="spellStart"/>
      <w:r>
        <w:rPr>
          <w:rFonts w:ascii="Arial" w:hAnsi="Arial" w:cs="Arial"/>
          <w:sz w:val="24"/>
          <w:lang w:val="en-US"/>
        </w:rPr>
        <w:t>CuO</w:t>
      </w:r>
      <w:proofErr w:type="spellEnd"/>
      <w:r>
        <w:rPr>
          <w:rFonts w:ascii="Arial" w:hAnsi="Arial" w:cs="Arial"/>
          <w:sz w:val="24"/>
          <w:lang w:val="en-US"/>
        </w:rPr>
        <w:t xml:space="preserve"> as well as </w:t>
      </w:r>
      <w:proofErr w:type="spellStart"/>
      <w:r>
        <w:rPr>
          <w:rFonts w:ascii="Arial" w:hAnsi="Arial" w:cs="Arial"/>
          <w:sz w:val="24"/>
          <w:lang w:val="en-US"/>
        </w:rPr>
        <w:t>CuAgO</w:t>
      </w:r>
      <w:proofErr w:type="spellEnd"/>
      <w:r>
        <w:rPr>
          <w:rFonts w:ascii="Arial" w:hAnsi="Arial" w:cs="Arial"/>
          <w:sz w:val="24"/>
          <w:lang w:val="en-US"/>
        </w:rPr>
        <w:t xml:space="preserve"> functionalization more thoroughly. </w:t>
      </w:r>
      <w:r>
        <w:rPr>
          <w:rFonts w:ascii="Arial" w:hAnsi="Arial" w:cs="Arial"/>
          <w:b/>
          <w:sz w:val="24"/>
          <w:lang w:val="en-US"/>
        </w:rPr>
        <w:t xml:space="preserve">Figure S6 </w:t>
      </w:r>
      <w:r>
        <w:rPr>
          <w:rFonts w:ascii="Arial" w:hAnsi="Arial" w:cs="Arial"/>
          <w:sz w:val="24"/>
          <w:lang w:val="en-US"/>
        </w:rPr>
        <w:t xml:space="preserve">shows the outcome of </w:t>
      </w:r>
      <w:proofErr w:type="spellStart"/>
      <w:r>
        <w:rPr>
          <w:rFonts w:ascii="Arial" w:hAnsi="Arial" w:cs="Arial"/>
          <w:sz w:val="24"/>
          <w:lang w:val="en-US"/>
        </w:rPr>
        <w:t>CuO</w:t>
      </w:r>
      <w:proofErr w:type="spellEnd"/>
      <w:r>
        <w:rPr>
          <w:rFonts w:ascii="Arial" w:hAnsi="Arial" w:cs="Arial"/>
          <w:sz w:val="24"/>
          <w:lang w:val="en-US"/>
        </w:rPr>
        <w:t xml:space="preserve"> deposition on NCB. Indeed, a homogenous distribution of Cu particles ~1.5 nm </w:t>
      </w:r>
      <w:r>
        <w:rPr>
          <w:rFonts w:ascii="Arial" w:hAnsi="Arial" w:cs="Arial"/>
          <w:sz w:val="24"/>
          <w:lang w:val="en-US"/>
        </w:rPr>
        <w:lastRenderedPageBreak/>
        <w:t>can be observed at the particle surface comparing well with the measured size prior to deposition.</w:t>
      </w:r>
    </w:p>
    <w:p w14:paraId="3DD78C1E" w14:textId="77777777" w:rsidR="00266643" w:rsidRPr="00FF5897" w:rsidRDefault="00266643" w:rsidP="00FD4D0D">
      <w:pPr>
        <w:spacing w:after="100" w:afterAutospacing="1" w:line="360" w:lineRule="auto"/>
        <w:jc w:val="both"/>
        <w:rPr>
          <w:rFonts w:ascii="Arial" w:hAnsi="Arial" w:cs="Arial"/>
          <w:sz w:val="24"/>
          <w:szCs w:val="24"/>
          <w:lang w:val="en-US"/>
        </w:rPr>
      </w:pPr>
      <w:r w:rsidRPr="00FF5897">
        <w:rPr>
          <w:rFonts w:ascii="Arial" w:hAnsi="Arial" w:cs="Arial"/>
          <w:noProof/>
          <w:sz w:val="24"/>
          <w:szCs w:val="24"/>
          <w:lang w:val="en-US"/>
        </w:rPr>
        <w:drawing>
          <wp:inline distT="0" distB="0" distL="0" distR="0" wp14:anchorId="11272768" wp14:editId="261F765B">
            <wp:extent cx="5819775" cy="6296025"/>
            <wp:effectExtent l="0" t="0" r="9525" b="9525"/>
            <wp:docPr id="107" name="Picture 107"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creensho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9775" cy="6296025"/>
                    </a:xfrm>
                    <a:prstGeom prst="rect">
                      <a:avLst/>
                    </a:prstGeom>
                    <a:noFill/>
                    <a:ln>
                      <a:noFill/>
                    </a:ln>
                  </pic:spPr>
                </pic:pic>
              </a:graphicData>
            </a:graphic>
          </wp:inline>
        </w:drawing>
      </w:r>
    </w:p>
    <w:p w14:paraId="75A221F6"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Figure S6. </w:t>
      </w:r>
      <w:r>
        <w:rPr>
          <w:rFonts w:ascii="Arial" w:hAnsi="Arial" w:cs="Arial"/>
          <w:lang w:val="en-US"/>
        </w:rPr>
        <w:t xml:space="preserve">Advanced EM  investigation of the 0.5 ML of </w:t>
      </w:r>
      <w:proofErr w:type="spellStart"/>
      <w:r>
        <w:rPr>
          <w:rFonts w:ascii="Arial" w:hAnsi="Arial" w:cs="Arial"/>
          <w:lang w:val="en-US"/>
        </w:rPr>
        <w:t>CuO</w:t>
      </w:r>
      <w:proofErr w:type="spellEnd"/>
      <w:r>
        <w:rPr>
          <w:rFonts w:ascii="Arial" w:hAnsi="Arial" w:cs="Arial"/>
          <w:lang w:val="en-US"/>
        </w:rPr>
        <w:t xml:space="preserve"> clusters electrostatically precipitated on the NCB support. (A-B) STEM-HAADF image at 0.45 and 1.25 MX magnification, respectively, showing a homogeneous distribution of higher contrasting particles at the amorphous carbon substrate surface. The average particle size of 1.5±0.5 nm compares well to the 1.6 nm determined by the DMA prior to deposition. (C-D) STEM-EDXS Cu elemental map of the images depicted in (A-B) confirming the Cu nature of the particles.</w:t>
      </w:r>
    </w:p>
    <w:p w14:paraId="67FDE25C" w14:textId="77777777" w:rsidR="005E4531" w:rsidRDefault="006B323D" w:rsidP="00320FDF">
      <w:pPr>
        <w:spacing w:after="100" w:afterAutospacing="1" w:line="360" w:lineRule="auto"/>
        <w:jc w:val="both"/>
        <w:rPr>
          <w:rFonts w:ascii="Arial" w:hAnsi="Arial" w:cs="Arial"/>
          <w:b/>
          <w:sz w:val="24"/>
          <w:lang w:val="en-US"/>
        </w:rPr>
      </w:pPr>
      <w:r>
        <w:rPr>
          <w:rFonts w:ascii="Arial" w:hAnsi="Arial" w:cs="Arial"/>
          <w:sz w:val="24"/>
          <w:lang w:val="en-US"/>
        </w:rPr>
        <w:lastRenderedPageBreak/>
        <w:t xml:space="preserve">Instead, for the mass equivalent </w:t>
      </w:r>
      <w:proofErr w:type="spellStart"/>
      <w:r>
        <w:rPr>
          <w:rFonts w:ascii="Arial" w:hAnsi="Arial" w:cs="Arial"/>
          <w:sz w:val="24"/>
          <w:lang w:val="en-US"/>
        </w:rPr>
        <w:t>CuO</w:t>
      </w:r>
      <w:proofErr w:type="spellEnd"/>
      <w:r>
        <w:rPr>
          <w:rFonts w:ascii="Arial" w:hAnsi="Arial" w:cs="Arial"/>
          <w:sz w:val="24"/>
          <w:lang w:val="en-US"/>
        </w:rPr>
        <w:t xml:space="preserve"> deposition on the MWCNTs, larger agglomerates &gt;10 nm are directly visible in the STEM-HAADF image (</w:t>
      </w:r>
      <w:r>
        <w:rPr>
          <w:rFonts w:ascii="Arial" w:hAnsi="Arial" w:cs="Arial"/>
          <w:b/>
          <w:sz w:val="24"/>
          <w:lang w:val="en-US"/>
        </w:rPr>
        <w:t>Figure S7</w:t>
      </w:r>
      <w:r>
        <w:rPr>
          <w:rFonts w:ascii="Arial" w:hAnsi="Arial" w:cs="Arial"/>
          <w:sz w:val="24"/>
          <w:lang w:val="en-US"/>
        </w:rPr>
        <w:t>)</w:t>
      </w:r>
      <w:r>
        <w:rPr>
          <w:rFonts w:ascii="Arial" w:hAnsi="Arial" w:cs="Arial"/>
          <w:b/>
          <w:sz w:val="24"/>
          <w:lang w:val="en-US"/>
        </w:rPr>
        <w:t xml:space="preserve">. </w:t>
      </w:r>
      <w:r>
        <w:rPr>
          <w:rFonts w:ascii="Arial" w:hAnsi="Arial" w:cs="Arial"/>
          <w:sz w:val="24"/>
          <w:lang w:val="en-US"/>
        </w:rPr>
        <w:t>STEM-EDXS further confirms the Cu nature of the particles.</w:t>
      </w:r>
      <w:r>
        <w:rPr>
          <w:rFonts w:ascii="Arial" w:hAnsi="Arial" w:cs="Arial"/>
          <w:b/>
          <w:sz w:val="24"/>
          <w:lang w:val="en-US"/>
        </w:rPr>
        <w:t xml:space="preserve"> </w:t>
      </w:r>
    </w:p>
    <w:p w14:paraId="200C5608" w14:textId="77777777" w:rsidR="00266643" w:rsidRPr="00FF5897" w:rsidRDefault="00266643" w:rsidP="00FD4D0D">
      <w:pPr>
        <w:spacing w:after="100" w:afterAutospacing="1" w:line="360" w:lineRule="auto"/>
        <w:jc w:val="both"/>
        <w:rPr>
          <w:rFonts w:ascii="Arial" w:hAnsi="Arial" w:cs="Arial"/>
          <w:b/>
          <w:sz w:val="24"/>
          <w:szCs w:val="24"/>
          <w:lang w:val="en-US"/>
        </w:rPr>
      </w:pPr>
      <w:r w:rsidRPr="00FF5897">
        <w:rPr>
          <w:rFonts w:ascii="Arial" w:hAnsi="Arial" w:cs="Arial"/>
          <w:b/>
          <w:noProof/>
          <w:sz w:val="24"/>
          <w:szCs w:val="24"/>
          <w:lang w:val="en-US"/>
        </w:rPr>
        <w:drawing>
          <wp:inline distT="0" distB="0" distL="0" distR="0" wp14:anchorId="144D23A3" wp14:editId="6E5CD690">
            <wp:extent cx="5648325" cy="6124575"/>
            <wp:effectExtent l="0" t="0" r="9525" b="9525"/>
            <wp:docPr id="106" name="Picture 106" descr="A collage of images of smok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collage of images of smoke&#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8325" cy="6124575"/>
                    </a:xfrm>
                    <a:prstGeom prst="rect">
                      <a:avLst/>
                    </a:prstGeom>
                    <a:noFill/>
                    <a:ln>
                      <a:noFill/>
                    </a:ln>
                  </pic:spPr>
                </pic:pic>
              </a:graphicData>
            </a:graphic>
          </wp:inline>
        </w:drawing>
      </w:r>
    </w:p>
    <w:p w14:paraId="200ED802"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Figure S7</w:t>
      </w:r>
      <w:r>
        <w:rPr>
          <w:rFonts w:ascii="Arial" w:hAnsi="Arial" w:cs="Arial"/>
          <w:lang w:val="en-US"/>
        </w:rPr>
        <w:t xml:space="preserve">. Advanced EM  investigation of the 0.5 ML of </w:t>
      </w:r>
      <w:proofErr w:type="spellStart"/>
      <w:r>
        <w:rPr>
          <w:rFonts w:ascii="Arial" w:hAnsi="Arial" w:cs="Arial"/>
          <w:lang w:val="en-US"/>
        </w:rPr>
        <w:t>CuO</w:t>
      </w:r>
      <w:proofErr w:type="spellEnd"/>
      <w:r>
        <w:rPr>
          <w:rFonts w:ascii="Arial" w:hAnsi="Arial" w:cs="Arial"/>
          <w:lang w:val="en-US"/>
        </w:rPr>
        <w:t xml:space="preserve"> clusters electrostatically precipitated on the MWCNT support. (A) BF-TEM image of the substrate. (B) STEM-HAADF image of the coated substrate with &gt;10 nm agglomerates visible indicated by the red circles. (C) STEM-HAADF image with clearly identifiable agglomerates. (D) STEM-EDXS elemental map of the image in (C) showing the Cu nature of the agglomerates.</w:t>
      </w:r>
    </w:p>
    <w:p w14:paraId="74818F6D"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b/>
          <w:sz w:val="24"/>
          <w:lang w:val="en-US"/>
        </w:rPr>
        <w:lastRenderedPageBreak/>
        <w:t xml:space="preserve">Figure S8 </w:t>
      </w:r>
      <w:r>
        <w:rPr>
          <w:rFonts w:ascii="Arial" w:hAnsi="Arial" w:cs="Arial"/>
          <w:sz w:val="24"/>
          <w:lang w:val="en-US"/>
        </w:rPr>
        <w:t xml:space="preserve">shows the outcome of </w:t>
      </w:r>
      <w:proofErr w:type="spellStart"/>
      <w:r>
        <w:rPr>
          <w:rFonts w:ascii="Arial" w:hAnsi="Arial" w:cs="Arial"/>
          <w:sz w:val="24"/>
          <w:lang w:val="en-US"/>
        </w:rPr>
        <w:t>CuAgO</w:t>
      </w:r>
      <w:proofErr w:type="spellEnd"/>
      <w:r>
        <w:rPr>
          <w:rFonts w:ascii="Arial" w:hAnsi="Arial" w:cs="Arial"/>
          <w:sz w:val="24"/>
          <w:lang w:val="en-US"/>
        </w:rPr>
        <w:t xml:space="preserve"> deposition on NCB. The average cluster size determined with STEM-HAADF of 1.4±0.33 nm overlays well with the DMA determined ~1.5 nm (</w:t>
      </w:r>
      <w:r>
        <w:rPr>
          <w:rFonts w:ascii="Arial" w:hAnsi="Arial" w:cs="Arial"/>
          <w:b/>
          <w:sz w:val="24"/>
          <w:lang w:val="en-US"/>
        </w:rPr>
        <w:t>Figure S8A</w:t>
      </w:r>
      <w:r>
        <w:rPr>
          <w:rFonts w:ascii="Arial" w:hAnsi="Arial" w:cs="Arial"/>
          <w:sz w:val="24"/>
          <w:lang w:val="en-US"/>
        </w:rPr>
        <w:t>). Therefore, we can conclude that the particles produced by the spark have been successfully deposited without agglomeration. The high N-content in the NCB samples as well as the high surface area (average C-NP size ~50 nm) facilitate immobilization and stabilization of the clusters (</w:t>
      </w:r>
      <w:r>
        <w:rPr>
          <w:rFonts w:ascii="Arial" w:hAnsi="Arial" w:cs="Arial"/>
          <w:b/>
          <w:sz w:val="24"/>
          <w:lang w:val="en-US"/>
        </w:rPr>
        <w:t>Figure S8B</w:t>
      </w:r>
      <w:r>
        <w:rPr>
          <w:rFonts w:ascii="Arial" w:hAnsi="Arial" w:cs="Arial"/>
          <w:sz w:val="24"/>
          <w:lang w:val="en-US"/>
        </w:rPr>
        <w:t xml:space="preserve">). STEM-EDXS puts the composition of the </w:t>
      </w:r>
      <w:proofErr w:type="spellStart"/>
      <w:r>
        <w:rPr>
          <w:rFonts w:ascii="Arial" w:hAnsi="Arial" w:cs="Arial"/>
          <w:sz w:val="24"/>
          <w:lang w:val="en-US"/>
        </w:rPr>
        <w:t>CuAgO</w:t>
      </w:r>
      <w:proofErr w:type="spellEnd"/>
      <w:r>
        <w:rPr>
          <w:rFonts w:ascii="Arial" w:hAnsi="Arial" w:cs="Arial"/>
          <w:sz w:val="24"/>
          <w:lang w:val="en-US"/>
        </w:rPr>
        <w:t xml:space="preserve"> clusters at Cu</w:t>
      </w:r>
      <w:r>
        <w:rPr>
          <w:rFonts w:ascii="Arial" w:hAnsi="Arial" w:cs="Arial"/>
          <w:sz w:val="24"/>
          <w:vertAlign w:val="subscript"/>
          <w:lang w:val="en-US"/>
        </w:rPr>
        <w:t>0.42</w:t>
      </w:r>
      <w:r>
        <w:rPr>
          <w:rFonts w:ascii="Arial" w:hAnsi="Arial" w:cs="Arial"/>
          <w:sz w:val="24"/>
          <w:lang w:val="en-US"/>
        </w:rPr>
        <w:t>Ag</w:t>
      </w:r>
      <w:r>
        <w:rPr>
          <w:rFonts w:ascii="Arial" w:hAnsi="Arial" w:cs="Arial"/>
          <w:sz w:val="24"/>
          <w:vertAlign w:val="subscript"/>
          <w:lang w:val="en-US"/>
        </w:rPr>
        <w:t>0.08</w:t>
      </w:r>
      <w:r>
        <w:rPr>
          <w:rFonts w:ascii="Arial" w:hAnsi="Arial" w:cs="Arial"/>
          <w:sz w:val="24"/>
          <w:lang w:val="en-US"/>
        </w:rPr>
        <w:t>O</w:t>
      </w:r>
      <w:r>
        <w:rPr>
          <w:rFonts w:ascii="Arial" w:hAnsi="Arial" w:cs="Arial"/>
          <w:sz w:val="24"/>
          <w:vertAlign w:val="subscript"/>
          <w:lang w:val="en-US"/>
        </w:rPr>
        <w:t xml:space="preserve">0.5 </w:t>
      </w:r>
      <w:r>
        <w:rPr>
          <w:rFonts w:ascii="Arial" w:hAnsi="Arial" w:cs="Arial"/>
          <w:sz w:val="24"/>
          <w:lang w:val="en-US"/>
        </w:rPr>
        <w:t>(</w:t>
      </w:r>
      <w:r>
        <w:rPr>
          <w:rFonts w:ascii="Arial" w:hAnsi="Arial" w:cs="Arial"/>
          <w:b/>
          <w:sz w:val="24"/>
          <w:lang w:val="en-US"/>
        </w:rPr>
        <w:t>Figure S7C</w:t>
      </w:r>
      <w:r>
        <w:rPr>
          <w:rFonts w:ascii="Arial" w:hAnsi="Arial" w:cs="Arial"/>
          <w:sz w:val="24"/>
          <w:lang w:val="en-US"/>
        </w:rPr>
        <w:t>). Further, a second particle mode could be detected that was rich in Ag (</w:t>
      </w:r>
      <w:r>
        <w:rPr>
          <w:rFonts w:ascii="Arial" w:hAnsi="Arial" w:cs="Arial"/>
          <w:b/>
          <w:sz w:val="24"/>
          <w:lang w:val="en-US"/>
        </w:rPr>
        <w:t>Figure S8D-F</w:t>
      </w:r>
      <w:r>
        <w:rPr>
          <w:rFonts w:ascii="Arial" w:hAnsi="Arial" w:cs="Arial"/>
          <w:sz w:val="24"/>
          <w:lang w:val="en-US"/>
        </w:rPr>
        <w:t>). However, its relative abundance was about two orders smaller and could therefore be neglected in the electrochemical performance considerations (</w:t>
      </w:r>
      <w:r>
        <w:rPr>
          <w:rFonts w:ascii="Arial" w:hAnsi="Arial" w:cs="Arial"/>
          <w:b/>
          <w:sz w:val="24"/>
          <w:lang w:val="en-US"/>
        </w:rPr>
        <w:t>Figure S8G-F</w:t>
      </w:r>
      <w:r>
        <w:rPr>
          <w:rFonts w:ascii="Arial" w:hAnsi="Arial" w:cs="Arial"/>
          <w:sz w:val="24"/>
          <w:lang w:val="en-US"/>
        </w:rPr>
        <w:t xml:space="preserve">). </w:t>
      </w:r>
    </w:p>
    <w:p w14:paraId="7AA054E9" w14:textId="77777777" w:rsidR="00266643" w:rsidRPr="00FF5897" w:rsidRDefault="00266643" w:rsidP="00FD4D0D">
      <w:pPr>
        <w:spacing w:after="100" w:afterAutospacing="1" w:line="360" w:lineRule="auto"/>
        <w:jc w:val="both"/>
        <w:rPr>
          <w:rFonts w:ascii="Arial" w:hAnsi="Arial" w:cs="Arial"/>
          <w:sz w:val="24"/>
          <w:szCs w:val="24"/>
          <w:lang w:val="en-US"/>
        </w:rPr>
      </w:pPr>
      <w:r w:rsidRPr="00FF5897">
        <w:rPr>
          <w:rFonts w:ascii="Arial" w:hAnsi="Arial" w:cs="Arial"/>
          <w:noProof/>
          <w:sz w:val="24"/>
          <w:szCs w:val="24"/>
          <w:lang w:val="en-US"/>
        </w:rPr>
        <w:drawing>
          <wp:inline distT="0" distB="0" distL="0" distR="0" wp14:anchorId="73E65F8F" wp14:editId="67ECE6F6">
            <wp:extent cx="5734050" cy="5686425"/>
            <wp:effectExtent l="0" t="0" r="0" b="9525"/>
            <wp:docPr id="105" name="Picture 105" descr="A collage of images of different shapes and colo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collage of images of different shapes and colors&#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5686425"/>
                    </a:xfrm>
                    <a:prstGeom prst="rect">
                      <a:avLst/>
                    </a:prstGeom>
                    <a:noFill/>
                    <a:ln>
                      <a:noFill/>
                    </a:ln>
                  </pic:spPr>
                </pic:pic>
              </a:graphicData>
            </a:graphic>
          </wp:inline>
        </w:drawing>
      </w:r>
    </w:p>
    <w:p w14:paraId="214A8BCF" w14:textId="399C66AE" w:rsidR="005E4531" w:rsidRDefault="006B323D" w:rsidP="00320FDF">
      <w:pPr>
        <w:spacing w:after="100" w:afterAutospacing="1" w:line="360" w:lineRule="auto"/>
        <w:jc w:val="both"/>
        <w:rPr>
          <w:rFonts w:ascii="Arial" w:hAnsi="Arial" w:cs="Arial"/>
          <w:lang w:val="en-US"/>
        </w:rPr>
      </w:pPr>
      <w:r>
        <w:rPr>
          <w:rFonts w:ascii="Arial" w:hAnsi="Arial" w:cs="Arial"/>
          <w:b/>
          <w:lang w:val="en-US"/>
        </w:rPr>
        <w:lastRenderedPageBreak/>
        <w:t xml:space="preserve">Figure S8. </w:t>
      </w:r>
      <w:r>
        <w:rPr>
          <w:rFonts w:ascii="Arial" w:hAnsi="Arial" w:cs="Arial"/>
          <w:lang w:val="en-US"/>
        </w:rPr>
        <w:t xml:space="preserve">Advanced EM investigation of the 0.5 ML of </w:t>
      </w:r>
      <w:proofErr w:type="spellStart"/>
      <w:r>
        <w:rPr>
          <w:rFonts w:ascii="Arial" w:hAnsi="Arial" w:cs="Arial"/>
          <w:lang w:val="en-US"/>
        </w:rPr>
        <w:t>CuAgO</w:t>
      </w:r>
      <w:proofErr w:type="spellEnd"/>
      <w:r>
        <w:rPr>
          <w:rFonts w:ascii="Arial" w:hAnsi="Arial" w:cs="Arial"/>
          <w:lang w:val="en-US"/>
        </w:rPr>
        <w:t xml:space="preserve"> clusters electrostatically precipitated on the NCB support. The TEM grid used was of Au to minimize interference. The composition </w:t>
      </w:r>
      <w:r w:rsidR="00F42C3D">
        <w:rPr>
          <w:rFonts w:ascii="Arial" w:hAnsi="Arial" w:cs="Arial"/>
          <w:lang w:val="en-US"/>
        </w:rPr>
        <w:t>presented</w:t>
      </w:r>
      <w:r>
        <w:rPr>
          <w:rFonts w:ascii="Arial" w:hAnsi="Arial" w:cs="Arial"/>
          <w:lang w:val="en-US"/>
        </w:rPr>
        <w:t xml:space="preserve"> in the title was determined by STEM-EDXS analysis. Note that the grid contains C as well. (A) STEM-HAADF image of the </w:t>
      </w:r>
      <w:proofErr w:type="spellStart"/>
      <w:r>
        <w:rPr>
          <w:rFonts w:ascii="Arial" w:hAnsi="Arial" w:cs="Arial"/>
          <w:lang w:val="en-US"/>
        </w:rPr>
        <w:t>CuAgO</w:t>
      </w:r>
      <w:proofErr w:type="spellEnd"/>
      <w:r>
        <w:rPr>
          <w:rFonts w:ascii="Arial" w:hAnsi="Arial" w:cs="Arial"/>
          <w:lang w:val="en-US"/>
        </w:rPr>
        <w:t xml:space="preserve"> clusters with average size of 1.4±0.33 nm. The measured size distribution compares well to the one measured via the DMA at 1.5 nm. (B) STEM-EDXS elemental map of the HAADF image in (A) showing N, C, O, in green, blue, and magenta, respectively. The N doping is as high as 6 at. %. (C) STEM-EDXS elemental map of the HAADF image in (A) of Cu and Ag in orange and turquois, respectively. Determined </w:t>
      </w:r>
      <w:proofErr w:type="spellStart"/>
      <w:r>
        <w:rPr>
          <w:rFonts w:ascii="Arial" w:hAnsi="Arial" w:cs="Arial"/>
          <w:lang w:val="en-US"/>
        </w:rPr>
        <w:t>Cu:Ag</w:t>
      </w:r>
      <w:proofErr w:type="spellEnd"/>
      <w:r>
        <w:rPr>
          <w:rFonts w:ascii="Arial" w:hAnsi="Arial" w:cs="Arial"/>
          <w:lang w:val="en-US"/>
        </w:rPr>
        <w:t xml:space="preserve"> ratio ~5:1. (D) STEM-HAADF image of large 9±1.9 nm particle. (E) STEM-EDXS elemental map of the HAADF image in (D) showing Cu in orange. (F) STEM-EDXS elemental map of the HAADF image in (D) showing Ag in turquois. Determined </w:t>
      </w:r>
      <w:proofErr w:type="spellStart"/>
      <w:r>
        <w:rPr>
          <w:rFonts w:ascii="Arial" w:hAnsi="Arial" w:cs="Arial"/>
          <w:lang w:val="en-US"/>
        </w:rPr>
        <w:t>Cu:Ag</w:t>
      </w:r>
      <w:proofErr w:type="spellEnd"/>
      <w:r>
        <w:rPr>
          <w:rFonts w:ascii="Arial" w:hAnsi="Arial" w:cs="Arial"/>
          <w:lang w:val="en-US"/>
        </w:rPr>
        <w:t xml:space="preserve"> ratio: ~1:2.7. This particle represents the second mode that is being produced at the 0.6 kV, 2.5 mA, and 15 lpm spark generator settings. (G) STEM-HAADF low-magnification image showing the relative abundance of the Ag rich particle. (H) STEM-HAADF image showing the high relative abundance of the </w:t>
      </w:r>
      <w:proofErr w:type="spellStart"/>
      <w:r>
        <w:rPr>
          <w:rFonts w:ascii="Arial" w:hAnsi="Arial" w:cs="Arial"/>
          <w:lang w:val="en-US"/>
        </w:rPr>
        <w:t>CuAgO</w:t>
      </w:r>
      <w:proofErr w:type="spellEnd"/>
      <w:r>
        <w:rPr>
          <w:rFonts w:ascii="Arial" w:hAnsi="Arial" w:cs="Arial"/>
          <w:lang w:val="en-US"/>
        </w:rPr>
        <w:t xml:space="preserve"> clusters. (I) Quantification of the relative abundance of both particle modes by observing a 630x630 nm area. Nearly 2-order larger abundance of </w:t>
      </w:r>
      <w:proofErr w:type="spellStart"/>
      <w:r>
        <w:rPr>
          <w:rFonts w:ascii="Arial" w:hAnsi="Arial" w:cs="Arial"/>
          <w:lang w:val="en-US"/>
        </w:rPr>
        <w:t>CuAgO</w:t>
      </w:r>
      <w:proofErr w:type="spellEnd"/>
      <w:r>
        <w:rPr>
          <w:rFonts w:ascii="Arial" w:hAnsi="Arial" w:cs="Arial"/>
          <w:lang w:val="en-US"/>
        </w:rPr>
        <w:t xml:space="preserve"> clusters vs Ag-rich NP. Average </w:t>
      </w:r>
      <w:proofErr w:type="spellStart"/>
      <w:r>
        <w:rPr>
          <w:rFonts w:ascii="Arial" w:hAnsi="Arial" w:cs="Arial"/>
          <w:lang w:val="en-US"/>
        </w:rPr>
        <w:t>Cu:Ag</w:t>
      </w:r>
      <w:proofErr w:type="spellEnd"/>
      <w:r>
        <w:rPr>
          <w:rFonts w:ascii="Arial" w:hAnsi="Arial" w:cs="Arial"/>
          <w:lang w:val="en-US"/>
        </w:rPr>
        <w:t xml:space="preserve"> composition calculated considering both relative abundance and particle mass is 2.1:1, which compares well to the composition determined via XPS (see </w:t>
      </w:r>
      <w:r>
        <w:rPr>
          <w:rFonts w:ascii="Arial" w:hAnsi="Arial" w:cs="Arial"/>
          <w:b/>
          <w:lang w:val="en-US"/>
        </w:rPr>
        <w:t>Figure S16, Table S1</w:t>
      </w:r>
      <w:r>
        <w:rPr>
          <w:rFonts w:ascii="Arial" w:hAnsi="Arial" w:cs="Arial"/>
          <w:lang w:val="en-US"/>
        </w:rPr>
        <w:t>).</w:t>
      </w:r>
    </w:p>
    <w:p w14:paraId="43E25379" w14:textId="769B4E3B" w:rsidR="005E4531" w:rsidRDefault="006B323D" w:rsidP="00320FDF">
      <w:pPr>
        <w:spacing w:after="100" w:afterAutospacing="1" w:line="360" w:lineRule="auto"/>
        <w:jc w:val="both"/>
        <w:rPr>
          <w:rFonts w:ascii="Arial" w:hAnsi="Arial" w:cs="Arial"/>
          <w:sz w:val="24"/>
          <w:lang w:val="en-US"/>
        </w:rPr>
      </w:pPr>
      <w:r>
        <w:rPr>
          <w:rFonts w:ascii="Arial" w:hAnsi="Arial" w:cs="Arial"/>
          <w:b/>
          <w:sz w:val="24"/>
          <w:lang w:val="en-US"/>
        </w:rPr>
        <w:t xml:space="preserve">Figure S9 </w:t>
      </w:r>
      <w:r>
        <w:rPr>
          <w:rFonts w:ascii="Arial" w:hAnsi="Arial" w:cs="Arial"/>
          <w:sz w:val="24"/>
          <w:lang w:val="en-US"/>
        </w:rPr>
        <w:t xml:space="preserve">shows the outcome of </w:t>
      </w:r>
      <w:proofErr w:type="spellStart"/>
      <w:r>
        <w:rPr>
          <w:rFonts w:ascii="Arial" w:hAnsi="Arial" w:cs="Arial"/>
          <w:sz w:val="24"/>
          <w:lang w:val="en-US"/>
        </w:rPr>
        <w:t>CuAgO</w:t>
      </w:r>
      <w:proofErr w:type="spellEnd"/>
      <w:r>
        <w:rPr>
          <w:rFonts w:ascii="Arial" w:hAnsi="Arial" w:cs="Arial"/>
          <w:sz w:val="24"/>
          <w:lang w:val="en-US"/>
        </w:rPr>
        <w:t xml:space="preserve"> deposition on MWCNTs. Similar to what could be observed in BF-mode, STEM-HAADF pointed towards various agglomerates &gt;20 nm (</w:t>
      </w:r>
      <w:r>
        <w:rPr>
          <w:rFonts w:ascii="Arial" w:hAnsi="Arial" w:cs="Arial"/>
          <w:b/>
          <w:sz w:val="24"/>
          <w:lang w:val="en-US"/>
        </w:rPr>
        <w:t>Figure S9A,</w:t>
      </w:r>
      <w:r w:rsidR="002C1C6F">
        <w:rPr>
          <w:rFonts w:ascii="Arial" w:hAnsi="Arial" w:cs="Arial"/>
          <w:b/>
          <w:sz w:val="24"/>
          <w:lang w:val="en-US"/>
        </w:rPr>
        <w:t xml:space="preserve"> </w:t>
      </w:r>
      <w:r>
        <w:rPr>
          <w:rFonts w:ascii="Arial" w:hAnsi="Arial" w:cs="Arial"/>
          <w:b/>
          <w:sz w:val="24"/>
          <w:lang w:val="en-US"/>
        </w:rPr>
        <w:t>C</w:t>
      </w:r>
      <w:r>
        <w:rPr>
          <w:rFonts w:ascii="Arial" w:hAnsi="Arial" w:cs="Arial"/>
          <w:sz w:val="24"/>
          <w:lang w:val="en-US"/>
        </w:rPr>
        <w:t>). STEM-EDXS suggested Ag-species as the most mobile as most agglomerates where rich in Ag (</w:t>
      </w:r>
      <w:r>
        <w:rPr>
          <w:rFonts w:ascii="Arial" w:hAnsi="Arial" w:cs="Arial"/>
          <w:b/>
          <w:sz w:val="24"/>
          <w:lang w:val="en-US"/>
        </w:rPr>
        <w:t>Figure S9B</w:t>
      </w:r>
      <w:r>
        <w:rPr>
          <w:rFonts w:ascii="Arial" w:hAnsi="Arial" w:cs="Arial"/>
          <w:sz w:val="24"/>
          <w:lang w:val="en-US"/>
        </w:rPr>
        <w:t>,</w:t>
      </w:r>
      <w:r>
        <w:rPr>
          <w:rFonts w:ascii="Arial" w:hAnsi="Arial" w:cs="Arial"/>
          <w:b/>
          <w:sz w:val="24"/>
          <w:lang w:val="en-US"/>
        </w:rPr>
        <w:t xml:space="preserve"> D</w:t>
      </w:r>
      <w:r>
        <w:rPr>
          <w:rFonts w:ascii="Arial" w:hAnsi="Arial" w:cs="Arial"/>
          <w:sz w:val="24"/>
          <w:lang w:val="en-US"/>
        </w:rPr>
        <w:t>).</w:t>
      </w:r>
      <w:r w:rsidR="002C1C6F">
        <w:rPr>
          <w:rFonts w:ascii="Arial" w:hAnsi="Arial" w:cs="Arial"/>
          <w:sz w:val="24"/>
          <w:lang w:val="en-US"/>
        </w:rPr>
        <w:t xml:space="preserve"> </w:t>
      </w:r>
      <w:r>
        <w:rPr>
          <w:rFonts w:ascii="Arial" w:hAnsi="Arial" w:cs="Arial"/>
          <w:sz w:val="24"/>
          <w:lang w:val="en-US"/>
        </w:rPr>
        <w:t xml:space="preserve">Cu instead, showed stronger interaction with the support and remained relatively well dispersed, similar to what had been observed for </w:t>
      </w:r>
      <w:proofErr w:type="spellStart"/>
      <w:r>
        <w:rPr>
          <w:rFonts w:ascii="Arial" w:hAnsi="Arial" w:cs="Arial"/>
          <w:sz w:val="24"/>
          <w:lang w:val="en-US"/>
        </w:rPr>
        <w:t>CuO</w:t>
      </w:r>
      <w:proofErr w:type="spellEnd"/>
      <w:r>
        <w:rPr>
          <w:rFonts w:ascii="Arial" w:hAnsi="Arial" w:cs="Arial"/>
          <w:sz w:val="24"/>
          <w:lang w:val="en-US"/>
        </w:rPr>
        <w:t xml:space="preserve"> clusters. Finally, as a control experiment, we acquired a STEM-EDX spectrum confirming the absence of both Cu and Ag in the uncoated MWCNTs (</w:t>
      </w:r>
      <w:r>
        <w:rPr>
          <w:rFonts w:ascii="Arial" w:hAnsi="Arial" w:cs="Arial"/>
          <w:b/>
          <w:sz w:val="24"/>
          <w:lang w:val="en-US"/>
        </w:rPr>
        <w:t>Figure S9E</w:t>
      </w:r>
      <w:r>
        <w:rPr>
          <w:rFonts w:ascii="Arial" w:hAnsi="Arial" w:cs="Arial"/>
          <w:sz w:val="24"/>
          <w:lang w:val="en-US"/>
        </w:rPr>
        <w:t>,</w:t>
      </w:r>
      <w:r>
        <w:rPr>
          <w:rFonts w:ascii="Arial" w:hAnsi="Arial" w:cs="Arial"/>
          <w:b/>
          <w:sz w:val="24"/>
          <w:lang w:val="en-US"/>
        </w:rPr>
        <w:t xml:space="preserve"> F</w:t>
      </w:r>
      <w:r>
        <w:rPr>
          <w:rFonts w:ascii="Arial" w:hAnsi="Arial" w:cs="Arial"/>
          <w:sz w:val="24"/>
          <w:lang w:val="en-US"/>
        </w:rPr>
        <w:t xml:space="preserve">). </w:t>
      </w:r>
    </w:p>
    <w:p w14:paraId="5CA9298A" w14:textId="301A23E4" w:rsidR="005E4531" w:rsidRDefault="00266643" w:rsidP="00320FDF">
      <w:pPr>
        <w:spacing w:after="100" w:afterAutospacing="1" w:line="360" w:lineRule="auto"/>
        <w:jc w:val="both"/>
        <w:rPr>
          <w:rFonts w:ascii="Arial" w:hAnsi="Arial" w:cs="Arial"/>
          <w:sz w:val="24"/>
          <w:lang w:val="en-US"/>
        </w:rPr>
      </w:pPr>
      <w:r w:rsidRPr="00FF5897">
        <w:rPr>
          <w:rFonts w:ascii="Arial" w:hAnsi="Arial" w:cs="Arial"/>
          <w:noProof/>
          <w:sz w:val="24"/>
          <w:szCs w:val="24"/>
          <w:lang w:val="en-US"/>
        </w:rPr>
        <w:lastRenderedPageBreak/>
        <w:drawing>
          <wp:inline distT="0" distB="0" distL="0" distR="0" wp14:anchorId="2C05C6A2" wp14:editId="74A20612">
            <wp:extent cx="5734050" cy="4162425"/>
            <wp:effectExtent l="0" t="0" r="0" b="9525"/>
            <wp:docPr id="104" name="Picture 104" descr="A picture containing screenshot, text, sph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picture containing screenshot, text, spher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4162425"/>
                    </a:xfrm>
                    <a:prstGeom prst="rect">
                      <a:avLst/>
                    </a:prstGeom>
                    <a:noFill/>
                    <a:ln>
                      <a:noFill/>
                    </a:ln>
                  </pic:spPr>
                </pic:pic>
              </a:graphicData>
            </a:graphic>
          </wp:inline>
        </w:drawing>
      </w:r>
      <w:r w:rsidR="006B323D">
        <w:rPr>
          <w:rFonts w:ascii="Arial" w:hAnsi="Arial" w:cs="Arial"/>
          <w:b/>
          <w:lang w:val="en-US"/>
        </w:rPr>
        <w:t>Figure S9</w:t>
      </w:r>
      <w:r w:rsidR="006B323D">
        <w:rPr>
          <w:rFonts w:ascii="Arial" w:hAnsi="Arial" w:cs="Arial"/>
          <w:lang w:val="en-US"/>
        </w:rPr>
        <w:t xml:space="preserve">. Advanced EM investigation of the 0.5 ML of </w:t>
      </w:r>
      <w:proofErr w:type="spellStart"/>
      <w:r w:rsidR="006B323D">
        <w:rPr>
          <w:rFonts w:ascii="Arial" w:hAnsi="Arial" w:cs="Arial"/>
          <w:lang w:val="en-US"/>
        </w:rPr>
        <w:t>CuAgO</w:t>
      </w:r>
      <w:proofErr w:type="spellEnd"/>
      <w:r w:rsidR="006B323D">
        <w:rPr>
          <w:rFonts w:ascii="Arial" w:hAnsi="Arial" w:cs="Arial"/>
          <w:lang w:val="en-US"/>
        </w:rPr>
        <w:t xml:space="preserve"> clusters electrostatically precipitated onto the MWCNT support. (A) STEM-HAADF image of agglomerate &gt;20 nm. (B) STEM-EDXS elemental map of the image in (A) with Cu in orange and Ag in turquois. The particle composition is given in the inset. (C) STEM-HAADF image of &gt; 2 nm particles. (D) STEM-EDXS elemental map of the image in (C), which shows the high Ag content in the particles. (E) STEM-HAADF image of uncoated MWCNTs. (F) STEM-EDX spectrum of the image in (E) showing the absence of both Cu and Ag prior to deposition.</w:t>
      </w:r>
    </w:p>
    <w:p w14:paraId="43A44FF7" w14:textId="28324FDB" w:rsidR="00C5328F" w:rsidRDefault="00C5328F" w:rsidP="00C5328F">
      <w:pPr>
        <w:spacing w:after="100" w:afterAutospacing="1" w:line="360" w:lineRule="auto"/>
        <w:jc w:val="both"/>
        <w:rPr>
          <w:rFonts w:ascii="Arial" w:hAnsi="Arial" w:cs="Arial"/>
          <w:sz w:val="32"/>
          <w:lang w:val="en-US"/>
        </w:rPr>
      </w:pPr>
      <w:r>
        <w:rPr>
          <w:rFonts w:ascii="Arial" w:hAnsi="Arial" w:cs="Arial"/>
          <w:sz w:val="32"/>
          <w:lang w:val="en-US"/>
        </w:rPr>
        <w:t>Note S5. Experimental part related to the cluster-support interaction.</w:t>
      </w:r>
    </w:p>
    <w:p w14:paraId="17E946AA" w14:textId="77777777" w:rsidR="000E3EA2" w:rsidRDefault="000E3EA2" w:rsidP="00320FDF">
      <w:pPr>
        <w:spacing w:after="100" w:afterAutospacing="1" w:line="360" w:lineRule="auto"/>
        <w:jc w:val="both"/>
        <w:rPr>
          <w:rFonts w:ascii="Arial" w:hAnsi="Arial" w:cs="Arial"/>
          <w:sz w:val="24"/>
          <w:lang w:val="en-US"/>
        </w:rPr>
      </w:pPr>
    </w:p>
    <w:p w14:paraId="60AB7224" w14:textId="506398C9"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An attempt was made to explain the weaker bonding of the clusters to the MWCNTs by investigating the work function of the supports arguing that stronger bonding should occur for the support with the lowest binding energy (</w:t>
      </w:r>
      <w:r>
        <w:rPr>
          <w:rFonts w:ascii="Arial" w:hAnsi="Arial" w:cs="Arial"/>
          <w:b/>
          <w:sz w:val="24"/>
          <w:lang w:val="en-US"/>
        </w:rPr>
        <w:t>Figure S10</w:t>
      </w:r>
      <w:r>
        <w:rPr>
          <w:rFonts w:ascii="Arial" w:hAnsi="Arial" w:cs="Arial"/>
          <w:sz w:val="24"/>
          <w:lang w:val="en-US"/>
        </w:rPr>
        <w:t xml:space="preserve">). Interestingly, the secondary electron cut-offs (SECO) of the support materials, which is equivalent to </w:t>
      </w:r>
      <w:r>
        <w:rPr>
          <w:rFonts w:ascii="Arial" w:hAnsi="Arial" w:cs="Arial"/>
          <w:sz w:val="24"/>
          <w:lang w:val="en-US"/>
        </w:rPr>
        <w:lastRenderedPageBreak/>
        <w:t>the work function, could not explain the trend. Following the work function, bonding to the MWCNTs should be second best to NCB supported clusters.</w:t>
      </w:r>
    </w:p>
    <w:p w14:paraId="06CFDCD9" w14:textId="77777777" w:rsidR="00266643" w:rsidRPr="00FF5897" w:rsidRDefault="00266643" w:rsidP="002C1C6F">
      <w:pPr>
        <w:spacing w:after="100" w:afterAutospacing="1" w:line="360" w:lineRule="auto"/>
        <w:jc w:val="center"/>
        <w:rPr>
          <w:rFonts w:ascii="Arial" w:hAnsi="Arial" w:cs="Arial"/>
          <w:sz w:val="24"/>
          <w:szCs w:val="24"/>
          <w:lang w:val="en-US"/>
        </w:rPr>
      </w:pPr>
      <w:r w:rsidRPr="00FF5897">
        <w:rPr>
          <w:rFonts w:ascii="Arial" w:hAnsi="Arial" w:cs="Arial"/>
          <w:noProof/>
          <w:sz w:val="24"/>
          <w:szCs w:val="24"/>
          <w:lang w:val="en-US"/>
        </w:rPr>
        <w:drawing>
          <wp:inline distT="0" distB="0" distL="0" distR="0" wp14:anchorId="6F58317E" wp14:editId="57FB887B">
            <wp:extent cx="4263171" cy="3193837"/>
            <wp:effectExtent l="0" t="0" r="4445" b="6985"/>
            <wp:docPr id="103" name="Picture 103" descr="A picture containing text, line,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picture containing text, line, font, 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84711" cy="3209974"/>
                    </a:xfrm>
                    <a:prstGeom prst="rect">
                      <a:avLst/>
                    </a:prstGeom>
                    <a:noFill/>
                    <a:ln>
                      <a:noFill/>
                    </a:ln>
                  </pic:spPr>
                </pic:pic>
              </a:graphicData>
            </a:graphic>
          </wp:inline>
        </w:drawing>
      </w:r>
    </w:p>
    <w:p w14:paraId="2FA27BD6"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Figure S10. </w:t>
      </w:r>
      <w:r>
        <w:rPr>
          <w:rFonts w:ascii="Arial" w:hAnsi="Arial" w:cs="Arial"/>
          <w:lang w:val="en-US"/>
        </w:rPr>
        <w:t>Secondary electron cut-off measured with XPS of the heteroatom doped carbonaceous supports.</w:t>
      </w:r>
    </w:p>
    <w:p w14:paraId="07758275" w14:textId="52224BE1"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Instead, we explain the agglomeration of the </w:t>
      </w:r>
      <w:proofErr w:type="spellStart"/>
      <w:r>
        <w:rPr>
          <w:rFonts w:ascii="Arial" w:hAnsi="Arial" w:cs="Arial"/>
          <w:sz w:val="24"/>
          <w:lang w:val="en-US"/>
        </w:rPr>
        <w:t>CuO</w:t>
      </w:r>
      <w:proofErr w:type="spellEnd"/>
      <w:r>
        <w:rPr>
          <w:rFonts w:ascii="Arial" w:hAnsi="Arial" w:cs="Arial"/>
          <w:sz w:val="24"/>
          <w:lang w:val="en-US"/>
        </w:rPr>
        <w:t>/</w:t>
      </w:r>
      <w:proofErr w:type="spellStart"/>
      <w:r>
        <w:rPr>
          <w:rFonts w:ascii="Arial" w:hAnsi="Arial" w:cs="Arial"/>
          <w:sz w:val="24"/>
          <w:lang w:val="en-US"/>
        </w:rPr>
        <w:t>CuAgO</w:t>
      </w:r>
      <w:proofErr w:type="spellEnd"/>
      <w:r>
        <w:rPr>
          <w:rFonts w:ascii="Arial" w:hAnsi="Arial" w:cs="Arial"/>
          <w:sz w:val="24"/>
          <w:lang w:val="en-US"/>
        </w:rPr>
        <w:t xml:space="preserve"> clusters on the MWCNT substrate by their poor adhesion. The MWCNTs produced in this study, consist of rolled-up graphene nanosheets with possible amine, imines and amides, bond at their tips. The majority of the structure, however, is highly-crystalline, graphene (</w:t>
      </w:r>
      <w:r>
        <w:rPr>
          <w:rFonts w:ascii="Arial" w:hAnsi="Arial" w:cs="Arial"/>
          <w:b/>
          <w:sz w:val="24"/>
          <w:lang w:val="en-US"/>
        </w:rPr>
        <w:t>Figure S11</w:t>
      </w:r>
      <w:r>
        <w:rPr>
          <w:rFonts w:ascii="Arial" w:hAnsi="Arial" w:cs="Arial"/>
          <w:sz w:val="24"/>
          <w:lang w:val="en-US"/>
        </w:rPr>
        <w:t>). Dietsche et al. showed that in order to stabilize Ag</w:t>
      </w:r>
      <w:r>
        <w:rPr>
          <w:rFonts w:ascii="Arial" w:hAnsi="Arial" w:cs="Arial"/>
          <w:sz w:val="24"/>
          <w:vertAlign w:val="subscript"/>
          <w:lang w:val="en-US"/>
        </w:rPr>
        <w:t>13</w:t>
      </w:r>
      <w:r>
        <w:rPr>
          <w:rFonts w:ascii="Arial" w:hAnsi="Arial" w:cs="Arial"/>
          <w:sz w:val="24"/>
          <w:lang w:val="en-US"/>
        </w:rPr>
        <w:t xml:space="preserve"> clusters on highly-ordered graphite, defects introduced by sputtering were necessary.</w:t>
      </w:r>
      <w:r w:rsidR="00C837E6"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{"citationID":"VdWrchUv","properties":{"formattedCitation":"\\super 20\\nosupersub{}","plainCitation":"20","noteIndex":0},"citationItems":[{"id":1197,"uris":["http://zotero.org/users/4941048/items/VH7H6TZC"],"itemData":{"id":1197,"type":"article-journal","abstract":"Ag cluster anions consisting of 3–16 atoms were deposited on sputter-damaged HOPG surfaces using a soft-landing technique (mean deposition energy less than 0.2 eV/atom) at room temperature. For investigations of the structures of deposited clusters, X-ray photoelectron spectroscopy (XPS) and scanning tunneling microscopy (STM) were used. In addition, the chemical properties of deposited clusters were studied using atomic oxygen and CO. Comparison of the properties of deposited Ag clusters and Ag islands with similar sizes grown by evaporating Ag atoms on the same substrate shows different results, implying that two different preparation methods give either different shapes of Ag clusters and islands, or dissimilar metal–support interactions.","container-title":"Applied Physics A","DOI":"10.1007/s00339-007-4344-7","ISSN":"1432-0630","issue":"3","journalAbbreviation":"Appl. Phys. A","language":"en","page":"395-398","source":"Springer Link","title":"Comparison of electronic structures of mass-selected Ag clusters and thermally grown Ag islands on sputter-damaged graphite surfaces","volume":"90","author":[{"family":"Dietsche","given":"R."},{"family":"Lim","given":"D.C."},{"family":"Bubek","given":"M."},{"family":"Lopez-Salido","given":"I."},{"family":"Ganteför","given":"G."},{"family":"Kim","given":"Y.D."}],"issued":{"date-parts":[["2008",3,1]]}}}],"schema":"https://github.com/citation-style-language/schema/raw/master/csl-citation.json"} </w:instrText>
      </w:r>
      <w:r w:rsidR="00C837E6" w:rsidRPr="00FF5897">
        <w:rPr>
          <w:rFonts w:ascii="Arial" w:hAnsi="Arial" w:cs="Arial"/>
          <w:sz w:val="24"/>
          <w:lang w:val="en-US"/>
        </w:rPr>
        <w:fldChar w:fldCharType="separate"/>
      </w:r>
      <w:r w:rsidR="001E3C11" w:rsidRPr="00FF5897">
        <w:rPr>
          <w:rFonts w:ascii="Arial" w:hAnsi="Arial" w:cs="Arial"/>
          <w:sz w:val="24"/>
          <w:vertAlign w:val="superscript"/>
        </w:rPr>
        <w:t>20</w:t>
      </w:r>
      <w:r w:rsidR="00C837E6" w:rsidRPr="00FF5897">
        <w:rPr>
          <w:rFonts w:ascii="Arial" w:hAnsi="Arial" w:cs="Arial"/>
          <w:sz w:val="24"/>
          <w:lang w:val="en-US"/>
        </w:rPr>
        <w:fldChar w:fldCharType="end"/>
      </w:r>
      <w:r w:rsidR="00C837E6" w:rsidRPr="00FF5897">
        <w:rPr>
          <w:rFonts w:ascii="Arial" w:hAnsi="Arial" w:cs="Arial"/>
          <w:sz w:val="24"/>
          <w:lang w:val="en-US"/>
        </w:rPr>
        <w:t xml:space="preserve"> </w:t>
      </w:r>
      <w:r w:rsidR="00C837E6" w:rsidRPr="002C1C6F">
        <w:rPr>
          <w:rFonts w:ascii="Arial" w:hAnsi="Arial" w:cs="Arial"/>
          <w:sz w:val="24"/>
          <w:lang w:val="en-US"/>
        </w:rPr>
        <w:t>Further, both Cu and Ag are fully oxidized as determined by XPS (</w:t>
      </w:r>
      <w:r w:rsidR="00C837E6" w:rsidRPr="002C1C6F">
        <w:rPr>
          <w:rFonts w:ascii="Arial" w:hAnsi="Arial" w:cs="Arial"/>
          <w:b/>
          <w:sz w:val="24"/>
          <w:lang w:val="en-US"/>
        </w:rPr>
        <w:t xml:space="preserve">Figure </w:t>
      </w:r>
      <w:r w:rsidR="00740CC7" w:rsidRPr="002C1C6F">
        <w:rPr>
          <w:rFonts w:ascii="Arial" w:hAnsi="Arial" w:cs="Arial"/>
          <w:b/>
          <w:sz w:val="24"/>
          <w:lang w:val="en-US"/>
        </w:rPr>
        <w:t>S1</w:t>
      </w:r>
      <w:r w:rsidR="00740CC7">
        <w:rPr>
          <w:rFonts w:ascii="Arial" w:hAnsi="Arial" w:cs="Arial"/>
          <w:b/>
          <w:sz w:val="24"/>
          <w:lang w:val="en-US"/>
        </w:rPr>
        <w:t>7</w:t>
      </w:r>
      <w:r w:rsidR="00C837E6" w:rsidRPr="002C1C6F">
        <w:rPr>
          <w:rFonts w:ascii="Arial" w:hAnsi="Arial" w:cs="Arial"/>
          <w:sz w:val="24"/>
          <w:lang w:val="en-US"/>
        </w:rPr>
        <w:t>).</w:t>
      </w:r>
      <w:r w:rsidR="00C837E6" w:rsidRPr="00FF5897">
        <w:rPr>
          <w:rFonts w:ascii="Arial" w:hAnsi="Arial" w:cs="Arial"/>
          <w:sz w:val="24"/>
          <w:lang w:val="en-US"/>
        </w:rPr>
        <w:t xml:space="preserve"> And Ag clusters ~5 nm on TiO</w:t>
      </w:r>
      <w:r w:rsidR="00C837E6" w:rsidRPr="00FF5897">
        <w:rPr>
          <w:rFonts w:ascii="Arial" w:hAnsi="Arial" w:cs="Arial"/>
          <w:sz w:val="24"/>
          <w:vertAlign w:val="subscript"/>
          <w:lang w:val="en-US"/>
        </w:rPr>
        <w:t>2</w:t>
      </w:r>
      <w:r w:rsidR="002C1C6F" w:rsidRPr="00FF5897">
        <w:rPr>
          <w:rFonts w:ascii="Arial" w:hAnsi="Arial" w:cs="Arial"/>
          <w:sz w:val="24"/>
          <w:lang w:val="en-US"/>
        </w:rPr>
        <w:t>(110)</w:t>
      </w:r>
      <w:r>
        <w:rPr>
          <w:rFonts w:ascii="Arial" w:hAnsi="Arial" w:cs="Arial"/>
          <w:sz w:val="24"/>
          <w:lang w:val="en-US"/>
        </w:rPr>
        <w:t xml:space="preserve"> have shown to undergo Ostwald ripening at room temperature when exposed to O</w:t>
      </w:r>
      <w:r>
        <w:rPr>
          <w:rFonts w:ascii="Arial" w:hAnsi="Arial" w:cs="Arial"/>
          <w:sz w:val="24"/>
          <w:vertAlign w:val="subscript"/>
          <w:lang w:val="en-US"/>
        </w:rPr>
        <w:t xml:space="preserve">2 </w:t>
      </w:r>
      <w:r>
        <w:rPr>
          <w:rFonts w:ascii="Arial" w:hAnsi="Arial" w:cs="Arial"/>
          <w:sz w:val="24"/>
          <w:lang w:val="en-US"/>
        </w:rPr>
        <w:t>as determined by STM proposing a potential growth pathway.</w:t>
      </w:r>
      <w:r w:rsidR="00C837E6" w:rsidRPr="00FF5897">
        <w:rPr>
          <w:rFonts w:ascii="Arial" w:hAnsi="Arial" w:cs="Arial"/>
          <w:sz w:val="24"/>
          <w:lang w:val="en-US"/>
        </w:rPr>
        <w:fldChar w:fldCharType="begin"/>
      </w:r>
      <w:r w:rsidR="00FD4D0D">
        <w:rPr>
          <w:rFonts w:ascii="Arial" w:hAnsi="Arial" w:cs="Arial"/>
          <w:sz w:val="24"/>
          <w:lang w:val="en-US"/>
        </w:rPr>
        <w:instrText xml:space="preserve"> ADDIN ZOTERO_ITEM CSL_CITATION {"citationID":"KY8F2MRF","properties":{"formattedCitation":"\\super 21\\nosupersub{}","plainCitation":"21","noteIndex":0},"citationItems":[{"id":1068,"uris":["http://zotero.org/users/4941048/items/3DWXXBGI"],"itemData":{"id":1068,"type":"article-journal","container-title":"Faraday Discussions","DOI":"10.1039/a902795e","ISSN":"13596640, 13645498","journalAbbreviation":"Faraday Disc.","language":"en","page":"279-284","source":"DOI.org (Crossref)","title":"Oxygen-induced morphological changes of Ag nanoclusters supported on TiO2(110)","volume":"114","author":[{"family":"Lai","given":"Xiaofeng"},{"family":"St.Clair","given":"Todd P."},{"family":"Wayne Goodman","given":"D."}],"issued":{"date-parts":[["1999"]]}}}],"schema":"https://github.com/citation-style-language/schema/raw/master/csl-citation.json"} </w:instrText>
      </w:r>
      <w:r w:rsidR="00C837E6" w:rsidRPr="00FF5897">
        <w:rPr>
          <w:rFonts w:ascii="Arial" w:hAnsi="Arial" w:cs="Arial"/>
          <w:sz w:val="24"/>
          <w:lang w:val="en-US"/>
        </w:rPr>
        <w:fldChar w:fldCharType="separate"/>
      </w:r>
      <w:r w:rsidR="001E3C11" w:rsidRPr="00FF5897">
        <w:rPr>
          <w:rFonts w:ascii="Arial" w:hAnsi="Arial" w:cs="Arial"/>
          <w:sz w:val="24"/>
          <w:vertAlign w:val="superscript"/>
        </w:rPr>
        <w:t>21</w:t>
      </w:r>
      <w:r w:rsidR="00C837E6" w:rsidRPr="00FF5897">
        <w:rPr>
          <w:rFonts w:ascii="Arial" w:hAnsi="Arial" w:cs="Arial"/>
          <w:sz w:val="24"/>
          <w:lang w:val="en-US"/>
        </w:rPr>
        <w:fldChar w:fldCharType="end"/>
      </w:r>
      <w:r>
        <w:rPr>
          <w:rFonts w:ascii="Arial" w:hAnsi="Arial" w:cs="Arial"/>
          <w:sz w:val="24"/>
          <w:lang w:val="en-US"/>
        </w:rPr>
        <w:t xml:space="preserve"> It was argued that Ag</w:t>
      </w:r>
      <w:r>
        <w:rPr>
          <w:rFonts w:ascii="Arial" w:hAnsi="Arial" w:cs="Arial"/>
          <w:sz w:val="24"/>
          <w:vertAlign w:val="subscript"/>
          <w:lang w:val="en-US"/>
        </w:rPr>
        <w:t>2</w:t>
      </w:r>
      <w:r>
        <w:rPr>
          <w:rFonts w:ascii="Arial" w:hAnsi="Arial" w:cs="Arial"/>
          <w:sz w:val="24"/>
          <w:lang w:val="en-US"/>
        </w:rPr>
        <w:t xml:space="preserve">O was the relevant species to undergo surface diffusion due to its higher mobility than its metallic counterpart. This explains the larger Ag-rich agglomerates observed for the </w:t>
      </w:r>
      <w:proofErr w:type="spellStart"/>
      <w:r>
        <w:rPr>
          <w:rFonts w:ascii="Arial" w:hAnsi="Arial" w:cs="Arial"/>
          <w:sz w:val="24"/>
          <w:lang w:val="en-US"/>
        </w:rPr>
        <w:t>CuAgO</w:t>
      </w:r>
      <w:proofErr w:type="spellEnd"/>
      <w:r>
        <w:rPr>
          <w:rFonts w:ascii="Arial" w:hAnsi="Arial" w:cs="Arial"/>
          <w:sz w:val="24"/>
          <w:lang w:val="en-US"/>
        </w:rPr>
        <w:t xml:space="preserve"> MWCNTs coated materials vs the </w:t>
      </w:r>
      <w:proofErr w:type="spellStart"/>
      <w:r>
        <w:rPr>
          <w:rFonts w:ascii="Arial" w:hAnsi="Arial" w:cs="Arial"/>
          <w:sz w:val="24"/>
          <w:lang w:val="en-US"/>
        </w:rPr>
        <w:t>CuO</w:t>
      </w:r>
      <w:proofErr w:type="spellEnd"/>
      <w:r>
        <w:rPr>
          <w:rFonts w:ascii="Arial" w:hAnsi="Arial" w:cs="Arial"/>
          <w:sz w:val="24"/>
          <w:lang w:val="en-US"/>
        </w:rPr>
        <w:t xml:space="preserve"> coated ones. Upon the failure of Ag</w:t>
      </w:r>
      <w:r>
        <w:rPr>
          <w:rFonts w:ascii="Arial" w:hAnsi="Arial" w:cs="Arial"/>
          <w:sz w:val="24"/>
          <w:vertAlign w:val="subscript"/>
          <w:lang w:val="en-US"/>
        </w:rPr>
        <w:t>2</w:t>
      </w:r>
      <w:r>
        <w:rPr>
          <w:rFonts w:ascii="Arial" w:hAnsi="Arial" w:cs="Arial"/>
          <w:sz w:val="24"/>
          <w:lang w:val="en-US"/>
        </w:rPr>
        <w:t>O to find a stable ligation site, Ag</w:t>
      </w:r>
      <w:r>
        <w:rPr>
          <w:rFonts w:ascii="Arial" w:hAnsi="Arial" w:cs="Arial"/>
          <w:sz w:val="24"/>
          <w:vertAlign w:val="subscript"/>
          <w:lang w:val="en-US"/>
        </w:rPr>
        <w:t>2</w:t>
      </w:r>
      <w:r>
        <w:rPr>
          <w:rFonts w:ascii="Arial" w:hAnsi="Arial" w:cs="Arial"/>
          <w:sz w:val="24"/>
          <w:lang w:val="en-US"/>
        </w:rPr>
        <w:t xml:space="preserve">O diffuses rapidly over the surface and agglomerates. Instead, the Cu oxides bond relatively well to the surface and stays better dispersed. Nevertheless, for their high relative instability, we have </w:t>
      </w:r>
      <w:r>
        <w:rPr>
          <w:rFonts w:ascii="Arial" w:hAnsi="Arial" w:cs="Arial"/>
          <w:sz w:val="24"/>
          <w:lang w:val="en-US"/>
        </w:rPr>
        <w:lastRenderedPageBreak/>
        <w:t xml:space="preserve">excluded MWCNTs for any further consideration. Likewise, due the shift in particle size distribution of roughly 33% larger of the </w:t>
      </w:r>
      <w:proofErr w:type="spellStart"/>
      <w:r>
        <w:rPr>
          <w:rFonts w:ascii="Arial" w:hAnsi="Arial" w:cs="Arial"/>
          <w:sz w:val="24"/>
          <w:lang w:val="en-US"/>
        </w:rPr>
        <w:t>CuAgO</w:t>
      </w:r>
      <w:proofErr w:type="spellEnd"/>
      <w:r>
        <w:rPr>
          <w:rFonts w:ascii="Arial" w:hAnsi="Arial" w:cs="Arial"/>
          <w:sz w:val="24"/>
          <w:lang w:val="en-US"/>
        </w:rPr>
        <w:t xml:space="preserve"> clusters on NG-NP support, we have excluded them as well. </w:t>
      </w:r>
    </w:p>
    <w:p w14:paraId="509BA50C" w14:textId="77777777" w:rsidR="00266643" w:rsidRPr="00FF5897" w:rsidRDefault="00266643" w:rsidP="00BB5211">
      <w:pPr>
        <w:spacing w:after="100" w:afterAutospacing="1" w:line="360" w:lineRule="auto"/>
        <w:jc w:val="center"/>
        <w:rPr>
          <w:rFonts w:ascii="Arial" w:hAnsi="Arial" w:cs="Arial"/>
          <w:sz w:val="24"/>
          <w:szCs w:val="24"/>
          <w:lang w:val="en-US"/>
        </w:rPr>
      </w:pPr>
      <w:r w:rsidRPr="00FF5897">
        <w:rPr>
          <w:rFonts w:ascii="Arial" w:hAnsi="Arial" w:cs="Arial"/>
          <w:noProof/>
          <w:sz w:val="24"/>
          <w:szCs w:val="24"/>
          <w:lang w:val="en-US"/>
        </w:rPr>
        <w:drawing>
          <wp:inline distT="0" distB="0" distL="0" distR="0" wp14:anchorId="7E17AAC0" wp14:editId="6CFE8F71">
            <wp:extent cx="3766978" cy="3766978"/>
            <wp:effectExtent l="0" t="0" r="5080" b="5080"/>
            <wp:docPr id="102" name="Picture 102" descr="A picture containing cloud, screenshot, fog,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picture containing cloud, screenshot, fog, black and whit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9525" cy="3769525"/>
                    </a:xfrm>
                    <a:prstGeom prst="rect">
                      <a:avLst/>
                    </a:prstGeom>
                    <a:noFill/>
                    <a:ln>
                      <a:noFill/>
                    </a:ln>
                  </pic:spPr>
                </pic:pic>
              </a:graphicData>
            </a:graphic>
          </wp:inline>
        </w:drawing>
      </w:r>
    </w:p>
    <w:p w14:paraId="0DE4BC12"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Figure S11. </w:t>
      </w:r>
      <w:r>
        <w:rPr>
          <w:rFonts w:ascii="Arial" w:hAnsi="Arial" w:cs="Arial"/>
          <w:lang w:val="en-US"/>
        </w:rPr>
        <w:t>BF-TEM image of the bare MWCNTs. Lattice fringes can be discerned showing the crystalline nature of the nanotubes.</w:t>
      </w:r>
    </w:p>
    <w:p w14:paraId="1B0FC739" w14:textId="212180F5" w:rsidR="005E4531" w:rsidRDefault="00B36533">
      <w:pPr>
        <w:pStyle w:val="Patentanspruch"/>
        <w:ind w:firstLine="0"/>
      </w:pPr>
      <w:r>
        <w:rPr>
          <w:noProof/>
        </w:rPr>
        <w:lastRenderedPageBreak/>
        <w:drawing>
          <wp:inline distT="0" distB="0" distL="0" distR="0" wp14:anchorId="212DDE2A" wp14:editId="63364B4A">
            <wp:extent cx="5731510" cy="7621270"/>
            <wp:effectExtent l="0" t="0" r="2540" b="0"/>
            <wp:docPr id="1272534586" name="Picture 1" descr="A group of graphs showing different types of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34586" name="Picture 1" descr="A group of graphs showing different types of energy&#10;&#10;Description automatically generated"/>
                    <pic:cNvPicPr/>
                  </pic:nvPicPr>
                  <pic:blipFill>
                    <a:blip r:embed="rId22"/>
                    <a:stretch>
                      <a:fillRect/>
                    </a:stretch>
                  </pic:blipFill>
                  <pic:spPr>
                    <a:xfrm>
                      <a:off x="0" y="0"/>
                      <a:ext cx="5731510" cy="7621270"/>
                    </a:xfrm>
                    <a:prstGeom prst="rect">
                      <a:avLst/>
                    </a:prstGeom>
                  </pic:spPr>
                </pic:pic>
              </a:graphicData>
            </a:graphic>
          </wp:inline>
        </w:drawing>
      </w:r>
      <w:r w:rsidR="006B323D" w:rsidRPr="00EC374C">
        <w:rPr>
          <w:b/>
          <w:bCs/>
        </w:rPr>
        <w:t xml:space="preserve">Figure </w:t>
      </w:r>
      <w:r w:rsidR="00EC374C">
        <w:rPr>
          <w:b/>
          <w:bCs/>
        </w:rPr>
        <w:t>S</w:t>
      </w:r>
      <w:r w:rsidR="006B323D" w:rsidRPr="00EC374C">
        <w:rPr>
          <w:b/>
          <w:bCs/>
        </w:rPr>
        <w:t>12</w:t>
      </w:r>
      <w:r w:rsidR="008C1B95" w:rsidRPr="00EC374C">
        <w:rPr>
          <w:b/>
          <w:bCs/>
        </w:rPr>
        <w:t>.</w:t>
      </w:r>
      <w:r w:rsidR="006B323D">
        <w:t xml:space="preserve"> (A-B) the O 1s and N 1s scan of the GO support, (C-D) the O 1s and N 1s scan of the NCB support, (E-F) the O 1s and N 1s scan of the MWCNT support and (G-H) the O 1s and N 1s scan of the NGNP support.</w:t>
      </w:r>
    </w:p>
    <w:p w14:paraId="475A9087" w14:textId="77777777" w:rsidR="005E4531" w:rsidRDefault="005E4531">
      <w:pPr>
        <w:pStyle w:val="Patentanspruch"/>
        <w:ind w:firstLine="0"/>
      </w:pPr>
    </w:p>
    <w:p w14:paraId="78675512" w14:textId="77777777" w:rsidR="005E4531" w:rsidRDefault="006B323D">
      <w:pPr>
        <w:pStyle w:val="Patentanspruch"/>
        <w:ind w:firstLine="0"/>
      </w:pPr>
      <w:r w:rsidRPr="00EC374C">
        <w:rPr>
          <w:b/>
          <w:bCs/>
        </w:rPr>
        <w:t>Table S1.</w:t>
      </w:r>
      <w:r>
        <w:t xml:space="preserve"> Relative ratio of the surface composition of N/O/C species of the support as </w:t>
      </w:r>
      <w:r>
        <w:lastRenderedPageBreak/>
        <w:t>determined by XPS analysis as performed in Figure 21. O 1s, N 1s and C 1s sensitivity factor takes as 0.66, 0.42 and 0.25, respectively.</w:t>
      </w:r>
    </w:p>
    <w:tbl>
      <w:tblPr>
        <w:tblStyle w:val="PlainTable2"/>
        <w:tblW w:w="0" w:type="auto"/>
        <w:tblLook w:val="04A0" w:firstRow="1" w:lastRow="0" w:firstColumn="1" w:lastColumn="0" w:noHBand="0" w:noVBand="1"/>
      </w:tblPr>
      <w:tblGrid>
        <w:gridCol w:w="1463"/>
        <w:gridCol w:w="1463"/>
        <w:gridCol w:w="1463"/>
        <w:gridCol w:w="1463"/>
        <w:gridCol w:w="1463"/>
        <w:gridCol w:w="1463"/>
      </w:tblGrid>
      <w:tr w:rsidR="005E4531" w14:paraId="3B498064" w14:textId="77777777" w:rsidTr="00A87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2F377F10" w14:textId="77777777" w:rsidR="005E4531" w:rsidRPr="009C7E3E" w:rsidRDefault="006B323D">
            <w:pPr>
              <w:pStyle w:val="Patentanspruch"/>
              <w:ind w:firstLine="0"/>
            </w:pPr>
            <w:r w:rsidRPr="009C7E3E">
              <w:t>Name</w:t>
            </w:r>
          </w:p>
        </w:tc>
        <w:tc>
          <w:tcPr>
            <w:tcW w:w="4389" w:type="dxa"/>
            <w:gridSpan w:val="3"/>
          </w:tcPr>
          <w:p w14:paraId="7F125576" w14:textId="77777777" w:rsidR="005E4531" w:rsidRPr="009C7E3E" w:rsidRDefault="006B323D">
            <w:pPr>
              <w:pStyle w:val="Patentanspruch"/>
              <w:ind w:firstLine="0"/>
              <w:cnfStyle w:val="100000000000" w:firstRow="1" w:lastRow="0" w:firstColumn="0" w:lastColumn="0" w:oddVBand="0" w:evenVBand="0" w:oddHBand="0" w:evenHBand="0" w:firstRowFirstColumn="0" w:firstRowLastColumn="0" w:lastRowFirstColumn="0" w:lastRowLastColumn="0"/>
            </w:pPr>
            <w:r w:rsidRPr="009C7E3E">
              <w:t>Peak Area</w:t>
            </w:r>
          </w:p>
        </w:tc>
        <w:tc>
          <w:tcPr>
            <w:tcW w:w="2926" w:type="dxa"/>
            <w:gridSpan w:val="2"/>
          </w:tcPr>
          <w:p w14:paraId="7D658919" w14:textId="77777777" w:rsidR="005E4531" w:rsidRPr="009C7E3E" w:rsidRDefault="006B323D">
            <w:pPr>
              <w:pStyle w:val="Patentanspruch"/>
              <w:ind w:firstLine="0"/>
              <w:cnfStyle w:val="100000000000" w:firstRow="1" w:lastRow="0" w:firstColumn="0" w:lastColumn="0" w:oddVBand="0" w:evenVBand="0" w:oddHBand="0" w:evenHBand="0" w:firstRowFirstColumn="0" w:firstRowLastColumn="0" w:lastRowFirstColumn="0" w:lastRowLastColumn="0"/>
            </w:pPr>
            <w:r w:rsidRPr="009C7E3E">
              <w:t xml:space="preserve">Peak ratio </w:t>
            </w:r>
          </w:p>
        </w:tc>
      </w:tr>
      <w:tr w:rsidR="005E4531" w14:paraId="78302E8C" w14:textId="77777777" w:rsidTr="00A8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0DCF3CFF" w14:textId="77777777" w:rsidR="005E4531" w:rsidRPr="009C7E3E" w:rsidRDefault="005E4531">
            <w:pPr>
              <w:pStyle w:val="Patentanspruch"/>
              <w:ind w:firstLine="0"/>
            </w:pPr>
          </w:p>
        </w:tc>
        <w:tc>
          <w:tcPr>
            <w:tcW w:w="1463" w:type="dxa"/>
          </w:tcPr>
          <w:p w14:paraId="6263ACBF"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C 1s</w:t>
            </w:r>
          </w:p>
        </w:tc>
        <w:tc>
          <w:tcPr>
            <w:tcW w:w="1463" w:type="dxa"/>
          </w:tcPr>
          <w:p w14:paraId="24E6F860"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N 1s</w:t>
            </w:r>
          </w:p>
        </w:tc>
        <w:tc>
          <w:tcPr>
            <w:tcW w:w="1463" w:type="dxa"/>
          </w:tcPr>
          <w:p w14:paraId="4BD33E4F"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O 1s</w:t>
            </w:r>
          </w:p>
        </w:tc>
        <w:tc>
          <w:tcPr>
            <w:tcW w:w="1463" w:type="dxa"/>
          </w:tcPr>
          <w:p w14:paraId="020A48D3"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 xml:space="preserve">O 1s/C 1s </w:t>
            </w:r>
          </w:p>
        </w:tc>
        <w:tc>
          <w:tcPr>
            <w:tcW w:w="1463" w:type="dxa"/>
          </w:tcPr>
          <w:p w14:paraId="5F987E3F"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N 1s/C 1s</w:t>
            </w:r>
          </w:p>
        </w:tc>
      </w:tr>
      <w:tr w:rsidR="005E4531" w14:paraId="4D5353C1" w14:textId="77777777" w:rsidTr="00A874F6">
        <w:tc>
          <w:tcPr>
            <w:cnfStyle w:val="001000000000" w:firstRow="0" w:lastRow="0" w:firstColumn="1" w:lastColumn="0" w:oddVBand="0" w:evenVBand="0" w:oddHBand="0" w:evenHBand="0" w:firstRowFirstColumn="0" w:firstRowLastColumn="0" w:lastRowFirstColumn="0" w:lastRowLastColumn="0"/>
            <w:tcW w:w="1463" w:type="dxa"/>
          </w:tcPr>
          <w:p w14:paraId="6B76A4C5" w14:textId="77777777" w:rsidR="005E4531" w:rsidRPr="009C7E3E" w:rsidRDefault="006B323D">
            <w:pPr>
              <w:pStyle w:val="Patentanspruch"/>
              <w:ind w:firstLine="0"/>
            </w:pPr>
            <w:r w:rsidRPr="009C7E3E">
              <w:t>GO</w:t>
            </w:r>
          </w:p>
        </w:tc>
        <w:tc>
          <w:tcPr>
            <w:tcW w:w="1463" w:type="dxa"/>
          </w:tcPr>
          <w:p w14:paraId="419C19C5"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34221</w:t>
            </w:r>
          </w:p>
        </w:tc>
        <w:tc>
          <w:tcPr>
            <w:tcW w:w="1463" w:type="dxa"/>
          </w:tcPr>
          <w:p w14:paraId="1C956C51"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4274</w:t>
            </w:r>
          </w:p>
        </w:tc>
        <w:tc>
          <w:tcPr>
            <w:tcW w:w="1463" w:type="dxa"/>
          </w:tcPr>
          <w:p w14:paraId="2B69196C"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43949</w:t>
            </w:r>
          </w:p>
        </w:tc>
        <w:tc>
          <w:tcPr>
            <w:tcW w:w="1463" w:type="dxa"/>
          </w:tcPr>
          <w:p w14:paraId="7A010E56"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0.486</w:t>
            </w:r>
          </w:p>
        </w:tc>
        <w:tc>
          <w:tcPr>
            <w:tcW w:w="1463" w:type="dxa"/>
          </w:tcPr>
          <w:p w14:paraId="158FEBBC"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0.0743</w:t>
            </w:r>
          </w:p>
        </w:tc>
      </w:tr>
      <w:tr w:rsidR="005E4531" w14:paraId="17BB086B" w14:textId="77777777" w:rsidTr="00A8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10C0DF65" w14:textId="77777777" w:rsidR="005E4531" w:rsidRPr="009C7E3E" w:rsidRDefault="006B323D">
            <w:pPr>
              <w:pStyle w:val="Patentanspruch"/>
              <w:ind w:firstLine="0"/>
            </w:pPr>
            <w:r w:rsidRPr="009C7E3E">
              <w:t>NCB</w:t>
            </w:r>
          </w:p>
        </w:tc>
        <w:tc>
          <w:tcPr>
            <w:tcW w:w="1463" w:type="dxa"/>
          </w:tcPr>
          <w:p w14:paraId="5246D5B8"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34415</w:t>
            </w:r>
          </w:p>
        </w:tc>
        <w:tc>
          <w:tcPr>
            <w:tcW w:w="1463" w:type="dxa"/>
          </w:tcPr>
          <w:p w14:paraId="0281DE3F"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1815</w:t>
            </w:r>
          </w:p>
        </w:tc>
        <w:tc>
          <w:tcPr>
            <w:tcW w:w="1463" w:type="dxa"/>
          </w:tcPr>
          <w:p w14:paraId="4B37C7AA"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11260</w:t>
            </w:r>
          </w:p>
        </w:tc>
        <w:tc>
          <w:tcPr>
            <w:tcW w:w="1463" w:type="dxa"/>
          </w:tcPr>
          <w:p w14:paraId="35F3A81E"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0.124</w:t>
            </w:r>
          </w:p>
        </w:tc>
        <w:tc>
          <w:tcPr>
            <w:tcW w:w="1463" w:type="dxa"/>
          </w:tcPr>
          <w:p w14:paraId="5F854BD5"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0.0314</w:t>
            </w:r>
          </w:p>
        </w:tc>
      </w:tr>
      <w:tr w:rsidR="005E4531" w14:paraId="08A37911" w14:textId="77777777" w:rsidTr="00A874F6">
        <w:tc>
          <w:tcPr>
            <w:cnfStyle w:val="001000000000" w:firstRow="0" w:lastRow="0" w:firstColumn="1" w:lastColumn="0" w:oddVBand="0" w:evenVBand="0" w:oddHBand="0" w:evenHBand="0" w:firstRowFirstColumn="0" w:firstRowLastColumn="0" w:lastRowFirstColumn="0" w:lastRowLastColumn="0"/>
            <w:tcW w:w="1463" w:type="dxa"/>
          </w:tcPr>
          <w:p w14:paraId="7D3EA2C5" w14:textId="77777777" w:rsidR="005E4531" w:rsidRPr="009C7E3E" w:rsidRDefault="006B323D">
            <w:pPr>
              <w:pStyle w:val="Patentanspruch"/>
              <w:ind w:firstLine="0"/>
            </w:pPr>
            <w:r w:rsidRPr="009C7E3E">
              <w:t>MWCNT</w:t>
            </w:r>
          </w:p>
        </w:tc>
        <w:tc>
          <w:tcPr>
            <w:tcW w:w="1463" w:type="dxa"/>
          </w:tcPr>
          <w:p w14:paraId="66F75EB8"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43790</w:t>
            </w:r>
          </w:p>
        </w:tc>
        <w:tc>
          <w:tcPr>
            <w:tcW w:w="1463" w:type="dxa"/>
          </w:tcPr>
          <w:p w14:paraId="3AF99C20"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277</w:t>
            </w:r>
          </w:p>
        </w:tc>
        <w:tc>
          <w:tcPr>
            <w:tcW w:w="1463" w:type="dxa"/>
          </w:tcPr>
          <w:p w14:paraId="14E744F4"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2772</w:t>
            </w:r>
          </w:p>
        </w:tc>
        <w:tc>
          <w:tcPr>
            <w:tcW w:w="1463" w:type="dxa"/>
          </w:tcPr>
          <w:p w14:paraId="074D0981"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0.024</w:t>
            </w:r>
          </w:p>
        </w:tc>
        <w:tc>
          <w:tcPr>
            <w:tcW w:w="1463" w:type="dxa"/>
          </w:tcPr>
          <w:p w14:paraId="31724A91" w14:textId="77777777" w:rsidR="005E4531" w:rsidRPr="009C7E3E" w:rsidRDefault="006B323D">
            <w:pPr>
              <w:pStyle w:val="Patentanspruch"/>
              <w:ind w:firstLine="0"/>
              <w:cnfStyle w:val="000000000000" w:firstRow="0" w:lastRow="0" w:firstColumn="0" w:lastColumn="0" w:oddVBand="0" w:evenVBand="0" w:oddHBand="0" w:evenHBand="0" w:firstRowFirstColumn="0" w:firstRowLastColumn="0" w:lastRowFirstColumn="0" w:lastRowLastColumn="0"/>
            </w:pPr>
            <w:r w:rsidRPr="009C7E3E">
              <w:t>0.00038</w:t>
            </w:r>
          </w:p>
        </w:tc>
      </w:tr>
      <w:tr w:rsidR="005E4531" w14:paraId="56D11812" w14:textId="77777777" w:rsidTr="00A87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0268333B" w14:textId="77777777" w:rsidR="005E4531" w:rsidRPr="009C7E3E" w:rsidRDefault="006B323D">
            <w:pPr>
              <w:pStyle w:val="Patentanspruch"/>
              <w:ind w:firstLine="0"/>
            </w:pPr>
            <w:r w:rsidRPr="009C7E3E">
              <w:t>NGNP</w:t>
            </w:r>
          </w:p>
        </w:tc>
        <w:tc>
          <w:tcPr>
            <w:tcW w:w="1463" w:type="dxa"/>
          </w:tcPr>
          <w:p w14:paraId="72821ECB"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33586</w:t>
            </w:r>
          </w:p>
        </w:tc>
        <w:tc>
          <w:tcPr>
            <w:tcW w:w="1463" w:type="dxa"/>
          </w:tcPr>
          <w:p w14:paraId="04E45314"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2941</w:t>
            </w:r>
          </w:p>
        </w:tc>
        <w:tc>
          <w:tcPr>
            <w:tcW w:w="1463" w:type="dxa"/>
          </w:tcPr>
          <w:p w14:paraId="4653DE16"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11072</w:t>
            </w:r>
          </w:p>
        </w:tc>
        <w:tc>
          <w:tcPr>
            <w:tcW w:w="1463" w:type="dxa"/>
          </w:tcPr>
          <w:p w14:paraId="1A7BD832"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0.125</w:t>
            </w:r>
          </w:p>
        </w:tc>
        <w:tc>
          <w:tcPr>
            <w:tcW w:w="1463" w:type="dxa"/>
          </w:tcPr>
          <w:p w14:paraId="1C21C6B7" w14:textId="77777777" w:rsidR="005E4531" w:rsidRPr="009C7E3E" w:rsidRDefault="006B323D">
            <w:pPr>
              <w:pStyle w:val="Patentanspruch"/>
              <w:ind w:firstLine="0"/>
              <w:cnfStyle w:val="000000100000" w:firstRow="0" w:lastRow="0" w:firstColumn="0" w:lastColumn="0" w:oddVBand="0" w:evenVBand="0" w:oddHBand="1" w:evenHBand="0" w:firstRowFirstColumn="0" w:firstRowLastColumn="0" w:lastRowFirstColumn="0" w:lastRowLastColumn="0"/>
            </w:pPr>
            <w:r w:rsidRPr="009C7E3E">
              <w:t>0.0521</w:t>
            </w:r>
          </w:p>
        </w:tc>
      </w:tr>
    </w:tbl>
    <w:p w14:paraId="2E955038" w14:textId="77777777" w:rsidR="005E4531" w:rsidRDefault="005E4531" w:rsidP="00320FDF">
      <w:pPr>
        <w:spacing w:after="100" w:afterAutospacing="1" w:line="360" w:lineRule="auto"/>
        <w:jc w:val="both"/>
        <w:rPr>
          <w:rFonts w:ascii="Arial" w:hAnsi="Arial" w:cs="Arial"/>
          <w:b/>
          <w:lang w:val="en-US"/>
        </w:rPr>
      </w:pPr>
    </w:p>
    <w:p w14:paraId="31333A7A" w14:textId="4B5C0B85" w:rsidR="005E4531" w:rsidRDefault="006A7A1C" w:rsidP="00320FDF">
      <w:pPr>
        <w:rPr>
          <w:rFonts w:ascii="Arial" w:hAnsi="Arial" w:cs="Arial"/>
          <w:sz w:val="24"/>
          <w:lang w:val="en-US"/>
        </w:rPr>
      </w:pPr>
      <w:r>
        <w:rPr>
          <w:rFonts w:ascii="Arial" w:hAnsi="Arial" w:cs="Arial"/>
          <w:sz w:val="24"/>
          <w:lang w:val="en-US"/>
        </w:rPr>
        <w:br w:type="page"/>
      </w:r>
    </w:p>
    <w:p w14:paraId="155734C3" w14:textId="63FFC238"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lastRenderedPageBreak/>
        <w:t>Note S</w:t>
      </w:r>
      <w:r w:rsidR="00C5328F">
        <w:rPr>
          <w:rFonts w:ascii="Arial" w:hAnsi="Arial" w:cs="Arial"/>
          <w:sz w:val="32"/>
          <w:lang w:val="en-US"/>
        </w:rPr>
        <w:t>6</w:t>
      </w:r>
      <w:r>
        <w:rPr>
          <w:rFonts w:ascii="Arial" w:hAnsi="Arial" w:cs="Arial"/>
          <w:sz w:val="32"/>
          <w:lang w:val="en-US"/>
        </w:rPr>
        <w:t>. Experimental part related to cluster composite electrode production.</w:t>
      </w:r>
    </w:p>
    <w:p w14:paraId="22991531" w14:textId="1695082C" w:rsidR="005E4531" w:rsidRDefault="006A7A1C" w:rsidP="00320FDF">
      <w:pPr>
        <w:spacing w:after="100" w:afterAutospacing="1" w:line="360" w:lineRule="auto"/>
        <w:jc w:val="both"/>
        <w:rPr>
          <w:rFonts w:ascii="Arial" w:hAnsi="Arial" w:cs="Arial"/>
          <w:sz w:val="24"/>
          <w:lang w:val="en-US"/>
        </w:rPr>
      </w:pPr>
      <w:r w:rsidRPr="00FF5897">
        <w:rPr>
          <w:rFonts w:ascii="Arial" w:hAnsi="Arial" w:cs="Arial"/>
          <w:sz w:val="24"/>
          <w:lang w:val="en-US"/>
        </w:rPr>
        <w:t>To</w:t>
      </w:r>
      <w:r w:rsidR="006B323D">
        <w:rPr>
          <w:rFonts w:ascii="Arial" w:hAnsi="Arial" w:cs="Arial"/>
          <w:sz w:val="24"/>
          <w:lang w:val="en-US"/>
        </w:rPr>
        <w:t xml:space="preserve"> test the metal oxide clusters in the electrochemical CO</w:t>
      </w:r>
      <w:r w:rsidR="006B323D">
        <w:rPr>
          <w:rFonts w:ascii="Arial" w:hAnsi="Arial" w:cs="Arial"/>
          <w:sz w:val="24"/>
          <w:vertAlign w:val="subscript"/>
          <w:lang w:val="en-US"/>
        </w:rPr>
        <w:t>2</w:t>
      </w:r>
      <w:r w:rsidR="006B323D">
        <w:rPr>
          <w:rFonts w:ascii="Arial" w:hAnsi="Arial" w:cs="Arial"/>
          <w:sz w:val="24"/>
          <w:lang w:val="en-US"/>
        </w:rPr>
        <w:t xml:space="preserve"> reduction reaction, it is adamant that the cluster carbonaceous support composite will be scaled. Further, for potential flow and membrane assembled electrode cell configurations, the use of a gas diffusion layer support is highly advantageous. Further, to ensure homogeneous cluster coverage and good exposure to the electrolyte, cluster deposition via filtration in which the aerosol gas is directly flowed through a porous support is optimal. Therefore, we designed a Toray TGP-H-60 carbon paper-based gas diffusion electrode with a carbonaceous support catalyst layer air brushed on top (</w:t>
      </w:r>
      <w:r w:rsidR="006B323D">
        <w:rPr>
          <w:rFonts w:ascii="Arial" w:hAnsi="Arial" w:cs="Arial"/>
          <w:b/>
          <w:sz w:val="24"/>
          <w:lang w:val="en-US"/>
        </w:rPr>
        <w:t>Figure S12</w:t>
      </w:r>
      <w:r w:rsidR="006B323D">
        <w:rPr>
          <w:rFonts w:ascii="Arial" w:hAnsi="Arial" w:cs="Arial"/>
          <w:sz w:val="24"/>
          <w:lang w:val="en-US"/>
        </w:rPr>
        <w:t>).</w:t>
      </w:r>
    </w:p>
    <w:p w14:paraId="25F87342" w14:textId="77777777" w:rsidR="00266643" w:rsidRPr="00FF5897" w:rsidRDefault="00266643" w:rsidP="00FD4D0D">
      <w:pPr>
        <w:spacing w:after="100" w:afterAutospacing="1" w:line="360" w:lineRule="auto"/>
        <w:jc w:val="both"/>
        <w:rPr>
          <w:rFonts w:ascii="Arial" w:hAnsi="Arial" w:cs="Arial"/>
          <w:sz w:val="24"/>
          <w:szCs w:val="24"/>
          <w:lang w:val="en-US"/>
        </w:rPr>
      </w:pPr>
      <w:r w:rsidRPr="00FF5897">
        <w:rPr>
          <w:rFonts w:ascii="Arial" w:hAnsi="Arial" w:cs="Arial"/>
          <w:noProof/>
          <w:sz w:val="24"/>
          <w:szCs w:val="24"/>
          <w:lang w:val="en-US"/>
        </w:rPr>
        <w:drawing>
          <wp:inline distT="0" distB="0" distL="0" distR="0" wp14:anchorId="476A839E" wp14:editId="5C4819AA">
            <wp:extent cx="5734050" cy="2676525"/>
            <wp:effectExtent l="0" t="0" r="0" b="9525"/>
            <wp:docPr id="101" name="Picture 101" descr="A picture containing text, circle,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text, circle, screenshot, design&#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050" cy="2676525"/>
                    </a:xfrm>
                    <a:prstGeom prst="rect">
                      <a:avLst/>
                    </a:prstGeom>
                    <a:noFill/>
                    <a:ln>
                      <a:noFill/>
                    </a:ln>
                  </pic:spPr>
                </pic:pic>
              </a:graphicData>
            </a:graphic>
          </wp:inline>
        </w:drawing>
      </w:r>
    </w:p>
    <w:p w14:paraId="49291E1F"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Figure S13. </w:t>
      </w:r>
      <w:r>
        <w:rPr>
          <w:rFonts w:ascii="Arial" w:hAnsi="Arial" w:cs="Arial"/>
          <w:lang w:val="en-US"/>
        </w:rPr>
        <w:t>Air brush experiment to produce heteroatom-doped carbonaceous support-carbon paper composites. Ink was existed of 3:1 isopropanol:H</w:t>
      </w:r>
      <w:r>
        <w:rPr>
          <w:rFonts w:ascii="Arial" w:hAnsi="Arial" w:cs="Arial"/>
          <w:vertAlign w:val="subscript"/>
          <w:lang w:val="en-US"/>
        </w:rPr>
        <w:t>2</w:t>
      </w:r>
      <w:r>
        <w:rPr>
          <w:rFonts w:ascii="Arial" w:hAnsi="Arial" w:cs="Arial"/>
          <w:lang w:val="en-US"/>
        </w:rPr>
        <w:t>O in case of the NCB-, NG-NPs based inks and pure H</w:t>
      </w:r>
      <w:r>
        <w:rPr>
          <w:rFonts w:ascii="Arial" w:hAnsi="Arial" w:cs="Arial"/>
          <w:vertAlign w:val="subscript"/>
          <w:lang w:val="en-US"/>
        </w:rPr>
        <w:t>2</w:t>
      </w:r>
      <w:r>
        <w:rPr>
          <w:rFonts w:ascii="Arial" w:hAnsi="Arial" w:cs="Arial"/>
          <w:lang w:val="en-US"/>
        </w:rPr>
        <w:t>O for the GO-NPs based ink to prevent flocculation. The carbon paper was heated to 80, and 100 °C, respectively to facilitate solvent evaporation. All inks were sonicated for 30 min prior to spraying.</w:t>
      </w:r>
    </w:p>
    <w:p w14:paraId="49757237"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In order to achieve homogeneous coverage of the carbonaceous heteroatom doped support NPs on the carbon paper, a loading study was performed at different mass loadings for the GO-, NG-, and NCB-NPs based catalyst support inks at 1 mg mL</w:t>
      </w:r>
      <w:r>
        <w:rPr>
          <w:rFonts w:ascii="Arial" w:hAnsi="Arial" w:cs="Arial"/>
          <w:sz w:val="24"/>
          <w:vertAlign w:val="superscript"/>
          <w:lang w:val="en-US"/>
        </w:rPr>
        <w:t xml:space="preserve">-1 </w:t>
      </w:r>
      <w:r>
        <w:rPr>
          <w:rFonts w:ascii="Arial" w:hAnsi="Arial" w:cs="Arial"/>
          <w:sz w:val="24"/>
          <w:lang w:val="en-US"/>
        </w:rPr>
        <w:t>(</w:t>
      </w:r>
      <w:r>
        <w:rPr>
          <w:rFonts w:ascii="Arial" w:hAnsi="Arial" w:cs="Arial"/>
          <w:b/>
          <w:sz w:val="24"/>
          <w:lang w:val="en-US"/>
        </w:rPr>
        <w:t>Figure S13</w:t>
      </w:r>
      <w:r>
        <w:rPr>
          <w:rFonts w:ascii="Arial" w:hAnsi="Arial" w:cs="Arial"/>
          <w:sz w:val="24"/>
          <w:lang w:val="en-US"/>
        </w:rPr>
        <w:t>).</w:t>
      </w:r>
    </w:p>
    <w:p w14:paraId="550D83B8" w14:textId="77777777" w:rsidR="00266643" w:rsidRPr="00FF5897" w:rsidRDefault="00266643" w:rsidP="00FD4D0D">
      <w:pPr>
        <w:spacing w:after="100" w:afterAutospacing="1" w:line="360" w:lineRule="auto"/>
        <w:jc w:val="both"/>
        <w:rPr>
          <w:rFonts w:ascii="Arial" w:hAnsi="Arial" w:cs="Arial"/>
          <w:sz w:val="24"/>
          <w:szCs w:val="24"/>
          <w:lang w:val="en-US"/>
        </w:rPr>
      </w:pPr>
      <w:r w:rsidRPr="00FF5897">
        <w:rPr>
          <w:rFonts w:ascii="Arial" w:hAnsi="Arial" w:cs="Arial"/>
          <w:noProof/>
          <w:sz w:val="24"/>
          <w:szCs w:val="24"/>
          <w:lang w:val="en-US"/>
        </w:rPr>
        <w:lastRenderedPageBreak/>
        <w:drawing>
          <wp:inline distT="0" distB="0" distL="0" distR="0" wp14:anchorId="02831871" wp14:editId="7A4D5E6B">
            <wp:extent cx="5734050" cy="4610100"/>
            <wp:effectExtent l="0" t="0" r="0" b="0"/>
            <wp:docPr id="100" name="Picture 100" descr="A picture containing screenshot, black and white, monochrome photography, monochr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screenshot, black and white, monochrome photography, monochrom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4050" cy="4610100"/>
                    </a:xfrm>
                    <a:prstGeom prst="rect">
                      <a:avLst/>
                    </a:prstGeom>
                    <a:noFill/>
                    <a:ln>
                      <a:noFill/>
                    </a:ln>
                  </pic:spPr>
                </pic:pic>
              </a:graphicData>
            </a:graphic>
          </wp:inline>
        </w:drawing>
      </w:r>
    </w:p>
    <w:p w14:paraId="012D8328"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Figure S14</w:t>
      </w:r>
      <w:r>
        <w:rPr>
          <w:rFonts w:ascii="Arial" w:hAnsi="Arial" w:cs="Arial"/>
          <w:lang w:val="en-US"/>
        </w:rPr>
        <w:t>. Loading study of the airbrushed heteroatom doped carbonaceous support. (A-C) SEM images of NCB-NPs coated on carbon paper at 0.3, 0.6 and 0.9 mg cm</w:t>
      </w:r>
      <w:r>
        <w:rPr>
          <w:rFonts w:ascii="Arial" w:hAnsi="Arial" w:cs="Arial"/>
          <w:vertAlign w:val="superscript"/>
          <w:lang w:val="en-US"/>
        </w:rPr>
        <w:t>-2</w:t>
      </w:r>
      <w:r>
        <w:rPr>
          <w:rFonts w:ascii="Arial" w:hAnsi="Arial" w:cs="Arial"/>
          <w:lang w:val="en-US"/>
        </w:rPr>
        <w:t>. (D-F) SEM images of NG-NPs coated on carbon paper at 0.3, 0.6 and 0.9 mg cm</w:t>
      </w:r>
      <w:r>
        <w:rPr>
          <w:rFonts w:ascii="Arial" w:hAnsi="Arial" w:cs="Arial"/>
          <w:vertAlign w:val="superscript"/>
          <w:lang w:val="en-US"/>
        </w:rPr>
        <w:t>-2</w:t>
      </w:r>
      <w:r>
        <w:rPr>
          <w:rFonts w:ascii="Arial" w:hAnsi="Arial" w:cs="Arial"/>
          <w:lang w:val="en-US"/>
        </w:rPr>
        <w:t>. (G-H) SEM images of GO-NPs coated on carbon paper at 0.3 and 0.9 mg cm</w:t>
      </w:r>
      <w:r>
        <w:rPr>
          <w:rFonts w:ascii="Arial" w:hAnsi="Arial" w:cs="Arial"/>
          <w:vertAlign w:val="superscript"/>
          <w:lang w:val="en-US"/>
        </w:rPr>
        <w:t>-2</w:t>
      </w:r>
      <w:r>
        <w:rPr>
          <w:rFonts w:ascii="Arial" w:hAnsi="Arial" w:cs="Arial"/>
          <w:lang w:val="en-US"/>
        </w:rPr>
        <w:t>. Optimal loading was achieved at 0.3 mg cm</w:t>
      </w:r>
      <w:r>
        <w:rPr>
          <w:rFonts w:ascii="Arial" w:hAnsi="Arial" w:cs="Arial"/>
          <w:vertAlign w:val="superscript"/>
          <w:lang w:val="en-US"/>
        </w:rPr>
        <w:t>-2</w:t>
      </w:r>
      <w:r>
        <w:rPr>
          <w:rFonts w:ascii="Arial" w:hAnsi="Arial" w:cs="Arial"/>
          <w:lang w:val="en-US"/>
        </w:rPr>
        <w:t xml:space="preserve"> for the GO-NPs, and 0.6 mg cm</w:t>
      </w:r>
      <w:r>
        <w:rPr>
          <w:rFonts w:ascii="Arial" w:hAnsi="Arial" w:cs="Arial"/>
          <w:vertAlign w:val="superscript"/>
          <w:lang w:val="en-US"/>
        </w:rPr>
        <w:t xml:space="preserve">-2 </w:t>
      </w:r>
      <w:r>
        <w:rPr>
          <w:rFonts w:ascii="Arial" w:hAnsi="Arial" w:cs="Arial"/>
          <w:lang w:val="en-US"/>
        </w:rPr>
        <w:t>for the NCB-, NG-NPs-based composites in that pore blockage was prevented whilst maintaining good coverage allowing for facile aerosol filtration and electrolyte penetration. All cluster immobilization experiments were performed at the optimized catalyst support loading.</w:t>
      </w:r>
    </w:p>
    <w:p w14:paraId="052C37FF" w14:textId="77777777" w:rsidR="00266643" w:rsidRPr="00FF5897" w:rsidRDefault="00266643" w:rsidP="00FD4D0D">
      <w:pPr>
        <w:spacing w:after="100" w:afterAutospacing="1" w:line="360" w:lineRule="auto"/>
        <w:jc w:val="both"/>
        <w:rPr>
          <w:rFonts w:ascii="Arial" w:hAnsi="Arial" w:cs="Arial"/>
          <w:lang w:val="en-US"/>
        </w:rPr>
      </w:pPr>
      <w:r w:rsidRPr="00FF5897">
        <w:rPr>
          <w:rFonts w:ascii="Arial" w:hAnsi="Arial" w:cs="Arial"/>
          <w:noProof/>
          <w:lang w:val="en-US"/>
        </w:rPr>
        <w:lastRenderedPageBreak/>
        <w:drawing>
          <wp:inline distT="0" distB="0" distL="0" distR="0" wp14:anchorId="0C6CE544" wp14:editId="48A41AF3">
            <wp:extent cx="5734050" cy="3248025"/>
            <wp:effectExtent l="0" t="0" r="0" b="9525"/>
            <wp:docPr id="99" name="Picture 99" descr="A picture containing screenshot, purple, colorfulness, vio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icture containing screenshot, purple, colorfulness, viole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4050" cy="3248025"/>
                    </a:xfrm>
                    <a:prstGeom prst="rect">
                      <a:avLst/>
                    </a:prstGeom>
                    <a:noFill/>
                    <a:ln>
                      <a:noFill/>
                    </a:ln>
                  </pic:spPr>
                </pic:pic>
              </a:graphicData>
            </a:graphic>
          </wp:inline>
        </w:drawing>
      </w:r>
    </w:p>
    <w:p w14:paraId="7D0C887F"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Figure S15</w:t>
      </w:r>
      <w:r>
        <w:rPr>
          <w:rFonts w:ascii="Arial" w:hAnsi="Arial" w:cs="Arial"/>
          <w:lang w:val="en-US"/>
        </w:rPr>
        <w:t xml:space="preserve">. Composition study using SEM-EDXS. (A-C) SEM images of the composite materials produced in </w:t>
      </w:r>
      <w:r>
        <w:rPr>
          <w:rFonts w:ascii="Arial" w:hAnsi="Arial" w:cs="Arial"/>
          <w:b/>
          <w:lang w:val="en-US"/>
        </w:rPr>
        <w:t>Figure S13</w:t>
      </w:r>
      <w:r>
        <w:rPr>
          <w:rFonts w:ascii="Arial" w:hAnsi="Arial" w:cs="Arial"/>
          <w:lang w:val="en-US"/>
        </w:rPr>
        <w:t>. (D-F) SEM-EDXS elemental maps of the composite materials depicted in A-C in which pixels in blue, green, magenta, and yellow depict C, N, O and S, respectively.</w:t>
      </w:r>
    </w:p>
    <w:p w14:paraId="5AAAAD6C" w14:textId="77777777" w:rsidR="00266643" w:rsidRPr="00FF5897" w:rsidRDefault="00266643" w:rsidP="00FD4D0D">
      <w:pPr>
        <w:spacing w:after="100" w:afterAutospacing="1" w:line="360" w:lineRule="auto"/>
        <w:jc w:val="both"/>
        <w:rPr>
          <w:rFonts w:ascii="Arial" w:hAnsi="Arial" w:cs="Arial"/>
          <w:b/>
          <w:sz w:val="24"/>
          <w:szCs w:val="24"/>
          <w:lang w:val="en-US"/>
        </w:rPr>
      </w:pPr>
      <w:r w:rsidRPr="00FF5897">
        <w:rPr>
          <w:rFonts w:ascii="Arial" w:hAnsi="Arial" w:cs="Arial"/>
          <w:b/>
          <w:noProof/>
          <w:sz w:val="24"/>
          <w:szCs w:val="24"/>
          <w:lang w:val="en-US"/>
        </w:rPr>
        <w:lastRenderedPageBreak/>
        <w:drawing>
          <wp:inline distT="0" distB="0" distL="0" distR="0" wp14:anchorId="60CBFD92" wp14:editId="2D34A71B">
            <wp:extent cx="5734050" cy="564832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4050" cy="5648325"/>
                    </a:xfrm>
                    <a:prstGeom prst="rect">
                      <a:avLst/>
                    </a:prstGeom>
                    <a:noFill/>
                    <a:ln>
                      <a:noFill/>
                    </a:ln>
                  </pic:spPr>
                </pic:pic>
              </a:graphicData>
            </a:graphic>
          </wp:inline>
        </w:drawing>
      </w:r>
    </w:p>
    <w:p w14:paraId="1DD82F2E" w14:textId="4DBD9E0B" w:rsidR="005E4531" w:rsidRDefault="006B323D" w:rsidP="00320FDF">
      <w:pPr>
        <w:spacing w:after="100" w:afterAutospacing="1" w:line="360" w:lineRule="auto"/>
        <w:jc w:val="both"/>
        <w:rPr>
          <w:rFonts w:ascii="Arial" w:hAnsi="Arial" w:cs="Arial"/>
          <w:sz w:val="24"/>
          <w:lang w:val="en-US"/>
        </w:rPr>
      </w:pPr>
      <w:r>
        <w:rPr>
          <w:rFonts w:ascii="Arial" w:hAnsi="Arial" w:cs="Arial"/>
          <w:b/>
          <w:lang w:val="en-US"/>
        </w:rPr>
        <w:t>Figure S16</w:t>
      </w:r>
      <w:r>
        <w:rPr>
          <w:rFonts w:ascii="Arial" w:hAnsi="Arial" w:cs="Arial"/>
          <w:lang w:val="en-US"/>
        </w:rPr>
        <w:t xml:space="preserve">. Filtration of metal oxide clusters produced via spark ablation on heteroatom doped carbonaceous support composited. Deposition time in all instances 10 hrs. (A,B) SEM image of the Cu oxide cluster coated GO- and NCB-NP composites showing no clear difference with uncoated samples in </w:t>
      </w:r>
      <w:r>
        <w:rPr>
          <w:rFonts w:ascii="Arial" w:hAnsi="Arial" w:cs="Arial"/>
          <w:b/>
          <w:lang w:val="en-US"/>
        </w:rPr>
        <w:t>Figure S13</w:t>
      </w:r>
      <w:r>
        <w:rPr>
          <w:rFonts w:ascii="Arial" w:hAnsi="Arial" w:cs="Arial"/>
          <w:lang w:val="en-US"/>
        </w:rPr>
        <w:t xml:space="preserve">. This is </w:t>
      </w:r>
      <w:r w:rsidR="002C1C6F" w:rsidRPr="00FF5897">
        <w:rPr>
          <w:rFonts w:ascii="Arial" w:hAnsi="Arial" w:cs="Arial"/>
          <w:lang w:val="en-US"/>
        </w:rPr>
        <w:t>because</w:t>
      </w:r>
      <w:r>
        <w:rPr>
          <w:rFonts w:ascii="Arial" w:hAnsi="Arial" w:cs="Arial"/>
          <w:lang w:val="en-US"/>
        </w:rPr>
        <w:t xml:space="preserve"> the cluster size is below the limit of detection of SEM. (C-D) SEM-EDXS elemental map of the Cu oxide cluster coated GO-, NCB-NP coated composites, respectively, clearly showing a homogenous Cu signal (in orange) proving the successful coating step. Ablation rate calculated mass loading of 4 ug cm</w:t>
      </w:r>
      <w:r>
        <w:rPr>
          <w:rFonts w:ascii="Arial" w:hAnsi="Arial" w:cs="Arial"/>
          <w:vertAlign w:val="superscript"/>
          <w:lang w:val="en-US"/>
        </w:rPr>
        <w:t>-2</w:t>
      </w:r>
      <w:r>
        <w:rPr>
          <w:rFonts w:ascii="Arial" w:hAnsi="Arial" w:cs="Arial"/>
          <w:lang w:val="en-US"/>
        </w:rPr>
        <w:t>. ICP-MS measured Cu mass post processing 375 ± 103 ng cm</w:t>
      </w:r>
      <w:r>
        <w:rPr>
          <w:rFonts w:ascii="Arial" w:hAnsi="Arial" w:cs="Arial"/>
          <w:vertAlign w:val="superscript"/>
          <w:lang w:val="en-US"/>
        </w:rPr>
        <w:t>-2</w:t>
      </w:r>
      <w:r>
        <w:rPr>
          <w:rFonts w:ascii="Arial" w:hAnsi="Arial" w:cs="Arial"/>
          <w:lang w:val="en-US"/>
        </w:rPr>
        <w:t xml:space="preserve">. (E-F) SEM-EDXS elemental maps of the </w:t>
      </w:r>
      <w:proofErr w:type="spellStart"/>
      <w:r>
        <w:rPr>
          <w:rFonts w:ascii="Arial" w:hAnsi="Arial" w:cs="Arial"/>
          <w:lang w:val="en-US"/>
        </w:rPr>
        <w:t>CuAg</w:t>
      </w:r>
      <w:proofErr w:type="spellEnd"/>
      <w:r>
        <w:rPr>
          <w:rFonts w:ascii="Arial" w:hAnsi="Arial" w:cs="Arial"/>
          <w:lang w:val="en-US"/>
        </w:rPr>
        <w:t xml:space="preserve"> oxide cluster coated GO- and NCB-NP coated composite materials, respectively, showing a homogeneous distribution of Cu</w:t>
      </w:r>
      <w:r>
        <w:rPr>
          <w:rFonts w:ascii="Arial" w:hAnsi="Arial" w:cs="Arial"/>
          <w:sz w:val="24"/>
          <w:lang w:val="en-US"/>
        </w:rPr>
        <w:t xml:space="preserve"> </w:t>
      </w:r>
      <w:r>
        <w:rPr>
          <w:rFonts w:ascii="Arial" w:hAnsi="Arial" w:cs="Arial"/>
          <w:lang w:val="en-US"/>
        </w:rPr>
        <w:t>and Ag indicated in orange and turquoise, respectively. Ablation rate estimated mass loading of 3 ug cm</w:t>
      </w:r>
      <w:r>
        <w:rPr>
          <w:rFonts w:ascii="Arial" w:hAnsi="Arial" w:cs="Arial"/>
          <w:vertAlign w:val="superscript"/>
          <w:lang w:val="en-US"/>
        </w:rPr>
        <w:t>-2</w:t>
      </w:r>
      <w:r>
        <w:rPr>
          <w:rFonts w:ascii="Arial" w:hAnsi="Arial" w:cs="Arial"/>
          <w:lang w:val="en-US"/>
        </w:rPr>
        <w:t>.</w:t>
      </w:r>
    </w:p>
    <w:p w14:paraId="0996BD19" w14:textId="31B19F14"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lastRenderedPageBreak/>
        <w:t>Note S</w:t>
      </w:r>
      <w:r w:rsidR="00C5328F">
        <w:rPr>
          <w:rFonts w:ascii="Arial" w:hAnsi="Arial" w:cs="Arial"/>
          <w:sz w:val="32"/>
          <w:lang w:val="en-US"/>
        </w:rPr>
        <w:t>7</w:t>
      </w:r>
      <w:r>
        <w:rPr>
          <w:rFonts w:ascii="Arial" w:hAnsi="Arial" w:cs="Arial"/>
          <w:sz w:val="32"/>
          <w:lang w:val="en-US"/>
        </w:rPr>
        <w:t>. Experimental part related to cluster characterization using XPS.</w:t>
      </w:r>
    </w:p>
    <w:p w14:paraId="76E12333" w14:textId="47E9CCE2" w:rsidR="005E4531" w:rsidRDefault="006B323D" w:rsidP="00320FDF">
      <w:pPr>
        <w:spacing w:after="100" w:afterAutospacing="1" w:line="360" w:lineRule="auto"/>
        <w:jc w:val="both"/>
        <w:rPr>
          <w:rFonts w:ascii="Arial" w:hAnsi="Arial" w:cs="Arial"/>
          <w:sz w:val="24"/>
          <w:lang w:val="en-US"/>
        </w:rPr>
      </w:pPr>
      <w:r>
        <w:rPr>
          <w:rFonts w:ascii="Arial" w:hAnsi="Arial" w:cs="Arial"/>
          <w:sz w:val="24"/>
          <w:lang w:val="en-US"/>
        </w:rPr>
        <w:t xml:space="preserve">To investigate the oxidation state of both Cu and Ag in the bimetallic clusters excluding the influence of the support we deposited an equivalent amount of </w:t>
      </w:r>
      <w:proofErr w:type="spellStart"/>
      <w:r>
        <w:rPr>
          <w:rFonts w:ascii="Arial" w:hAnsi="Arial" w:cs="Arial"/>
          <w:sz w:val="24"/>
          <w:lang w:val="en-US"/>
        </w:rPr>
        <w:t>CuAg</w:t>
      </w:r>
      <w:proofErr w:type="spellEnd"/>
      <w:r>
        <w:rPr>
          <w:rFonts w:ascii="Arial" w:hAnsi="Arial" w:cs="Arial"/>
          <w:sz w:val="24"/>
          <w:lang w:val="en-US"/>
        </w:rPr>
        <w:t xml:space="preserve"> oxide clusters as indicated in </w:t>
      </w:r>
      <w:r>
        <w:rPr>
          <w:rFonts w:ascii="Arial" w:hAnsi="Arial" w:cs="Arial"/>
          <w:b/>
          <w:sz w:val="24"/>
          <w:lang w:val="en-US"/>
        </w:rPr>
        <w:t xml:space="preserve">Figure S15 </w:t>
      </w:r>
      <w:r>
        <w:rPr>
          <w:rFonts w:ascii="Arial" w:hAnsi="Arial" w:cs="Arial"/>
          <w:sz w:val="24"/>
          <w:lang w:val="en-US"/>
        </w:rPr>
        <w:t>on pure carbon paper and performed XPS (</w:t>
      </w:r>
      <w:r>
        <w:rPr>
          <w:rFonts w:ascii="Arial" w:hAnsi="Arial" w:cs="Arial"/>
          <w:b/>
          <w:sz w:val="24"/>
          <w:lang w:val="en-US"/>
        </w:rPr>
        <w:t>Figure S16</w:t>
      </w:r>
      <w:r>
        <w:rPr>
          <w:rFonts w:ascii="Arial" w:hAnsi="Arial" w:cs="Arial"/>
          <w:sz w:val="24"/>
          <w:lang w:val="en-US"/>
        </w:rPr>
        <w:t xml:space="preserve">). To determine the oxidation state after deposition, we performed XPS measurements on the composite 2 </w:t>
      </w:r>
      <w:proofErr w:type="spellStart"/>
      <w:r>
        <w:rPr>
          <w:rFonts w:ascii="Arial" w:hAnsi="Arial" w:cs="Arial"/>
          <w:sz w:val="24"/>
          <w:lang w:val="en-US"/>
        </w:rPr>
        <w:t>hrs</w:t>
      </w:r>
      <w:proofErr w:type="spellEnd"/>
      <w:r>
        <w:rPr>
          <w:rFonts w:ascii="Arial" w:hAnsi="Arial" w:cs="Arial"/>
          <w:sz w:val="24"/>
          <w:lang w:val="en-US"/>
        </w:rPr>
        <w:t xml:space="preserve"> (directly) after production (</w:t>
      </w:r>
      <w:r>
        <w:rPr>
          <w:rFonts w:ascii="Arial" w:hAnsi="Arial" w:cs="Arial"/>
          <w:b/>
          <w:sz w:val="24"/>
          <w:lang w:val="en-US"/>
        </w:rPr>
        <w:t>Figure S16A-D</w:t>
      </w:r>
      <w:r>
        <w:rPr>
          <w:rFonts w:ascii="Arial" w:hAnsi="Arial" w:cs="Arial"/>
          <w:sz w:val="24"/>
          <w:lang w:val="en-US"/>
        </w:rPr>
        <w:t>) and after 7 days (</w:t>
      </w:r>
      <w:r>
        <w:rPr>
          <w:rFonts w:ascii="Arial" w:hAnsi="Arial" w:cs="Arial"/>
          <w:b/>
          <w:sz w:val="24"/>
          <w:lang w:val="en-US"/>
        </w:rPr>
        <w:t>Figure S16E-H</w:t>
      </w:r>
      <w:r>
        <w:rPr>
          <w:rFonts w:ascii="Arial" w:hAnsi="Arial" w:cs="Arial"/>
          <w:sz w:val="24"/>
          <w:lang w:val="en-US"/>
        </w:rPr>
        <w:t xml:space="preserve">). Fitting of the Cu 2p and Cu LMM Auger spectrum suggested the presence of both </w:t>
      </w:r>
      <w:proofErr w:type="spellStart"/>
      <w:r>
        <w:rPr>
          <w:rFonts w:ascii="Arial" w:hAnsi="Arial" w:cs="Arial"/>
          <w:sz w:val="24"/>
          <w:lang w:val="en-US"/>
        </w:rPr>
        <w:t>CuO</w:t>
      </w:r>
      <w:proofErr w:type="spellEnd"/>
      <w:r>
        <w:rPr>
          <w:rFonts w:ascii="Arial" w:hAnsi="Arial" w:cs="Arial"/>
          <w:sz w:val="24"/>
          <w:lang w:val="en-US"/>
        </w:rPr>
        <w:t xml:space="preserve"> as well as Cu(OH)</w:t>
      </w:r>
      <w:r>
        <w:rPr>
          <w:rFonts w:ascii="Arial" w:hAnsi="Arial" w:cs="Arial"/>
          <w:sz w:val="24"/>
          <w:vertAlign w:val="subscript"/>
          <w:lang w:val="en-US"/>
        </w:rPr>
        <w:t>2</w:t>
      </w:r>
      <w:r>
        <w:rPr>
          <w:rFonts w:ascii="Arial" w:hAnsi="Arial" w:cs="Arial"/>
          <w:sz w:val="24"/>
          <w:lang w:val="en-US"/>
        </w:rPr>
        <w:t xml:space="preserve"> with the </w:t>
      </w:r>
      <w:proofErr w:type="spellStart"/>
      <w:r>
        <w:rPr>
          <w:rFonts w:ascii="Arial" w:hAnsi="Arial" w:cs="Arial"/>
          <w:sz w:val="24"/>
          <w:lang w:val="en-US"/>
        </w:rPr>
        <w:t>CuO</w:t>
      </w:r>
      <w:proofErr w:type="spellEnd"/>
      <w:r>
        <w:rPr>
          <w:rFonts w:ascii="Arial" w:hAnsi="Arial" w:cs="Arial"/>
          <w:sz w:val="24"/>
          <w:lang w:val="en-US"/>
        </w:rPr>
        <w:t xml:space="preserve"> the majority species at no less than 65 at.%. Determination of the Auger parameter for Ag based on the MNN Auger spectrum of Ag indicated Ag</w:t>
      </w:r>
      <w:r>
        <w:rPr>
          <w:rFonts w:ascii="Arial" w:hAnsi="Arial" w:cs="Arial"/>
          <w:sz w:val="24"/>
          <w:vertAlign w:val="subscript"/>
          <w:lang w:val="en-US"/>
        </w:rPr>
        <w:t>2</w:t>
      </w:r>
      <w:r>
        <w:rPr>
          <w:rFonts w:ascii="Arial" w:hAnsi="Arial" w:cs="Arial"/>
          <w:sz w:val="24"/>
          <w:lang w:val="en-US"/>
        </w:rPr>
        <w:t>O as the produced species.</w:t>
      </w:r>
      <w:r w:rsidR="000F395C">
        <w:rPr>
          <w:rFonts w:ascii="Arial" w:hAnsi="Arial" w:cs="Arial"/>
          <w:sz w:val="24"/>
          <w:lang w:val="en-US"/>
        </w:rPr>
        <w:fldChar w:fldCharType="begin"/>
      </w:r>
      <w:r w:rsidR="000F395C">
        <w:rPr>
          <w:rFonts w:ascii="Arial" w:hAnsi="Arial" w:cs="Arial"/>
          <w:sz w:val="24"/>
          <w:lang w:val="en-US"/>
        </w:rPr>
        <w:instrText xml:space="preserve"> ADDIN ZOTERO_ITEM CSL_CITATION {"citationID":"FqzNzWC5","properties":{"formattedCitation":"\\super 22\\nosupersub{}","plainCitation":"22","noteIndex":0},"citationItems":[{"id":4709,"uris":["http://zotero.org/users/4941048/items/GN9THD2C"],"itemData":{"id":4709,"type":"article-journal","abstract":"Silver ion-exchanged soda-glass samples as well as various postannealed samples were characterized using X-ray photoelectron spectroscopy (XPS) to find out the chemical states of silver in these samples. The analysis by XPS seems to be not enough to distinguish various chemical states of silver, where, shift in binding energies due to oxidation are less or, comparable to that of overall spectrometer resolutions. To overcome this experimental constraint, here we propose a complete and novel method of chemical analysis making use of the associated Auger transitions and finding the modified Auger parameters of concerned samples. Detail lineshape analysis of the Auger transitions in silver helps further to differentiate the minute variances in the local electronic structure. The analysis seems to provide means to identify intricate chemical phases, which are quite tricky to conclude from other analytical experiments.","container-title":"Journal of Electron Spectroscopy and Related Phenomena","DOI":"10.1016/j.elspec.2006.03.008","ISSN":"0368-2048","issue":"1","journalAbbreviation":"Journal of Electron Spectroscopy and Related Phenomena","page":"91-95","source":"ScienceDirect","title":"Electron spectroscopic analysis of silver nanoparticles in a soda-glass matrix","volume":"152","author":[{"family":"Bera","given":"Santanu"},{"family":"Gangopadhyay","given":"P."},{"family":"Nair","given":"K. G. M."},{"family":"Panigrahi","given":"B. K."},{"family":"Narasimhan","given":"S. V."}],"issued":{"date-parts":[["2006",6,1]]}}}],"schema":"https://github.com/citation-style-language/schema/raw/master/csl-citation.json"} </w:instrText>
      </w:r>
      <w:r w:rsidR="000F395C">
        <w:rPr>
          <w:rFonts w:ascii="Arial" w:hAnsi="Arial" w:cs="Arial"/>
          <w:sz w:val="24"/>
          <w:lang w:val="en-US"/>
        </w:rPr>
        <w:fldChar w:fldCharType="separate"/>
      </w:r>
      <w:r w:rsidR="000F395C" w:rsidRPr="000F395C">
        <w:rPr>
          <w:rFonts w:ascii="Arial" w:hAnsi="Arial" w:cs="Arial"/>
          <w:sz w:val="24"/>
          <w:szCs w:val="24"/>
          <w:vertAlign w:val="superscript"/>
        </w:rPr>
        <w:t>22</w:t>
      </w:r>
      <w:r w:rsidR="000F395C">
        <w:rPr>
          <w:rFonts w:ascii="Arial" w:hAnsi="Arial" w:cs="Arial"/>
          <w:sz w:val="24"/>
          <w:lang w:val="en-US"/>
        </w:rPr>
        <w:fldChar w:fldCharType="end"/>
      </w:r>
      <w:r>
        <w:rPr>
          <w:rFonts w:ascii="Arial" w:hAnsi="Arial" w:cs="Arial"/>
          <w:sz w:val="24"/>
          <w:lang w:val="en-US"/>
        </w:rPr>
        <w:t xml:space="preserve"> The high relative presence of -OH species in Cu suggest the oxidation of the clusters had already happened prior to deposition meaning in the aerosol. This can be understood from the following. In air, ~21% is O</w:t>
      </w:r>
      <w:r>
        <w:rPr>
          <w:rFonts w:ascii="Arial" w:hAnsi="Arial" w:cs="Arial"/>
          <w:sz w:val="24"/>
          <w:vertAlign w:val="subscript"/>
          <w:lang w:val="en-US"/>
        </w:rPr>
        <w:t>2</w:t>
      </w:r>
      <w:r>
        <w:rPr>
          <w:rFonts w:ascii="Arial" w:hAnsi="Arial" w:cs="Arial"/>
          <w:sz w:val="24"/>
          <w:lang w:val="en-US"/>
        </w:rPr>
        <w:t xml:space="preserve"> and ~78% N</w:t>
      </w:r>
      <w:r>
        <w:rPr>
          <w:rFonts w:ascii="Arial" w:hAnsi="Arial" w:cs="Arial"/>
          <w:sz w:val="24"/>
          <w:vertAlign w:val="subscript"/>
          <w:lang w:val="en-US"/>
        </w:rPr>
        <w:t>2</w:t>
      </w:r>
      <w:r>
        <w:rPr>
          <w:rFonts w:ascii="Arial" w:hAnsi="Arial" w:cs="Arial"/>
          <w:sz w:val="24"/>
          <w:lang w:val="en-US"/>
        </w:rPr>
        <w:t>. This, leaves &lt;1 % for H</w:t>
      </w:r>
      <w:r>
        <w:rPr>
          <w:rFonts w:ascii="Arial" w:hAnsi="Arial" w:cs="Arial"/>
          <w:sz w:val="24"/>
          <w:vertAlign w:val="subscript"/>
          <w:lang w:val="en-US"/>
        </w:rPr>
        <w:t>2</w:t>
      </w:r>
      <w:r>
        <w:rPr>
          <w:rFonts w:ascii="Arial" w:hAnsi="Arial" w:cs="Arial"/>
          <w:sz w:val="24"/>
          <w:lang w:val="en-US"/>
        </w:rPr>
        <w:t>O. Instead, in Ar, the relative ratio between O</w:t>
      </w:r>
      <w:r>
        <w:rPr>
          <w:rFonts w:ascii="Arial" w:hAnsi="Arial" w:cs="Arial"/>
          <w:sz w:val="24"/>
          <w:vertAlign w:val="subscript"/>
          <w:lang w:val="en-US"/>
        </w:rPr>
        <w:t>2</w:t>
      </w:r>
      <w:r>
        <w:rPr>
          <w:rFonts w:ascii="Arial" w:hAnsi="Arial" w:cs="Arial"/>
          <w:sz w:val="24"/>
          <w:lang w:val="en-US"/>
        </w:rPr>
        <w:t xml:space="preserve"> and H</w:t>
      </w:r>
      <w:r>
        <w:rPr>
          <w:rFonts w:ascii="Arial" w:hAnsi="Arial" w:cs="Arial"/>
          <w:sz w:val="24"/>
          <w:vertAlign w:val="subscript"/>
          <w:lang w:val="en-US"/>
        </w:rPr>
        <w:t>2</w:t>
      </w:r>
      <w:r>
        <w:rPr>
          <w:rFonts w:ascii="Arial" w:hAnsi="Arial" w:cs="Arial"/>
          <w:sz w:val="24"/>
          <w:lang w:val="en-US"/>
        </w:rPr>
        <w:t xml:space="preserve">O is ~1:1, explaining the relatively high OH content in the clusters. </w:t>
      </w:r>
    </w:p>
    <w:p w14:paraId="28AAF400" w14:textId="3EDDB82E" w:rsidR="005E4531" w:rsidRDefault="00BE0B6E" w:rsidP="00320FDF">
      <w:pPr>
        <w:spacing w:after="100" w:afterAutospacing="1" w:line="360" w:lineRule="auto"/>
        <w:jc w:val="both"/>
        <w:rPr>
          <w:rFonts w:ascii="Arial" w:hAnsi="Arial" w:cs="Arial"/>
          <w:sz w:val="24"/>
          <w:lang w:val="en-US"/>
        </w:rPr>
      </w:pPr>
      <w:r>
        <w:rPr>
          <w:noProof/>
        </w:rPr>
        <w:lastRenderedPageBreak/>
        <w:drawing>
          <wp:inline distT="0" distB="0" distL="0" distR="0" wp14:anchorId="5AEF87DD" wp14:editId="07C67961">
            <wp:extent cx="5731510" cy="8079740"/>
            <wp:effectExtent l="0" t="0" r="2540" b="0"/>
            <wp:docPr id="860571160" name="Picture 1" descr="A group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71160" name="Picture 1" descr="A group of different colored lines&#10;&#10;Description automatically generated with medium confidence"/>
                    <pic:cNvPicPr/>
                  </pic:nvPicPr>
                  <pic:blipFill>
                    <a:blip r:embed="rId27"/>
                    <a:stretch>
                      <a:fillRect/>
                    </a:stretch>
                  </pic:blipFill>
                  <pic:spPr>
                    <a:xfrm>
                      <a:off x="0" y="0"/>
                      <a:ext cx="5731510" cy="8079740"/>
                    </a:xfrm>
                    <a:prstGeom prst="rect">
                      <a:avLst/>
                    </a:prstGeom>
                  </pic:spPr>
                </pic:pic>
              </a:graphicData>
            </a:graphic>
          </wp:inline>
        </w:drawing>
      </w:r>
      <w:r w:rsidR="006B323D">
        <w:rPr>
          <w:rFonts w:ascii="Arial" w:hAnsi="Arial" w:cs="Arial"/>
          <w:b/>
          <w:lang w:val="en-US"/>
        </w:rPr>
        <w:t>Figure S17</w:t>
      </w:r>
      <w:r w:rsidR="006B323D">
        <w:rPr>
          <w:rFonts w:ascii="Arial" w:hAnsi="Arial" w:cs="Arial"/>
          <w:lang w:val="en-US"/>
        </w:rPr>
        <w:t xml:space="preserve">. XPS study of the oxidation state of the </w:t>
      </w:r>
      <w:proofErr w:type="spellStart"/>
      <w:r w:rsidR="006B323D">
        <w:rPr>
          <w:rFonts w:ascii="Arial" w:hAnsi="Arial" w:cs="Arial"/>
          <w:lang w:val="en-US"/>
        </w:rPr>
        <w:t>CuAg</w:t>
      </w:r>
      <w:proofErr w:type="spellEnd"/>
      <w:r w:rsidR="006B323D">
        <w:rPr>
          <w:rFonts w:ascii="Arial" w:hAnsi="Arial" w:cs="Arial"/>
          <w:lang w:val="en-US"/>
        </w:rPr>
        <w:t xml:space="preserve"> oxide clusters deposited on carbon paper, 2 </w:t>
      </w:r>
      <w:proofErr w:type="spellStart"/>
      <w:r w:rsidR="006B323D">
        <w:rPr>
          <w:rFonts w:ascii="Arial" w:hAnsi="Arial" w:cs="Arial"/>
          <w:lang w:val="en-US"/>
        </w:rPr>
        <w:t>hrs</w:t>
      </w:r>
      <w:proofErr w:type="spellEnd"/>
      <w:r w:rsidR="006B323D">
        <w:rPr>
          <w:rFonts w:ascii="Arial" w:hAnsi="Arial" w:cs="Arial"/>
          <w:lang w:val="en-US"/>
        </w:rPr>
        <w:t xml:space="preserve"> (A-D) and 7 days after deposition (E-H). (A) Cu 2p spectrum of the </w:t>
      </w:r>
      <w:proofErr w:type="spellStart"/>
      <w:r w:rsidR="006B323D">
        <w:rPr>
          <w:rFonts w:ascii="Arial" w:hAnsi="Arial" w:cs="Arial"/>
          <w:lang w:val="en-US"/>
        </w:rPr>
        <w:t>CuAg</w:t>
      </w:r>
      <w:proofErr w:type="spellEnd"/>
      <w:r w:rsidR="006B323D">
        <w:rPr>
          <w:rFonts w:ascii="Arial" w:hAnsi="Arial" w:cs="Arial"/>
          <w:lang w:val="en-US"/>
        </w:rPr>
        <w:t xml:space="preserve"> oxide clusters. Fitting of the 2p spectrum suggests a combination of both </w:t>
      </w:r>
      <w:proofErr w:type="spellStart"/>
      <w:r w:rsidR="006B323D">
        <w:rPr>
          <w:rFonts w:ascii="Arial" w:hAnsi="Arial" w:cs="Arial"/>
          <w:lang w:val="en-US"/>
        </w:rPr>
        <w:t>CuO</w:t>
      </w:r>
      <w:proofErr w:type="spellEnd"/>
      <w:r w:rsidR="006B323D">
        <w:rPr>
          <w:rFonts w:ascii="Arial" w:hAnsi="Arial" w:cs="Arial"/>
          <w:lang w:val="en-US"/>
        </w:rPr>
        <w:t xml:space="preserve"> (933 eV) and Cu(OH)</w:t>
      </w:r>
      <w:r w:rsidR="006B323D">
        <w:rPr>
          <w:rFonts w:ascii="Arial" w:hAnsi="Arial" w:cs="Arial"/>
          <w:vertAlign w:val="subscript"/>
          <w:lang w:val="en-US"/>
        </w:rPr>
        <w:t>2</w:t>
      </w:r>
      <w:r w:rsidR="006B323D">
        <w:rPr>
          <w:rFonts w:ascii="Arial" w:hAnsi="Arial" w:cs="Arial"/>
          <w:lang w:val="en-US"/>
        </w:rPr>
        <w:t xml:space="preserve"> </w:t>
      </w:r>
      <w:r w:rsidR="006B323D">
        <w:rPr>
          <w:rFonts w:ascii="Arial" w:hAnsi="Arial" w:cs="Arial"/>
          <w:lang w:val="en-US"/>
        </w:rPr>
        <w:lastRenderedPageBreak/>
        <w:t xml:space="preserve">(935 eV) species, with the relative composition of </w:t>
      </w:r>
      <w:proofErr w:type="spellStart"/>
      <w:r w:rsidR="006B323D">
        <w:rPr>
          <w:rFonts w:ascii="Arial" w:hAnsi="Arial" w:cs="Arial"/>
          <w:lang w:val="en-US"/>
        </w:rPr>
        <w:t>CuO</w:t>
      </w:r>
      <w:proofErr w:type="spellEnd"/>
      <w:r w:rsidR="006B323D">
        <w:rPr>
          <w:rFonts w:ascii="Arial" w:hAnsi="Arial" w:cs="Arial"/>
          <w:lang w:val="en-US"/>
        </w:rPr>
        <w:t xml:space="preserve"> between 65-75 at.% and 25-35 at.% for Cu(OH)</w:t>
      </w:r>
      <w:r w:rsidR="006B323D">
        <w:rPr>
          <w:rFonts w:ascii="Arial" w:hAnsi="Arial" w:cs="Arial"/>
          <w:vertAlign w:val="subscript"/>
          <w:lang w:val="en-US"/>
        </w:rPr>
        <w:t>2</w:t>
      </w:r>
      <w:r w:rsidR="006B323D">
        <w:rPr>
          <w:rFonts w:ascii="Arial" w:hAnsi="Arial" w:cs="Arial"/>
          <w:lang w:val="en-US"/>
        </w:rPr>
        <w:t xml:space="preserve">. (B) Ag 3d spectrum showing no loss feature. From the 3d spectrum alone, it is not possible to determine the oxidation state of Ag. (C) Cu LMM Auger spectrum showing a combination of the </w:t>
      </w:r>
      <w:r w:rsidR="002F4E38" w:rsidRPr="00FF5897">
        <w:rPr>
          <w:rFonts w:ascii="Arial" w:hAnsi="Arial" w:cs="Arial"/>
          <w:lang w:val="en-US"/>
        </w:rPr>
        <w:t>Ag</w:t>
      </w:r>
      <w:r w:rsidR="002C1C6F">
        <w:rPr>
          <w:rFonts w:ascii="Arial" w:hAnsi="Arial" w:cs="Arial"/>
          <w:lang w:val="en-US"/>
        </w:rPr>
        <w:t xml:space="preserve"> </w:t>
      </w:r>
      <w:r w:rsidR="002F4E38" w:rsidRPr="00FF5897">
        <w:rPr>
          <w:rFonts w:ascii="Arial" w:hAnsi="Arial" w:cs="Arial"/>
          <w:lang w:val="en-US"/>
        </w:rPr>
        <w:t>3p3</w:t>
      </w:r>
      <w:r w:rsidR="002C1C6F">
        <w:rPr>
          <w:rFonts w:ascii="Arial" w:hAnsi="Arial" w:cs="Arial"/>
          <w:lang w:val="en-US"/>
        </w:rPr>
        <w:t>/2</w:t>
      </w:r>
      <w:r w:rsidR="006B323D">
        <w:rPr>
          <w:rFonts w:ascii="Arial" w:hAnsi="Arial" w:cs="Arial"/>
          <w:lang w:val="en-US"/>
        </w:rPr>
        <w:t xml:space="preserve"> peak and the Cu LMM Auger peak. Position of the Cu Auger peak estimated at 917 eV through a fit. (D) Ag Auger spectrum showing the two MNN Ag peaks. The peak position at 356 eV used to determine the Auger parameter. Auger parameter of Ag of 724</w:t>
      </w:r>
      <w:r w:rsidR="002C1C6F">
        <w:rPr>
          <w:rFonts w:ascii="Arial" w:hAnsi="Arial" w:cs="Arial"/>
          <w:lang w:val="en-US"/>
        </w:rPr>
        <w:t xml:space="preserve"> eV</w:t>
      </w:r>
      <w:r w:rsidR="006B323D">
        <w:rPr>
          <w:rFonts w:ascii="Arial" w:hAnsi="Arial" w:cs="Arial"/>
          <w:lang w:val="en-US"/>
        </w:rPr>
        <w:t xml:space="preserve">, which is much lower than metallic Ag proving the oxidized state of Ag after deposition. (E) Cu 2p spectrum of the </w:t>
      </w:r>
      <w:proofErr w:type="spellStart"/>
      <w:r w:rsidR="006B323D">
        <w:rPr>
          <w:rFonts w:ascii="Arial" w:hAnsi="Arial" w:cs="Arial"/>
          <w:lang w:val="en-US"/>
        </w:rPr>
        <w:t>CuAg</w:t>
      </w:r>
      <w:proofErr w:type="spellEnd"/>
      <w:r w:rsidR="006B323D">
        <w:rPr>
          <w:rFonts w:ascii="Arial" w:hAnsi="Arial" w:cs="Arial"/>
          <w:lang w:val="en-US"/>
        </w:rPr>
        <w:t xml:space="preserve"> oxide clusters 7 days after production. (F) Ag 3d spectrum</w:t>
      </w:r>
      <w:r w:rsidR="006B323D">
        <w:rPr>
          <w:rFonts w:ascii="Arial" w:hAnsi="Arial" w:cs="Arial"/>
          <w:sz w:val="24"/>
          <w:lang w:val="en-US"/>
        </w:rPr>
        <w:t xml:space="preserve"> </w:t>
      </w:r>
      <w:r w:rsidR="006B323D">
        <w:rPr>
          <w:rFonts w:ascii="Arial" w:hAnsi="Arial" w:cs="Arial"/>
          <w:lang w:val="en-US"/>
        </w:rPr>
        <w:t xml:space="preserve">7 days after production showing again no loss feature. (G) Cu LMM Auger spectrum again showing the presence of the </w:t>
      </w:r>
      <w:r w:rsidR="00EA34E7" w:rsidRPr="00FF5897">
        <w:rPr>
          <w:rFonts w:ascii="Arial" w:hAnsi="Arial" w:cs="Arial"/>
          <w:lang w:val="en-US"/>
        </w:rPr>
        <w:t>Ag</w:t>
      </w:r>
      <w:r w:rsidR="002C1C6F">
        <w:rPr>
          <w:rFonts w:ascii="Arial" w:hAnsi="Arial" w:cs="Arial"/>
          <w:lang w:val="en-US"/>
        </w:rPr>
        <w:t xml:space="preserve"> </w:t>
      </w:r>
      <w:r w:rsidR="00EA34E7" w:rsidRPr="00FF5897">
        <w:rPr>
          <w:rFonts w:ascii="Arial" w:hAnsi="Arial" w:cs="Arial"/>
          <w:lang w:val="en-US"/>
        </w:rPr>
        <w:t>3p</w:t>
      </w:r>
      <w:r w:rsidR="008F3FF5" w:rsidRPr="00FF5897">
        <w:rPr>
          <w:rFonts w:ascii="Arial" w:hAnsi="Arial" w:cs="Arial"/>
          <w:lang w:val="en-US"/>
        </w:rPr>
        <w:t>3</w:t>
      </w:r>
      <w:r w:rsidR="002C1C6F">
        <w:rPr>
          <w:rFonts w:ascii="Arial" w:hAnsi="Arial" w:cs="Arial"/>
          <w:lang w:val="en-US"/>
        </w:rPr>
        <w:t>/2</w:t>
      </w:r>
      <w:r w:rsidR="006B323D">
        <w:rPr>
          <w:rFonts w:ascii="Arial" w:hAnsi="Arial" w:cs="Arial"/>
          <w:lang w:val="en-US"/>
        </w:rPr>
        <w:t xml:space="preserve"> peak. (H) Ag MNN Auger spectrum with the Auger parameter estimated at 718 eV confirming the oxidized state of Ag.</w:t>
      </w:r>
    </w:p>
    <w:p w14:paraId="415F7213" w14:textId="77777777" w:rsidR="005E4531" w:rsidRDefault="006B323D" w:rsidP="00320FDF">
      <w:pPr>
        <w:spacing w:after="100" w:afterAutospacing="1" w:line="360" w:lineRule="auto"/>
        <w:jc w:val="both"/>
        <w:rPr>
          <w:rFonts w:ascii="Arial" w:hAnsi="Arial" w:cs="Arial"/>
        </w:rPr>
      </w:pPr>
      <w:r>
        <w:rPr>
          <w:rFonts w:ascii="Arial" w:hAnsi="Arial" w:cs="Arial"/>
          <w:b/>
        </w:rPr>
        <w:t>Table S</w:t>
      </w:r>
      <w:r>
        <w:rPr>
          <w:rFonts w:ascii="Arial" w:hAnsi="Arial" w:cs="Arial"/>
          <w:b/>
          <w:lang w:val="en-US"/>
        </w:rPr>
        <w:t>2</w:t>
      </w:r>
      <w:r>
        <w:rPr>
          <w:rFonts w:ascii="Arial" w:hAnsi="Arial" w:cs="Arial"/>
          <w:b/>
        </w:rPr>
        <w:t xml:space="preserve">. </w:t>
      </w:r>
      <w:r>
        <w:rPr>
          <w:rFonts w:ascii="Arial" w:hAnsi="Arial" w:cs="Arial"/>
          <w:lang w:val="en-US"/>
        </w:rPr>
        <w:t xml:space="preserve">Composition of the </w:t>
      </w:r>
      <w:proofErr w:type="spellStart"/>
      <w:r>
        <w:rPr>
          <w:rFonts w:ascii="Arial" w:hAnsi="Arial" w:cs="Arial"/>
          <w:lang w:val="en-US"/>
        </w:rPr>
        <w:t>CuAgO</w:t>
      </w:r>
      <w:proofErr w:type="spellEnd"/>
      <w:r>
        <w:rPr>
          <w:rFonts w:ascii="Arial" w:hAnsi="Arial" w:cs="Arial"/>
          <w:lang w:val="en-US"/>
        </w:rPr>
        <w:t xml:space="preserve"> clusters as deposited on pure carbon paper (</w:t>
      </w:r>
      <w:r>
        <w:rPr>
          <w:rFonts w:ascii="Arial" w:hAnsi="Arial" w:cs="Arial"/>
          <w:b/>
          <w:lang w:val="en-US"/>
        </w:rPr>
        <w:t>Figure S16</w:t>
      </w:r>
      <w:r>
        <w:rPr>
          <w:rFonts w:ascii="Arial" w:hAnsi="Arial" w:cs="Arial"/>
          <w:lang w:val="en-US"/>
        </w:rPr>
        <w:t>) containing two modes of particles: clusters of ~1.5 nm and particles of ~9 nm (</w:t>
      </w:r>
      <w:r>
        <w:rPr>
          <w:rFonts w:ascii="Arial" w:hAnsi="Arial" w:cs="Arial"/>
          <w:b/>
          <w:lang w:val="en-US"/>
        </w:rPr>
        <w:t>Figure S9</w:t>
      </w:r>
      <w:r>
        <w:rPr>
          <w:rFonts w:ascii="Arial" w:hAnsi="Arial" w:cs="Arial"/>
          <w:lang w:val="en-US"/>
        </w:rPr>
        <w:t>). XPS surface composition and the weighted STEM-EDX composition (Cu</w:t>
      </w:r>
      <w:r>
        <w:rPr>
          <w:rFonts w:ascii="Arial" w:hAnsi="Arial" w:cs="Arial"/>
          <w:vertAlign w:val="subscript"/>
          <w:lang w:val="en-US"/>
        </w:rPr>
        <w:t>84</w:t>
      </w:r>
      <w:r>
        <w:rPr>
          <w:rFonts w:ascii="Arial" w:hAnsi="Arial" w:cs="Arial"/>
          <w:lang w:val="en-US"/>
        </w:rPr>
        <w:t>Ag</w:t>
      </w:r>
      <w:r>
        <w:rPr>
          <w:rFonts w:ascii="Arial" w:hAnsi="Arial" w:cs="Arial"/>
          <w:vertAlign w:val="subscript"/>
          <w:lang w:val="en-US"/>
        </w:rPr>
        <w:t>16</w:t>
      </w:r>
      <w:r>
        <w:rPr>
          <w:rFonts w:ascii="Arial" w:hAnsi="Arial" w:cs="Arial"/>
          <w:lang w:val="en-US"/>
        </w:rPr>
        <w:t xml:space="preserve"> and Ag</w:t>
      </w:r>
      <w:r>
        <w:rPr>
          <w:rFonts w:ascii="Arial" w:hAnsi="Arial" w:cs="Arial"/>
          <w:vertAlign w:val="subscript"/>
          <w:lang w:val="en-US"/>
        </w:rPr>
        <w:t>73</w:t>
      </w:r>
      <w:r>
        <w:rPr>
          <w:rFonts w:ascii="Arial" w:hAnsi="Arial" w:cs="Arial"/>
          <w:lang w:val="en-US"/>
        </w:rPr>
        <w:t>Cu</w:t>
      </w:r>
      <w:r>
        <w:rPr>
          <w:rFonts w:ascii="Arial" w:hAnsi="Arial" w:cs="Arial"/>
          <w:vertAlign w:val="subscript"/>
          <w:lang w:val="en-US"/>
        </w:rPr>
        <w:t>27</w:t>
      </w:r>
      <w:r>
        <w:rPr>
          <w:rFonts w:ascii="Arial" w:hAnsi="Arial" w:cs="Arial"/>
          <w:lang w:val="en-US"/>
        </w:rPr>
        <w:t>, 132:1) shows matching results with &lt;5% error showing the extreme conformity of the particle beam produced with the spark.</w:t>
      </w:r>
    </w:p>
    <w:tbl>
      <w:tblPr>
        <w:tblStyle w:val="PlainTable2"/>
        <w:tblW w:w="5143" w:type="dxa"/>
        <w:jc w:val="center"/>
        <w:tblLook w:val="0420" w:firstRow="1" w:lastRow="0" w:firstColumn="0" w:lastColumn="0" w:noHBand="0" w:noVBand="1"/>
      </w:tblPr>
      <w:tblGrid>
        <w:gridCol w:w="2201"/>
        <w:gridCol w:w="2474"/>
        <w:gridCol w:w="468"/>
      </w:tblGrid>
      <w:tr w:rsidR="005E4531" w14:paraId="3B9850E3" w14:textId="77777777" w:rsidTr="00320FDF">
        <w:trPr>
          <w:cnfStyle w:val="100000000000" w:firstRow="1" w:lastRow="0" w:firstColumn="0" w:lastColumn="0" w:oddVBand="0" w:evenVBand="0" w:oddHBand="0" w:evenHBand="0" w:firstRowFirstColumn="0" w:firstRowLastColumn="0" w:lastRowFirstColumn="0" w:lastRowLastColumn="0"/>
          <w:trHeight w:val="419"/>
          <w:jc w:val="center"/>
        </w:trPr>
        <w:tc>
          <w:tcPr>
            <w:tcW w:w="0" w:type="dxa"/>
            <w:hideMark/>
          </w:tcPr>
          <w:p w14:paraId="05A82716" w14:textId="77777777" w:rsidR="005E4531" w:rsidRDefault="006B323D" w:rsidP="00320FDF">
            <w:pPr>
              <w:spacing w:after="100" w:afterAutospacing="1" w:line="360" w:lineRule="auto"/>
              <w:jc w:val="both"/>
              <w:rPr>
                <w:rFonts w:ascii="Arial" w:hAnsi="Arial" w:cs="Arial"/>
                <w:sz w:val="24"/>
              </w:rPr>
            </w:pPr>
            <w:proofErr w:type="spellStart"/>
            <w:r w:rsidRPr="009C7E3E">
              <w:rPr>
                <w:rFonts w:ascii="Arial" w:hAnsi="Arial"/>
                <w:sz w:val="24"/>
              </w:rPr>
              <w:t>CuAgO</w:t>
            </w:r>
            <w:proofErr w:type="spellEnd"/>
            <w:r w:rsidRPr="009C7E3E">
              <w:rPr>
                <w:rFonts w:ascii="Arial" w:hAnsi="Arial"/>
                <w:sz w:val="24"/>
              </w:rPr>
              <w:t xml:space="preserve"> clusters </w:t>
            </w:r>
          </w:p>
          <w:p w14:paraId="1EF024DA" w14:textId="77777777" w:rsidR="005E4531" w:rsidRDefault="006B323D" w:rsidP="00320FDF">
            <w:pPr>
              <w:spacing w:after="100" w:afterAutospacing="1" w:line="360" w:lineRule="auto"/>
              <w:jc w:val="both"/>
              <w:rPr>
                <w:rFonts w:ascii="Arial" w:hAnsi="Arial" w:cs="Arial"/>
                <w:sz w:val="24"/>
                <w:vertAlign w:val="subscript"/>
              </w:rPr>
            </w:pPr>
            <w:r w:rsidRPr="009C7E3E">
              <w:rPr>
                <w:rFonts w:ascii="Arial" w:hAnsi="Arial"/>
                <w:sz w:val="24"/>
              </w:rPr>
              <w:t xml:space="preserve">4 </w:t>
            </w:r>
            <w:proofErr w:type="spellStart"/>
            <w:r w:rsidRPr="009C7E3E">
              <w:rPr>
                <w:rFonts w:ascii="Arial" w:hAnsi="Arial"/>
                <w:sz w:val="24"/>
              </w:rPr>
              <w:t>μg</w:t>
            </w:r>
            <w:proofErr w:type="spellEnd"/>
            <w:r w:rsidRPr="009C7E3E">
              <w:rPr>
                <w:rFonts w:ascii="Arial" w:hAnsi="Arial"/>
                <w:sz w:val="24"/>
              </w:rPr>
              <w:t xml:space="preserve"> cm</w:t>
            </w:r>
            <w:r w:rsidRPr="009C7E3E">
              <w:rPr>
                <w:rFonts w:ascii="Arial" w:hAnsi="Arial"/>
                <w:sz w:val="24"/>
                <w:vertAlign w:val="superscript"/>
              </w:rPr>
              <w:t>-2</w:t>
            </w:r>
          </w:p>
        </w:tc>
        <w:tc>
          <w:tcPr>
            <w:tcW w:w="0" w:type="dxa"/>
            <w:hideMark/>
          </w:tcPr>
          <w:p w14:paraId="7DC278F6" w14:textId="77777777" w:rsidR="005E4531" w:rsidRDefault="006B323D" w:rsidP="00320FDF">
            <w:pPr>
              <w:spacing w:after="100" w:afterAutospacing="1" w:line="360" w:lineRule="auto"/>
              <w:jc w:val="both"/>
              <w:rPr>
                <w:rFonts w:ascii="Arial" w:hAnsi="Arial" w:cs="Arial"/>
                <w:sz w:val="24"/>
              </w:rPr>
            </w:pPr>
            <w:proofErr w:type="spellStart"/>
            <w:r w:rsidRPr="009C7E3E">
              <w:rPr>
                <w:rFonts w:ascii="Arial" w:hAnsi="Arial"/>
                <w:sz w:val="24"/>
              </w:rPr>
              <w:t>CuAg</w:t>
            </w:r>
            <w:proofErr w:type="spellEnd"/>
            <w:r w:rsidRPr="009C7E3E">
              <w:rPr>
                <w:rFonts w:ascii="Arial" w:hAnsi="Arial"/>
                <w:sz w:val="24"/>
              </w:rPr>
              <w:t xml:space="preserve"> composition</w:t>
            </w:r>
          </w:p>
        </w:tc>
        <w:tc>
          <w:tcPr>
            <w:tcW w:w="0" w:type="dxa"/>
          </w:tcPr>
          <w:p w14:paraId="28A7774B" w14:textId="77777777" w:rsidR="005E4531" w:rsidRDefault="005E4531" w:rsidP="00320FDF">
            <w:pPr>
              <w:spacing w:after="100" w:afterAutospacing="1" w:line="360" w:lineRule="auto"/>
              <w:jc w:val="both"/>
              <w:rPr>
                <w:rFonts w:ascii="Arial" w:hAnsi="Arial" w:cs="Arial"/>
                <w:sz w:val="24"/>
              </w:rPr>
            </w:pPr>
          </w:p>
        </w:tc>
      </w:tr>
      <w:tr w:rsidR="005E4531" w14:paraId="0468B6C2" w14:textId="77777777" w:rsidTr="00320FDF">
        <w:trPr>
          <w:cnfStyle w:val="000000100000" w:firstRow="0" w:lastRow="0" w:firstColumn="0" w:lastColumn="0" w:oddVBand="0" w:evenVBand="0" w:oddHBand="1" w:evenHBand="0" w:firstRowFirstColumn="0" w:firstRowLastColumn="0" w:lastRowFirstColumn="0" w:lastRowLastColumn="0"/>
          <w:trHeight w:val="479"/>
          <w:jc w:val="center"/>
        </w:trPr>
        <w:tc>
          <w:tcPr>
            <w:tcW w:w="0" w:type="dxa"/>
            <w:hideMark/>
          </w:tcPr>
          <w:p w14:paraId="5D63E9BB"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XPS</w:t>
            </w:r>
          </w:p>
        </w:tc>
        <w:tc>
          <w:tcPr>
            <w:tcW w:w="0" w:type="dxa"/>
            <w:hideMark/>
          </w:tcPr>
          <w:p w14:paraId="5D0A9FE5" w14:textId="77777777" w:rsidR="005E4531" w:rsidRDefault="006B323D" w:rsidP="00320FDF">
            <w:pPr>
              <w:spacing w:after="100" w:afterAutospacing="1" w:line="360" w:lineRule="auto"/>
              <w:jc w:val="both"/>
              <w:rPr>
                <w:rFonts w:ascii="Arial" w:hAnsi="Arial" w:cs="Arial"/>
                <w:sz w:val="24"/>
                <w:vertAlign w:val="subscript"/>
              </w:rPr>
            </w:pPr>
            <w:r w:rsidRPr="009C7E3E">
              <w:rPr>
                <w:rFonts w:ascii="Arial" w:hAnsi="Arial"/>
                <w:sz w:val="24"/>
              </w:rPr>
              <w:t>Cu</w:t>
            </w:r>
            <w:r w:rsidRPr="009C7E3E">
              <w:rPr>
                <w:rFonts w:ascii="Arial" w:hAnsi="Arial"/>
                <w:sz w:val="24"/>
                <w:vertAlign w:val="subscript"/>
              </w:rPr>
              <w:t>78</w:t>
            </w:r>
            <w:r w:rsidRPr="009C7E3E">
              <w:rPr>
                <w:rFonts w:ascii="Arial" w:hAnsi="Arial"/>
                <w:sz w:val="24"/>
              </w:rPr>
              <w:t>Ag</w:t>
            </w:r>
            <w:r w:rsidRPr="009C7E3E">
              <w:rPr>
                <w:rFonts w:ascii="Arial" w:hAnsi="Arial"/>
                <w:sz w:val="24"/>
                <w:vertAlign w:val="subscript"/>
              </w:rPr>
              <w:t>32</w:t>
            </w:r>
          </w:p>
        </w:tc>
        <w:tc>
          <w:tcPr>
            <w:tcW w:w="0" w:type="dxa"/>
          </w:tcPr>
          <w:p w14:paraId="7BA502C8" w14:textId="77777777" w:rsidR="005E4531" w:rsidRDefault="005E4531" w:rsidP="00320FDF">
            <w:pPr>
              <w:spacing w:after="100" w:afterAutospacing="1" w:line="360" w:lineRule="auto"/>
              <w:jc w:val="both"/>
              <w:rPr>
                <w:rFonts w:ascii="Arial" w:hAnsi="Arial" w:cs="Arial"/>
                <w:sz w:val="24"/>
              </w:rPr>
            </w:pPr>
          </w:p>
        </w:tc>
      </w:tr>
      <w:tr w:rsidR="005E4531" w14:paraId="1F3CE7B3" w14:textId="77777777" w:rsidTr="00320FDF">
        <w:trPr>
          <w:trHeight w:val="447"/>
          <w:jc w:val="center"/>
        </w:trPr>
        <w:tc>
          <w:tcPr>
            <w:tcW w:w="0" w:type="dxa"/>
            <w:hideMark/>
          </w:tcPr>
          <w:p w14:paraId="4037ECF2"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STEM-EDX</w:t>
            </w:r>
          </w:p>
        </w:tc>
        <w:tc>
          <w:tcPr>
            <w:tcW w:w="0" w:type="dxa"/>
            <w:hideMark/>
          </w:tcPr>
          <w:p w14:paraId="3C89C9CB"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w:t>
            </w:r>
            <w:r w:rsidRPr="009C7E3E">
              <w:rPr>
                <w:rFonts w:ascii="Arial" w:hAnsi="Arial"/>
                <w:sz w:val="24"/>
                <w:vertAlign w:val="subscript"/>
              </w:rPr>
              <w:t>75</w:t>
            </w:r>
            <w:r w:rsidRPr="009C7E3E">
              <w:rPr>
                <w:rFonts w:ascii="Arial" w:hAnsi="Arial"/>
                <w:sz w:val="24"/>
              </w:rPr>
              <w:t>Ag</w:t>
            </w:r>
            <w:r w:rsidRPr="009C7E3E">
              <w:rPr>
                <w:rFonts w:ascii="Arial" w:hAnsi="Arial"/>
                <w:sz w:val="24"/>
                <w:vertAlign w:val="subscript"/>
              </w:rPr>
              <w:t>35</w:t>
            </w:r>
          </w:p>
        </w:tc>
        <w:tc>
          <w:tcPr>
            <w:tcW w:w="0" w:type="dxa"/>
          </w:tcPr>
          <w:p w14:paraId="0D0F4E56" w14:textId="77777777" w:rsidR="005E4531" w:rsidRDefault="005E4531" w:rsidP="00320FDF">
            <w:pPr>
              <w:spacing w:after="100" w:afterAutospacing="1" w:line="360" w:lineRule="auto"/>
              <w:jc w:val="both"/>
              <w:rPr>
                <w:rFonts w:ascii="Arial" w:hAnsi="Arial" w:cs="Arial"/>
                <w:sz w:val="24"/>
              </w:rPr>
            </w:pPr>
          </w:p>
        </w:tc>
      </w:tr>
    </w:tbl>
    <w:p w14:paraId="7E91892D" w14:textId="77777777" w:rsidR="005E4531" w:rsidRDefault="005E4531" w:rsidP="00320FDF">
      <w:pPr>
        <w:spacing w:after="100" w:afterAutospacing="1" w:line="360" w:lineRule="auto"/>
        <w:jc w:val="both"/>
        <w:rPr>
          <w:rFonts w:ascii="Arial" w:hAnsi="Arial" w:cs="Arial"/>
          <w:sz w:val="32"/>
          <w:lang w:val="en-US"/>
        </w:rPr>
      </w:pPr>
    </w:p>
    <w:p w14:paraId="745878E3" w14:textId="77777777" w:rsidR="006A7A1C" w:rsidRDefault="006A7A1C">
      <w:pPr>
        <w:rPr>
          <w:rFonts w:ascii="Arial" w:hAnsi="Arial" w:cs="Arial"/>
          <w:sz w:val="32"/>
          <w:lang w:val="en-US"/>
        </w:rPr>
      </w:pPr>
      <w:r>
        <w:rPr>
          <w:rFonts w:ascii="Arial" w:hAnsi="Arial" w:cs="Arial"/>
          <w:sz w:val="32"/>
          <w:lang w:val="en-US"/>
        </w:rPr>
        <w:br w:type="page"/>
      </w:r>
    </w:p>
    <w:p w14:paraId="012294A7" w14:textId="77777777" w:rsidR="002B3A72" w:rsidRDefault="002B3A72" w:rsidP="00FD4D0D">
      <w:pPr>
        <w:spacing w:after="100" w:afterAutospacing="1" w:line="360" w:lineRule="auto"/>
        <w:jc w:val="both"/>
        <w:rPr>
          <w:rFonts w:ascii="Arial" w:hAnsi="Arial" w:cs="Arial"/>
          <w:sz w:val="32"/>
          <w:lang w:val="en-US"/>
        </w:rPr>
      </w:pPr>
    </w:p>
    <w:p w14:paraId="30488AAB" w14:textId="0E7A90AB"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t>Note S</w:t>
      </w:r>
      <w:r w:rsidR="00C5328F">
        <w:rPr>
          <w:rFonts w:ascii="Arial" w:hAnsi="Arial" w:cs="Arial"/>
          <w:sz w:val="32"/>
          <w:lang w:val="en-US"/>
        </w:rPr>
        <w:t>8</w:t>
      </w:r>
      <w:r>
        <w:rPr>
          <w:rFonts w:ascii="Arial" w:hAnsi="Arial" w:cs="Arial"/>
          <w:sz w:val="32"/>
          <w:lang w:val="en-US"/>
        </w:rPr>
        <w:t>. Experimental and computational part related to as-synthesized cluster characterization using XAS.</w:t>
      </w:r>
    </w:p>
    <w:p w14:paraId="26AD8BA2" w14:textId="5E86AB6D" w:rsidR="00043167" w:rsidRPr="0026202E" w:rsidRDefault="003E1A70" w:rsidP="00BB5211">
      <w:pPr>
        <w:spacing w:line="360" w:lineRule="auto"/>
        <w:jc w:val="center"/>
        <w:rPr>
          <w:rFonts w:ascii="Arial" w:hAnsi="Arial" w:cs="Arial"/>
          <w:b/>
          <w:sz w:val="24"/>
          <w:szCs w:val="24"/>
          <w:lang w:val="en-US"/>
        </w:rPr>
      </w:pPr>
      <w:r>
        <w:rPr>
          <w:rFonts w:ascii="Arial" w:hAnsi="Arial" w:cs="Arial"/>
          <w:b/>
          <w:noProof/>
          <w:sz w:val="24"/>
          <w:szCs w:val="24"/>
          <w:lang w:val="en-US"/>
        </w:rPr>
        <w:lastRenderedPageBreak/>
        <w:drawing>
          <wp:inline distT="0" distB="0" distL="0" distR="0" wp14:anchorId="6F6B6D01" wp14:editId="3B4A1E12">
            <wp:extent cx="5731510" cy="8219440"/>
            <wp:effectExtent l="0" t="0" r="2540" b="0"/>
            <wp:docPr id="1605697950" name="Picture 7"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97950" name="Picture 7" descr="A graph of a function&#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8219440"/>
                    </a:xfrm>
                    <a:prstGeom prst="rect">
                      <a:avLst/>
                    </a:prstGeom>
                  </pic:spPr>
                </pic:pic>
              </a:graphicData>
            </a:graphic>
          </wp:inline>
        </w:drawing>
      </w:r>
    </w:p>
    <w:p w14:paraId="1B3CFAF0" w14:textId="1359ACAB" w:rsidR="005E4531" w:rsidRPr="0026202E" w:rsidRDefault="006B323D" w:rsidP="00320FDF">
      <w:pPr>
        <w:spacing w:after="100" w:afterAutospacing="1" w:line="360" w:lineRule="auto"/>
        <w:jc w:val="both"/>
        <w:rPr>
          <w:rFonts w:ascii="Arial" w:hAnsi="Arial" w:cs="Arial"/>
          <w:b/>
          <w:sz w:val="24"/>
          <w:szCs w:val="24"/>
          <w:lang w:val="en-US"/>
        </w:rPr>
      </w:pPr>
      <w:r>
        <w:rPr>
          <w:rFonts w:ascii="Arial" w:hAnsi="Arial" w:cs="Arial"/>
          <w:b/>
          <w:sz w:val="24"/>
          <w:szCs w:val="24"/>
          <w:lang w:val="en-US"/>
        </w:rPr>
        <w:lastRenderedPageBreak/>
        <w:t xml:space="preserve">Figure S18. </w:t>
      </w:r>
      <w:r>
        <w:rPr>
          <w:rFonts w:ascii="Arial" w:hAnsi="Arial" w:cs="Arial"/>
          <w:sz w:val="24"/>
          <w:szCs w:val="24"/>
        </w:rPr>
        <w:t xml:space="preserve">The </w:t>
      </w:r>
      <w:r>
        <w:rPr>
          <w:rFonts w:ascii="Arial" w:hAnsi="Arial" w:cs="Arial"/>
          <w:i/>
          <w:iCs/>
          <w:sz w:val="24"/>
          <w:szCs w:val="24"/>
        </w:rPr>
        <w:t>k</w:t>
      </w:r>
      <w:r>
        <w:rPr>
          <w:rFonts w:ascii="Arial" w:hAnsi="Arial" w:cs="Arial"/>
          <w:sz w:val="24"/>
          <w:szCs w:val="24"/>
          <w:vertAlign w:val="superscript"/>
        </w:rPr>
        <w:t>3</w:t>
      </w:r>
      <w:r>
        <w:rPr>
          <w:rFonts w:ascii="Arial" w:hAnsi="Arial" w:cs="Arial"/>
          <w:sz w:val="24"/>
          <w:szCs w:val="24"/>
        </w:rPr>
        <w:t xml:space="preserve">-weighted </w:t>
      </w:r>
      <w:r>
        <w:rPr>
          <w:rFonts w:ascii="Arial" w:hAnsi="Arial" w:cs="Arial"/>
          <w:sz w:val="24"/>
          <w:szCs w:val="24"/>
          <w:lang w:val="en-US"/>
        </w:rPr>
        <w:t>EXAFS</w:t>
      </w:r>
      <w:r>
        <w:rPr>
          <w:rFonts w:ascii="Arial" w:hAnsi="Arial" w:cs="Arial"/>
          <w:sz w:val="24"/>
          <w:szCs w:val="24"/>
        </w:rPr>
        <w:t xml:space="preserve"> of the </w:t>
      </w:r>
      <w:r>
        <w:rPr>
          <w:rFonts w:ascii="Arial" w:hAnsi="Arial" w:cs="Arial"/>
          <w:sz w:val="24"/>
          <w:szCs w:val="24"/>
          <w:lang w:val="en-US"/>
        </w:rPr>
        <w:t xml:space="preserve">as-synthesized Cu-NCB </w:t>
      </w:r>
      <w:r>
        <w:rPr>
          <w:rFonts w:ascii="Arial" w:hAnsi="Arial" w:cs="Arial"/>
          <w:sz w:val="24"/>
          <w:szCs w:val="24"/>
        </w:rPr>
        <w:t xml:space="preserve">and the respective fit plotted in </w:t>
      </w:r>
      <w:r>
        <w:rPr>
          <w:rFonts w:ascii="Arial" w:hAnsi="Arial" w:cs="Arial"/>
          <w:i/>
          <w:iCs/>
          <w:sz w:val="24"/>
          <w:szCs w:val="24"/>
        </w:rPr>
        <w:t>k</w:t>
      </w:r>
      <w:r>
        <w:rPr>
          <w:rFonts w:ascii="Arial" w:hAnsi="Arial" w:cs="Arial"/>
          <w:sz w:val="24"/>
          <w:szCs w:val="24"/>
        </w:rPr>
        <w:t>-space</w:t>
      </w:r>
      <w:r w:rsidR="0038539A">
        <w:rPr>
          <w:rFonts w:ascii="Arial" w:hAnsi="Arial" w:cs="Arial"/>
          <w:sz w:val="24"/>
          <w:szCs w:val="24"/>
          <w:lang w:val="en-US"/>
        </w:rPr>
        <w:t xml:space="preserve"> </w:t>
      </w:r>
      <w:r w:rsidR="0038539A" w:rsidRPr="00747187">
        <w:rPr>
          <w:rFonts w:ascii="Arial" w:hAnsi="Arial" w:cs="Arial"/>
          <w:bCs/>
          <w:sz w:val="24"/>
          <w:szCs w:val="24"/>
          <w:lang w:val="en-US"/>
        </w:rPr>
        <w:t>(A)</w:t>
      </w:r>
      <w:r w:rsidR="0038539A">
        <w:rPr>
          <w:rFonts w:ascii="Arial" w:hAnsi="Arial" w:cs="Arial"/>
          <w:bCs/>
          <w:sz w:val="24"/>
          <w:szCs w:val="24"/>
          <w:lang w:val="en-US"/>
        </w:rPr>
        <w:t xml:space="preserve"> and in </w:t>
      </w:r>
      <w:r w:rsidR="0038539A" w:rsidRPr="00DF68BA">
        <w:rPr>
          <w:rFonts w:ascii="Arial" w:hAnsi="Arial" w:cs="Arial"/>
          <w:bCs/>
          <w:i/>
          <w:iCs/>
          <w:sz w:val="24"/>
          <w:szCs w:val="24"/>
          <w:lang w:val="en-US"/>
        </w:rPr>
        <w:t>R</w:t>
      </w:r>
      <w:r w:rsidR="00DF68BA">
        <w:rPr>
          <w:rFonts w:ascii="Arial" w:hAnsi="Arial" w:cs="Arial"/>
          <w:bCs/>
          <w:sz w:val="24"/>
          <w:szCs w:val="24"/>
          <w:lang w:val="en-US"/>
        </w:rPr>
        <w:t>-</w:t>
      </w:r>
      <w:r w:rsidR="0038539A">
        <w:rPr>
          <w:rFonts w:ascii="Arial" w:hAnsi="Arial" w:cs="Arial"/>
          <w:bCs/>
          <w:sz w:val="24"/>
          <w:szCs w:val="24"/>
          <w:lang w:val="en-US"/>
        </w:rPr>
        <w:t>space (B)</w:t>
      </w:r>
      <w:r>
        <w:rPr>
          <w:rFonts w:ascii="Arial" w:hAnsi="Arial" w:cs="Arial"/>
          <w:sz w:val="24"/>
          <w:szCs w:val="24"/>
        </w:rPr>
        <w:t xml:space="preserve">. </w:t>
      </w:r>
      <w:r w:rsidR="0026202E">
        <w:rPr>
          <w:rFonts w:ascii="Arial" w:hAnsi="Arial" w:cs="Arial"/>
          <w:sz w:val="24"/>
          <w:szCs w:val="24"/>
          <w:lang w:val="en-US"/>
        </w:rPr>
        <w:t>The window is the k-range included in the fit.</w:t>
      </w:r>
      <w:r w:rsidR="00747187">
        <w:rPr>
          <w:rFonts w:ascii="Arial" w:hAnsi="Arial" w:cs="Arial"/>
          <w:sz w:val="24"/>
          <w:szCs w:val="24"/>
          <w:lang w:val="en-US"/>
        </w:rPr>
        <w:t xml:space="preserve"> </w:t>
      </w:r>
      <w:r w:rsidR="0038539A">
        <w:rPr>
          <w:rFonts w:ascii="Arial" w:hAnsi="Arial" w:cs="Arial"/>
          <w:sz w:val="24"/>
          <w:szCs w:val="24"/>
          <w:lang w:val="en-US"/>
        </w:rPr>
        <w:t>The window of the R</w:t>
      </w:r>
      <w:r w:rsidR="00BC545A">
        <w:rPr>
          <w:rFonts w:ascii="Arial" w:hAnsi="Arial" w:cs="Arial"/>
          <w:sz w:val="24"/>
          <w:szCs w:val="24"/>
          <w:lang w:val="en-US"/>
        </w:rPr>
        <w:t>-</w:t>
      </w:r>
      <w:r w:rsidR="0038539A">
        <w:rPr>
          <w:rFonts w:ascii="Arial" w:hAnsi="Arial" w:cs="Arial"/>
          <w:sz w:val="24"/>
          <w:szCs w:val="24"/>
          <w:lang w:val="en-US"/>
        </w:rPr>
        <w:t xml:space="preserve">space included in the fit is 1-3 </w:t>
      </w:r>
      <w:r w:rsidR="0038539A">
        <w:rPr>
          <w:rFonts w:ascii="Arial" w:hAnsi="Arial" w:cs="Arial"/>
          <w:sz w:val="24"/>
          <w:szCs w:val="24"/>
        </w:rPr>
        <w:t>Å</w:t>
      </w:r>
      <w:r w:rsidR="0038539A">
        <w:rPr>
          <w:rFonts w:ascii="Arial" w:hAnsi="Arial" w:cs="Arial"/>
          <w:sz w:val="24"/>
          <w:szCs w:val="24"/>
          <w:lang w:val="en-US"/>
        </w:rPr>
        <w:t xml:space="preserve">. </w:t>
      </w:r>
      <w:r w:rsidR="00747187">
        <w:rPr>
          <w:rFonts w:ascii="Arial" w:hAnsi="Arial" w:cs="Arial"/>
          <w:sz w:val="24"/>
          <w:szCs w:val="24"/>
          <w:lang w:val="en-US"/>
        </w:rPr>
        <w:t xml:space="preserve"> </w:t>
      </w:r>
    </w:p>
    <w:p w14:paraId="0D738C67" w14:textId="2C2C9C3F" w:rsidR="005E4531" w:rsidRDefault="006B323D">
      <w:pPr>
        <w:spacing w:line="360" w:lineRule="auto"/>
        <w:jc w:val="both"/>
        <w:rPr>
          <w:rFonts w:ascii="Arial" w:hAnsi="Arial" w:cs="Arial"/>
          <w:sz w:val="24"/>
          <w:szCs w:val="24"/>
        </w:rPr>
      </w:pPr>
      <w:r>
        <w:rPr>
          <w:rFonts w:ascii="Arial" w:hAnsi="Arial" w:cs="Arial"/>
          <w:b/>
          <w:sz w:val="24"/>
          <w:szCs w:val="24"/>
        </w:rPr>
        <w:t>Table S</w:t>
      </w:r>
      <w:r>
        <w:rPr>
          <w:rFonts w:ascii="Arial" w:hAnsi="Arial" w:cs="Arial"/>
          <w:b/>
          <w:sz w:val="24"/>
          <w:szCs w:val="24"/>
          <w:lang w:val="en-US"/>
        </w:rPr>
        <w:t>3</w:t>
      </w:r>
      <w:r>
        <w:rPr>
          <w:rFonts w:ascii="Arial" w:hAnsi="Arial" w:cs="Arial"/>
          <w:b/>
          <w:sz w:val="24"/>
          <w:szCs w:val="24"/>
        </w:rPr>
        <w:t xml:space="preserve">. </w:t>
      </w:r>
      <w:r>
        <w:rPr>
          <w:rFonts w:ascii="Arial" w:hAnsi="Arial" w:cs="Arial"/>
          <w:bCs/>
          <w:sz w:val="24"/>
          <w:szCs w:val="24"/>
        </w:rPr>
        <w:t xml:space="preserve">Extended X-ray absorption fine structure (EXAFS) fitting parameters of the </w:t>
      </w:r>
      <w:r>
        <w:rPr>
          <w:rFonts w:ascii="Arial" w:hAnsi="Arial" w:cs="Arial"/>
          <w:bCs/>
          <w:sz w:val="24"/>
          <w:szCs w:val="24"/>
          <w:lang w:val="en-US"/>
        </w:rPr>
        <w:t>as-synthesized Cu-NC</w:t>
      </w:r>
      <w:r w:rsidR="00A978C5">
        <w:rPr>
          <w:rFonts w:ascii="Arial" w:hAnsi="Arial" w:cs="Arial"/>
          <w:bCs/>
          <w:sz w:val="24"/>
          <w:szCs w:val="24"/>
          <w:lang w:val="en-US"/>
        </w:rPr>
        <w:t>B</w:t>
      </w:r>
      <w:r>
        <w:rPr>
          <w:rFonts w:ascii="Arial" w:hAnsi="Arial" w:cs="Arial"/>
          <w:bCs/>
          <w:sz w:val="24"/>
          <w:szCs w:val="24"/>
          <w:lang w:val="en-US"/>
        </w:rPr>
        <w:t xml:space="preserve"> catalyst</w:t>
      </w:r>
      <w:r>
        <w:rPr>
          <w:rFonts w:ascii="Arial" w:hAnsi="Arial" w:cs="Arial"/>
          <w:bCs/>
          <w:sz w:val="24"/>
          <w:szCs w:val="24"/>
        </w:rPr>
        <w:t>.</w:t>
      </w:r>
    </w:p>
    <w:tbl>
      <w:tblPr>
        <w:tblW w:w="9026" w:type="dxa"/>
        <w:jc w:val="center"/>
        <w:tblCellMar>
          <w:left w:w="0" w:type="dxa"/>
          <w:right w:w="0" w:type="dxa"/>
        </w:tblCellMar>
        <w:tblLook w:val="0420" w:firstRow="1" w:lastRow="0" w:firstColumn="0" w:lastColumn="0" w:noHBand="0" w:noVBand="1"/>
      </w:tblPr>
      <w:tblGrid>
        <w:gridCol w:w="1624"/>
        <w:gridCol w:w="1248"/>
        <w:gridCol w:w="1610"/>
        <w:gridCol w:w="905"/>
        <w:gridCol w:w="1276"/>
        <w:gridCol w:w="1134"/>
        <w:gridCol w:w="1229"/>
      </w:tblGrid>
      <w:tr w:rsidR="00DE3176" w14:paraId="22050EBB" w14:textId="1CB354E4" w:rsidTr="00DE3176">
        <w:trPr>
          <w:trHeight w:val="978"/>
          <w:jc w:val="center"/>
        </w:trPr>
        <w:tc>
          <w:tcPr>
            <w:tcW w:w="1624"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538C64CC" w14:textId="77777777" w:rsidR="00DE3176" w:rsidRDefault="00DE3176" w:rsidP="00DE3176">
            <w:pPr>
              <w:spacing w:line="360" w:lineRule="auto"/>
              <w:jc w:val="both"/>
              <w:rPr>
                <w:rFonts w:ascii="Arial" w:hAnsi="Arial" w:cs="Arial"/>
                <w:sz w:val="24"/>
                <w:szCs w:val="24"/>
              </w:rPr>
            </w:pPr>
            <w:r>
              <w:rPr>
                <w:rFonts w:ascii="Arial" w:hAnsi="Arial" w:cs="Arial"/>
                <w:b/>
                <w:bCs/>
                <w:sz w:val="24"/>
                <w:szCs w:val="24"/>
              </w:rPr>
              <w:t>Coordination shell</w:t>
            </w:r>
          </w:p>
        </w:tc>
        <w:tc>
          <w:tcPr>
            <w:tcW w:w="1248"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4C03B755" w14:textId="6442EEBF" w:rsidR="00DE3176" w:rsidRDefault="00DE3176" w:rsidP="00DE3176">
            <w:pPr>
              <w:spacing w:line="360" w:lineRule="auto"/>
              <w:jc w:val="both"/>
              <w:rPr>
                <w:rFonts w:ascii="Arial" w:hAnsi="Arial" w:cs="Arial"/>
                <w:sz w:val="24"/>
                <w:szCs w:val="24"/>
              </w:rPr>
            </w:pPr>
            <w:r>
              <w:rPr>
                <w:rFonts w:ascii="Arial" w:hAnsi="Arial" w:cs="Arial"/>
                <w:b/>
                <w:bCs/>
                <w:sz w:val="24"/>
                <w:szCs w:val="24"/>
                <w:vertAlign w:val="superscript"/>
              </w:rPr>
              <w:t>a</w:t>
            </w:r>
            <w:r>
              <w:rPr>
                <w:rFonts w:ascii="Arial" w:hAnsi="Arial" w:cs="Arial"/>
                <w:b/>
                <w:bCs/>
                <w:sz w:val="24"/>
                <w:szCs w:val="24"/>
              </w:rPr>
              <w:t>S</w:t>
            </w:r>
            <w:r>
              <w:rPr>
                <w:rFonts w:ascii="Arial" w:hAnsi="Arial" w:cs="Arial"/>
                <w:b/>
                <w:bCs/>
                <w:sz w:val="24"/>
                <w:szCs w:val="24"/>
                <w:vertAlign w:val="superscript"/>
              </w:rPr>
              <w:t>2</w:t>
            </w:r>
            <w:r>
              <w:rPr>
                <w:rFonts w:ascii="Arial" w:hAnsi="Arial" w:cs="Arial"/>
                <w:b/>
                <w:bCs/>
                <w:sz w:val="24"/>
                <w:szCs w:val="24"/>
                <w:vertAlign w:val="subscript"/>
              </w:rPr>
              <w:t>0,</w:t>
            </w:r>
            <w:r>
              <w:rPr>
                <w:rFonts w:ascii="Arial" w:hAnsi="Arial" w:cs="Arial"/>
                <w:b/>
                <w:bCs/>
                <w:sz w:val="24"/>
                <w:szCs w:val="24"/>
                <w:vertAlign w:val="subscript"/>
                <w:lang w:val="en-US"/>
              </w:rPr>
              <w:t>Cu</w:t>
            </w:r>
            <w:r>
              <w:rPr>
                <w:rStyle w:val="CommentReference"/>
              </w:rPr>
              <w:t xml:space="preserve"> </w:t>
            </w:r>
            <w:r>
              <w:rPr>
                <w:rFonts w:ascii="Arial" w:hAnsi="Arial" w:cs="Arial"/>
                <w:b/>
                <w:bCs/>
                <w:sz w:val="24"/>
                <w:szCs w:val="24"/>
                <w:vertAlign w:val="superscript"/>
              </w:rPr>
              <w:t xml:space="preserve"> </w:t>
            </w:r>
          </w:p>
        </w:tc>
        <w:tc>
          <w:tcPr>
            <w:tcW w:w="161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459D0DD2" w14:textId="77777777" w:rsidR="00DE3176" w:rsidRDefault="00DE3176" w:rsidP="00DE3176">
            <w:pPr>
              <w:spacing w:line="360" w:lineRule="auto"/>
              <w:jc w:val="both"/>
              <w:rPr>
                <w:rFonts w:ascii="Arial" w:hAnsi="Arial" w:cs="Arial"/>
                <w:sz w:val="24"/>
                <w:szCs w:val="24"/>
              </w:rPr>
            </w:pPr>
            <w:r>
              <w:rPr>
                <w:rFonts w:ascii="Arial" w:hAnsi="Arial" w:cs="Arial"/>
                <w:b/>
                <w:bCs/>
                <w:sz w:val="24"/>
                <w:szCs w:val="24"/>
              </w:rPr>
              <w:t>Coordination number</w:t>
            </w:r>
          </w:p>
        </w:tc>
        <w:tc>
          <w:tcPr>
            <w:tcW w:w="905"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3528183E" w14:textId="77777777" w:rsidR="00DE3176" w:rsidRDefault="00DE3176" w:rsidP="00DE3176">
            <w:pPr>
              <w:spacing w:line="360" w:lineRule="auto"/>
              <w:jc w:val="both"/>
              <w:rPr>
                <w:rFonts w:ascii="Arial" w:hAnsi="Arial" w:cs="Arial"/>
                <w:sz w:val="24"/>
                <w:szCs w:val="24"/>
              </w:rPr>
            </w:pPr>
            <w:r>
              <w:rPr>
                <w:rFonts w:ascii="Arial" w:hAnsi="Arial" w:cs="Arial"/>
                <w:b/>
                <w:bCs/>
                <w:sz w:val="24"/>
                <w:szCs w:val="24"/>
                <w:vertAlign w:val="superscript"/>
              </w:rPr>
              <w:t>b</w:t>
            </w:r>
            <w:r>
              <w:rPr>
                <w:rFonts w:ascii="Arial" w:hAnsi="Arial" w:cs="Arial"/>
                <w:b/>
                <w:bCs/>
                <w:sz w:val="24"/>
                <w:szCs w:val="24"/>
                <w:lang w:val="el-GR"/>
              </w:rPr>
              <w:t>Δ</w:t>
            </w:r>
            <w:proofErr w:type="spellStart"/>
            <w:r>
              <w:rPr>
                <w:rFonts w:ascii="Arial" w:hAnsi="Arial" w:cs="Arial"/>
                <w:b/>
                <w:bCs/>
                <w:sz w:val="24"/>
                <w:szCs w:val="24"/>
              </w:rPr>
              <w:t>E</w:t>
            </w:r>
            <w:r>
              <w:rPr>
                <w:rFonts w:ascii="Arial" w:hAnsi="Arial" w:cs="Arial"/>
                <w:b/>
                <w:bCs/>
                <w:sz w:val="24"/>
                <w:szCs w:val="24"/>
                <w:vertAlign w:val="subscript"/>
              </w:rPr>
              <w:t>o</w:t>
            </w:r>
            <w:proofErr w:type="spellEnd"/>
            <w:r>
              <w:rPr>
                <w:rFonts w:ascii="Arial" w:hAnsi="Arial" w:cs="Arial"/>
                <w:b/>
                <w:bCs/>
                <w:sz w:val="24"/>
                <w:szCs w:val="24"/>
                <w:vertAlign w:val="subscript"/>
              </w:rPr>
              <w:t xml:space="preserve"> </w:t>
            </w:r>
            <w:r>
              <w:rPr>
                <w:rFonts w:ascii="Arial" w:hAnsi="Arial" w:cs="Arial"/>
                <w:b/>
                <w:bCs/>
                <w:sz w:val="24"/>
                <w:szCs w:val="24"/>
              </w:rPr>
              <w:t>[eV]</w:t>
            </w:r>
          </w:p>
        </w:tc>
        <w:tc>
          <w:tcPr>
            <w:tcW w:w="1276"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5E36CC07" w14:textId="77777777" w:rsidR="00DE3176" w:rsidRDefault="00DE3176" w:rsidP="00DE3176">
            <w:pPr>
              <w:spacing w:line="360" w:lineRule="auto"/>
              <w:jc w:val="both"/>
              <w:rPr>
                <w:rFonts w:ascii="Arial" w:hAnsi="Arial" w:cs="Arial"/>
                <w:sz w:val="24"/>
                <w:szCs w:val="24"/>
              </w:rPr>
            </w:pPr>
            <w:r>
              <w:rPr>
                <w:rFonts w:ascii="Arial" w:hAnsi="Arial" w:cs="Arial"/>
                <w:b/>
                <w:bCs/>
                <w:sz w:val="24"/>
                <w:szCs w:val="24"/>
                <w:vertAlign w:val="superscript"/>
              </w:rPr>
              <w:t>c</w:t>
            </w:r>
            <w:r>
              <w:rPr>
                <w:rFonts w:ascii="Arial" w:hAnsi="Arial" w:cs="Arial"/>
                <w:b/>
                <w:bCs/>
                <w:sz w:val="24"/>
                <w:szCs w:val="24"/>
                <w:lang w:val="el-GR"/>
              </w:rPr>
              <w:t>Δ</w:t>
            </w:r>
            <w:r>
              <w:rPr>
                <w:rFonts w:ascii="Arial" w:hAnsi="Arial" w:cs="Arial"/>
                <w:b/>
                <w:bCs/>
                <w:sz w:val="24"/>
                <w:szCs w:val="24"/>
              </w:rPr>
              <w:t>R [</w:t>
            </w:r>
            <w:r>
              <w:rPr>
                <w:rFonts w:ascii="Arial" w:hAnsi="Arial" w:cs="Arial"/>
                <w:sz w:val="24"/>
                <w:szCs w:val="24"/>
              </w:rPr>
              <w:t>Å</w:t>
            </w:r>
            <w:r>
              <w:rPr>
                <w:rFonts w:ascii="Arial" w:hAnsi="Arial" w:cs="Arial"/>
                <w:b/>
                <w:bCs/>
                <w:sz w:val="24"/>
                <w:szCs w:val="24"/>
              </w:rPr>
              <w:t>]</w:t>
            </w:r>
          </w:p>
        </w:tc>
        <w:tc>
          <w:tcPr>
            <w:tcW w:w="1134"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773E09A6" w14:textId="77777777" w:rsidR="00DE3176" w:rsidRDefault="00DE3176" w:rsidP="00DE3176">
            <w:pPr>
              <w:spacing w:line="360" w:lineRule="auto"/>
              <w:jc w:val="both"/>
              <w:rPr>
                <w:rFonts w:ascii="Arial" w:hAnsi="Arial" w:cs="Arial"/>
                <w:sz w:val="24"/>
                <w:szCs w:val="24"/>
              </w:rPr>
            </w:pPr>
            <w:r>
              <w:rPr>
                <w:rFonts w:ascii="Arial" w:hAnsi="Arial" w:cs="Arial"/>
                <w:b/>
                <w:bCs/>
                <w:sz w:val="24"/>
                <w:szCs w:val="24"/>
                <w:vertAlign w:val="superscript"/>
              </w:rPr>
              <w:t>d</w:t>
            </w:r>
            <w:r>
              <w:rPr>
                <w:rFonts w:ascii="Arial" w:hAnsi="Arial" w:cs="Arial"/>
                <w:b/>
                <w:bCs/>
                <w:sz w:val="24"/>
                <w:szCs w:val="24"/>
              </w:rPr>
              <w:t>σ</w:t>
            </w:r>
            <w:r>
              <w:rPr>
                <w:rFonts w:ascii="Arial" w:hAnsi="Arial" w:cs="Arial"/>
                <w:b/>
                <w:bCs/>
                <w:sz w:val="24"/>
                <w:szCs w:val="24"/>
                <w:vertAlign w:val="superscript"/>
              </w:rPr>
              <w:t>2</w:t>
            </w:r>
            <w:r>
              <w:rPr>
                <w:rFonts w:ascii="Arial" w:hAnsi="Arial" w:cs="Arial"/>
                <w:b/>
                <w:bCs/>
                <w:sz w:val="24"/>
                <w:szCs w:val="24"/>
              </w:rPr>
              <w:t xml:space="preserve"> [</w:t>
            </w:r>
            <w:r>
              <w:rPr>
                <w:rFonts w:ascii="Arial" w:hAnsi="Arial" w:cs="Arial"/>
                <w:sz w:val="24"/>
                <w:szCs w:val="24"/>
              </w:rPr>
              <w:t>Å</w:t>
            </w:r>
            <w:r>
              <w:rPr>
                <w:rFonts w:ascii="Arial" w:hAnsi="Arial" w:cs="Arial"/>
                <w:sz w:val="24"/>
                <w:szCs w:val="24"/>
                <w:vertAlign w:val="superscript"/>
              </w:rPr>
              <w:t>2</w:t>
            </w:r>
            <w:r>
              <w:rPr>
                <w:rFonts w:ascii="Arial" w:hAnsi="Arial" w:cs="Arial"/>
                <w:b/>
                <w:bCs/>
                <w:sz w:val="24"/>
                <w:szCs w:val="24"/>
              </w:rPr>
              <w:t>]</w:t>
            </w:r>
          </w:p>
        </w:tc>
        <w:tc>
          <w:tcPr>
            <w:tcW w:w="1229" w:type="dxa"/>
            <w:tcBorders>
              <w:top w:val="single" w:sz="8" w:space="0" w:color="A5A5A5"/>
              <w:left w:val="nil"/>
              <w:bottom w:val="single" w:sz="8" w:space="0" w:color="A5A5A5"/>
              <w:right w:val="nil"/>
            </w:tcBorders>
          </w:tcPr>
          <w:p w14:paraId="0F56A79F" w14:textId="69C7A666" w:rsidR="00DE3176" w:rsidRDefault="00DE3176" w:rsidP="00DE3176">
            <w:pPr>
              <w:spacing w:line="360" w:lineRule="auto"/>
              <w:jc w:val="both"/>
              <w:rPr>
                <w:rFonts w:ascii="Arial" w:hAnsi="Arial" w:cs="Arial"/>
                <w:b/>
                <w:bCs/>
                <w:sz w:val="24"/>
                <w:szCs w:val="24"/>
                <w:vertAlign w:val="superscript"/>
              </w:rPr>
            </w:pPr>
            <w:r w:rsidRPr="008A3D0C">
              <w:rPr>
                <w:rFonts w:ascii="Arial" w:hAnsi="Arial" w:cs="Arial"/>
                <w:b/>
                <w:bCs/>
                <w:sz w:val="24"/>
                <w:szCs w:val="24"/>
              </w:rPr>
              <w:t>R-factor</w:t>
            </w:r>
          </w:p>
        </w:tc>
      </w:tr>
      <w:tr w:rsidR="00DE3176" w14:paraId="29B316CE" w14:textId="2DA9118A" w:rsidTr="00DE3176">
        <w:trPr>
          <w:trHeight w:val="978"/>
          <w:jc w:val="center"/>
        </w:trPr>
        <w:tc>
          <w:tcPr>
            <w:tcW w:w="1624"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3712E54A" w14:textId="0A1BCCF6" w:rsidR="00DE3176" w:rsidRDefault="00DE3176" w:rsidP="00DE3176">
            <w:pPr>
              <w:spacing w:line="360" w:lineRule="auto"/>
              <w:jc w:val="both"/>
              <w:rPr>
                <w:rFonts w:ascii="Arial" w:hAnsi="Arial" w:cs="Arial"/>
                <w:sz w:val="24"/>
                <w:szCs w:val="24"/>
                <w:lang w:val="en-US"/>
              </w:rPr>
            </w:pPr>
            <w:r>
              <w:rPr>
                <w:rFonts w:ascii="Arial" w:hAnsi="Arial" w:cs="Arial"/>
                <w:sz w:val="24"/>
                <w:szCs w:val="24"/>
                <w:lang w:val="en-US"/>
              </w:rPr>
              <w:t>Cu</w:t>
            </w:r>
            <w:r>
              <w:rPr>
                <w:rFonts w:ascii="Arial" w:hAnsi="Arial" w:cs="Arial"/>
                <w:sz w:val="24"/>
                <w:szCs w:val="24"/>
              </w:rPr>
              <w:t>-</w:t>
            </w:r>
            <w:r>
              <w:rPr>
                <w:rFonts w:ascii="Arial" w:hAnsi="Arial" w:cs="Arial"/>
                <w:sz w:val="24"/>
                <w:szCs w:val="24"/>
                <w:lang w:val="en-US"/>
              </w:rPr>
              <w:t>O (</w:t>
            </w:r>
            <w:proofErr w:type="spellStart"/>
            <w:r>
              <w:rPr>
                <w:rFonts w:ascii="Arial" w:hAnsi="Arial" w:cs="Arial"/>
                <w:sz w:val="24"/>
                <w:szCs w:val="24"/>
                <w:lang w:val="en-US"/>
              </w:rPr>
              <w:t>CuO</w:t>
            </w:r>
            <w:proofErr w:type="spellEnd"/>
            <w:r>
              <w:rPr>
                <w:rFonts w:ascii="Arial" w:hAnsi="Arial" w:cs="Arial"/>
                <w:sz w:val="24"/>
                <w:szCs w:val="24"/>
                <w:lang w:val="en-US"/>
              </w:rPr>
              <w:t>)</w:t>
            </w:r>
          </w:p>
        </w:tc>
        <w:tc>
          <w:tcPr>
            <w:tcW w:w="1248"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6AF31B0D" w14:textId="0C45E144" w:rsidR="00DE3176" w:rsidRDefault="00DE3176" w:rsidP="00DE3176">
            <w:pPr>
              <w:spacing w:line="360" w:lineRule="auto"/>
              <w:jc w:val="both"/>
              <w:rPr>
                <w:rFonts w:ascii="Arial" w:hAnsi="Arial" w:cs="Arial"/>
                <w:sz w:val="24"/>
                <w:szCs w:val="24"/>
                <w:lang w:val="en-US"/>
              </w:rPr>
            </w:pPr>
            <w:r>
              <w:rPr>
                <w:rFonts w:ascii="Arial" w:hAnsi="Arial" w:cs="Arial"/>
                <w:sz w:val="24"/>
                <w:szCs w:val="24"/>
              </w:rPr>
              <w:t>0.85</w:t>
            </w:r>
            <w:r>
              <w:rPr>
                <w:rFonts w:ascii="Arial" w:hAnsi="Arial" w:cs="Arial"/>
                <w:sz w:val="24"/>
                <w:szCs w:val="24"/>
                <w:lang w:val="en-US"/>
              </w:rPr>
              <w:t>03</w:t>
            </w:r>
            <w:r>
              <w:rPr>
                <w:rFonts w:ascii="Arial" w:hAnsi="Arial" w:cs="Arial"/>
                <w:sz w:val="24"/>
                <w:szCs w:val="24"/>
              </w:rPr>
              <w:t xml:space="preserve">  ± 0.</w:t>
            </w:r>
            <w:r>
              <w:rPr>
                <w:rFonts w:ascii="Arial" w:hAnsi="Arial" w:cs="Arial"/>
                <w:sz w:val="24"/>
                <w:szCs w:val="24"/>
                <w:lang w:val="en-US"/>
              </w:rPr>
              <w:t>089</w:t>
            </w:r>
          </w:p>
        </w:tc>
        <w:tc>
          <w:tcPr>
            <w:tcW w:w="1610"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0B61B364" w14:textId="3545EF43" w:rsidR="00DE3176" w:rsidRDefault="00DE3176" w:rsidP="00DE3176">
            <w:pPr>
              <w:spacing w:line="360" w:lineRule="auto"/>
              <w:jc w:val="both"/>
              <w:rPr>
                <w:rFonts w:ascii="Arial" w:hAnsi="Arial" w:cs="Arial"/>
                <w:sz w:val="24"/>
                <w:szCs w:val="24"/>
                <w:lang w:val="en-US"/>
              </w:rPr>
            </w:pPr>
            <w:r>
              <w:rPr>
                <w:rFonts w:ascii="Arial" w:hAnsi="Arial" w:cs="Arial"/>
                <w:sz w:val="24"/>
                <w:szCs w:val="24"/>
              </w:rPr>
              <w:t xml:space="preserve">3.2 ± </w:t>
            </w:r>
            <w:r>
              <w:rPr>
                <w:rFonts w:ascii="Arial" w:hAnsi="Arial" w:cs="Arial"/>
                <w:sz w:val="24"/>
                <w:szCs w:val="24"/>
                <w:lang w:val="en-US"/>
              </w:rPr>
              <w:t>0.16</w:t>
            </w:r>
          </w:p>
        </w:tc>
        <w:tc>
          <w:tcPr>
            <w:tcW w:w="905"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3E2BCBEF" w14:textId="59777E4E" w:rsidR="00DE3176" w:rsidRDefault="00DE3176" w:rsidP="00DE3176">
            <w:pPr>
              <w:spacing w:line="360" w:lineRule="auto"/>
              <w:jc w:val="both"/>
              <w:rPr>
                <w:rFonts w:ascii="Arial" w:hAnsi="Arial" w:cs="Arial"/>
                <w:sz w:val="24"/>
                <w:szCs w:val="24"/>
                <w:lang w:val="en-US"/>
              </w:rPr>
            </w:pPr>
            <w:r>
              <w:rPr>
                <w:rFonts w:ascii="Arial" w:hAnsi="Arial" w:cs="Arial"/>
                <w:sz w:val="24"/>
                <w:szCs w:val="24"/>
                <w:lang w:val="en-US"/>
              </w:rPr>
              <w:t>9.1</w:t>
            </w:r>
            <w:r>
              <w:rPr>
                <w:rFonts w:ascii="Arial" w:hAnsi="Arial" w:cs="Arial"/>
                <w:sz w:val="24"/>
                <w:szCs w:val="24"/>
              </w:rPr>
              <w:t xml:space="preserve"> ± </w:t>
            </w:r>
            <w:r>
              <w:rPr>
                <w:rFonts w:ascii="Arial" w:hAnsi="Arial" w:cs="Arial"/>
                <w:sz w:val="24"/>
                <w:szCs w:val="24"/>
                <w:lang w:val="en-US"/>
              </w:rPr>
              <w:t>1</w:t>
            </w:r>
            <w:r>
              <w:rPr>
                <w:rFonts w:ascii="Arial" w:hAnsi="Arial" w:cs="Arial"/>
                <w:sz w:val="24"/>
                <w:szCs w:val="24"/>
              </w:rPr>
              <w:t>.7</w:t>
            </w:r>
          </w:p>
        </w:tc>
        <w:tc>
          <w:tcPr>
            <w:tcW w:w="1276"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313B6A0A" w14:textId="411D7A82" w:rsidR="00DE3176" w:rsidRDefault="00DE3176" w:rsidP="00DE3176">
            <w:pPr>
              <w:spacing w:line="360" w:lineRule="auto"/>
              <w:jc w:val="both"/>
              <w:rPr>
                <w:rFonts w:ascii="Arial" w:hAnsi="Arial" w:cs="Arial"/>
                <w:sz w:val="24"/>
                <w:szCs w:val="24"/>
                <w:lang w:val="en-US"/>
              </w:rPr>
            </w:pPr>
            <w:r>
              <w:rPr>
                <w:rFonts w:ascii="Arial" w:hAnsi="Arial" w:cs="Arial"/>
                <w:sz w:val="24"/>
                <w:szCs w:val="24"/>
                <w:lang w:val="en-US"/>
              </w:rPr>
              <w:t>-</w:t>
            </w:r>
            <w:r>
              <w:rPr>
                <w:rFonts w:ascii="Arial" w:hAnsi="Arial" w:cs="Arial"/>
                <w:sz w:val="24"/>
                <w:szCs w:val="24"/>
              </w:rPr>
              <w:t>0.0</w:t>
            </w:r>
            <w:r>
              <w:rPr>
                <w:rFonts w:ascii="Arial" w:hAnsi="Arial" w:cs="Arial"/>
                <w:sz w:val="24"/>
                <w:szCs w:val="24"/>
                <w:lang w:val="en-US"/>
              </w:rPr>
              <w:t>075</w:t>
            </w:r>
            <w:r>
              <w:rPr>
                <w:rFonts w:ascii="Arial" w:hAnsi="Arial" w:cs="Arial"/>
                <w:sz w:val="24"/>
                <w:szCs w:val="24"/>
              </w:rPr>
              <w:t xml:space="preserve"> ± 0.0</w:t>
            </w:r>
            <w:r>
              <w:rPr>
                <w:rFonts w:ascii="Arial" w:hAnsi="Arial" w:cs="Arial"/>
                <w:sz w:val="24"/>
                <w:szCs w:val="24"/>
                <w:lang w:val="en-US"/>
              </w:rPr>
              <w:t>11</w:t>
            </w:r>
          </w:p>
        </w:tc>
        <w:tc>
          <w:tcPr>
            <w:tcW w:w="1134"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4F5FCFC8" w14:textId="7E4789B3" w:rsidR="00DE3176" w:rsidRDefault="00DE3176" w:rsidP="00DE3176">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038</w:t>
            </w:r>
            <w:r>
              <w:rPr>
                <w:rFonts w:ascii="Arial" w:hAnsi="Arial" w:cs="Arial"/>
                <w:sz w:val="24"/>
                <w:szCs w:val="24"/>
              </w:rPr>
              <w:t xml:space="preserve">  ± 0.0</w:t>
            </w:r>
            <w:r>
              <w:rPr>
                <w:rFonts w:ascii="Arial" w:hAnsi="Arial" w:cs="Arial"/>
                <w:sz w:val="24"/>
                <w:szCs w:val="24"/>
                <w:lang w:val="en-US"/>
              </w:rPr>
              <w:t>009</w:t>
            </w:r>
          </w:p>
        </w:tc>
        <w:tc>
          <w:tcPr>
            <w:tcW w:w="1229" w:type="dxa"/>
            <w:tcBorders>
              <w:top w:val="single" w:sz="8" w:space="0" w:color="A5A5A5"/>
              <w:left w:val="nil"/>
              <w:bottom w:val="single" w:sz="8" w:space="0" w:color="A5A5A5"/>
              <w:right w:val="nil"/>
            </w:tcBorders>
            <w:shd w:val="clear" w:color="auto" w:fill="F0F0F0"/>
          </w:tcPr>
          <w:p w14:paraId="12F76891" w14:textId="2B4785E0" w:rsidR="00DE3176" w:rsidRDefault="00DE3176" w:rsidP="00DE3176">
            <w:pPr>
              <w:spacing w:line="360" w:lineRule="auto"/>
              <w:jc w:val="both"/>
              <w:rPr>
                <w:rFonts w:ascii="Arial" w:hAnsi="Arial" w:cs="Arial"/>
                <w:sz w:val="24"/>
                <w:szCs w:val="24"/>
              </w:rPr>
            </w:pPr>
            <w:r>
              <w:rPr>
                <w:rFonts w:ascii="Arial" w:hAnsi="Arial" w:cs="Arial"/>
                <w:sz w:val="24"/>
                <w:szCs w:val="24"/>
              </w:rPr>
              <w:t>0.016</w:t>
            </w:r>
          </w:p>
        </w:tc>
      </w:tr>
      <w:tr w:rsidR="00DE3176" w14:paraId="3283AED8" w14:textId="5B833695" w:rsidTr="00DE3176">
        <w:trPr>
          <w:trHeight w:val="978"/>
          <w:jc w:val="center"/>
        </w:trPr>
        <w:tc>
          <w:tcPr>
            <w:tcW w:w="1624" w:type="dxa"/>
            <w:tcBorders>
              <w:top w:val="single" w:sz="8" w:space="0" w:color="A5A5A5"/>
              <w:left w:val="nil"/>
              <w:bottom w:val="nil"/>
              <w:right w:val="nil"/>
            </w:tcBorders>
            <w:shd w:val="clear" w:color="auto" w:fill="F0F0F0"/>
            <w:tcMar>
              <w:top w:w="72" w:type="dxa"/>
              <w:left w:w="144" w:type="dxa"/>
              <w:bottom w:w="72" w:type="dxa"/>
              <w:right w:w="144" w:type="dxa"/>
            </w:tcMar>
          </w:tcPr>
          <w:p w14:paraId="567EACEF" w14:textId="4562227E" w:rsidR="00DE3176" w:rsidRDefault="00DE3176" w:rsidP="00DE3176">
            <w:pPr>
              <w:spacing w:line="360" w:lineRule="auto"/>
              <w:jc w:val="both"/>
              <w:rPr>
                <w:rFonts w:ascii="Arial" w:hAnsi="Arial" w:cs="Arial"/>
                <w:sz w:val="24"/>
                <w:szCs w:val="24"/>
                <w:lang w:val="en-US"/>
              </w:rPr>
            </w:pPr>
            <w:r>
              <w:rPr>
                <w:rFonts w:ascii="Arial" w:hAnsi="Arial" w:cs="Arial"/>
                <w:sz w:val="24"/>
                <w:szCs w:val="24"/>
                <w:lang w:val="en-US"/>
              </w:rPr>
              <w:t>Cu</w:t>
            </w:r>
            <w:r>
              <w:rPr>
                <w:rFonts w:ascii="Arial" w:hAnsi="Arial" w:cs="Arial"/>
                <w:sz w:val="24"/>
                <w:szCs w:val="24"/>
              </w:rPr>
              <w:t>-Cu (</w:t>
            </w:r>
            <w:proofErr w:type="spellStart"/>
            <w:r>
              <w:rPr>
                <w:rFonts w:ascii="Arial" w:hAnsi="Arial" w:cs="Arial"/>
                <w:sz w:val="24"/>
                <w:szCs w:val="24"/>
              </w:rPr>
              <w:t>CuO</w:t>
            </w:r>
            <w:proofErr w:type="spellEnd"/>
            <w:r>
              <w:rPr>
                <w:rFonts w:ascii="Arial" w:hAnsi="Arial" w:cs="Arial"/>
                <w:sz w:val="24"/>
                <w:szCs w:val="24"/>
              </w:rPr>
              <w:t>)</w:t>
            </w:r>
          </w:p>
        </w:tc>
        <w:tc>
          <w:tcPr>
            <w:tcW w:w="1248" w:type="dxa"/>
            <w:tcBorders>
              <w:top w:val="single" w:sz="8" w:space="0" w:color="A5A5A5"/>
              <w:left w:val="nil"/>
              <w:bottom w:val="nil"/>
              <w:right w:val="nil"/>
            </w:tcBorders>
            <w:shd w:val="clear" w:color="auto" w:fill="F0F0F0"/>
            <w:tcMar>
              <w:top w:w="72" w:type="dxa"/>
              <w:left w:w="144" w:type="dxa"/>
              <w:bottom w:w="72" w:type="dxa"/>
              <w:right w:w="144" w:type="dxa"/>
            </w:tcMar>
          </w:tcPr>
          <w:p w14:paraId="54BD2D55" w14:textId="0534227C" w:rsidR="00DE3176" w:rsidRDefault="00DE3176" w:rsidP="00DE3176">
            <w:pPr>
              <w:spacing w:line="360" w:lineRule="auto"/>
              <w:jc w:val="both"/>
              <w:rPr>
                <w:rFonts w:ascii="Arial" w:hAnsi="Arial" w:cs="Arial"/>
                <w:sz w:val="24"/>
                <w:szCs w:val="24"/>
              </w:rPr>
            </w:pPr>
            <w:r>
              <w:rPr>
                <w:rFonts w:ascii="Arial" w:hAnsi="Arial" w:cs="Arial"/>
                <w:sz w:val="24"/>
                <w:szCs w:val="24"/>
              </w:rPr>
              <w:t>0.8503  ± 0.</w:t>
            </w:r>
            <w:r>
              <w:rPr>
                <w:rFonts w:ascii="Arial" w:hAnsi="Arial" w:cs="Arial"/>
                <w:sz w:val="24"/>
                <w:szCs w:val="24"/>
                <w:lang w:val="en-US"/>
              </w:rPr>
              <w:t>089</w:t>
            </w:r>
          </w:p>
        </w:tc>
        <w:tc>
          <w:tcPr>
            <w:tcW w:w="1610" w:type="dxa"/>
            <w:tcBorders>
              <w:top w:val="single" w:sz="8" w:space="0" w:color="A5A5A5"/>
              <w:left w:val="nil"/>
              <w:bottom w:val="nil"/>
              <w:right w:val="nil"/>
            </w:tcBorders>
            <w:shd w:val="clear" w:color="auto" w:fill="F0F0F0"/>
            <w:tcMar>
              <w:top w:w="72" w:type="dxa"/>
              <w:left w:w="144" w:type="dxa"/>
              <w:bottom w:w="72" w:type="dxa"/>
              <w:right w:w="144" w:type="dxa"/>
            </w:tcMar>
          </w:tcPr>
          <w:p w14:paraId="7880EDEB" w14:textId="21A0EA36" w:rsidR="00DE3176" w:rsidRDefault="00DE3176" w:rsidP="00DE3176">
            <w:pPr>
              <w:spacing w:line="360" w:lineRule="auto"/>
              <w:jc w:val="both"/>
              <w:rPr>
                <w:rFonts w:ascii="Arial" w:hAnsi="Arial" w:cs="Arial"/>
                <w:sz w:val="24"/>
                <w:szCs w:val="24"/>
                <w:lang w:val="en-US"/>
              </w:rPr>
            </w:pPr>
            <w:r>
              <w:rPr>
                <w:rFonts w:ascii="Arial" w:hAnsi="Arial" w:cs="Arial"/>
                <w:sz w:val="24"/>
                <w:szCs w:val="24"/>
                <w:lang w:val="en-US"/>
              </w:rPr>
              <w:t>0.82</w:t>
            </w:r>
            <w:r>
              <w:rPr>
                <w:rFonts w:ascii="Arial" w:hAnsi="Arial" w:cs="Arial"/>
                <w:sz w:val="24"/>
                <w:szCs w:val="24"/>
              </w:rPr>
              <w:t xml:space="preserve"> ± </w:t>
            </w:r>
            <w:r>
              <w:rPr>
                <w:rFonts w:ascii="Arial" w:hAnsi="Arial" w:cs="Arial"/>
                <w:sz w:val="24"/>
                <w:szCs w:val="24"/>
                <w:lang w:val="en-US"/>
              </w:rPr>
              <w:t>0.16</w:t>
            </w:r>
          </w:p>
        </w:tc>
        <w:tc>
          <w:tcPr>
            <w:tcW w:w="905" w:type="dxa"/>
            <w:tcBorders>
              <w:top w:val="single" w:sz="8" w:space="0" w:color="A5A5A5"/>
              <w:left w:val="nil"/>
              <w:bottom w:val="nil"/>
              <w:right w:val="nil"/>
            </w:tcBorders>
            <w:shd w:val="clear" w:color="auto" w:fill="F0F0F0"/>
            <w:tcMar>
              <w:top w:w="72" w:type="dxa"/>
              <w:left w:w="144" w:type="dxa"/>
              <w:bottom w:w="72" w:type="dxa"/>
              <w:right w:w="144" w:type="dxa"/>
            </w:tcMar>
          </w:tcPr>
          <w:p w14:paraId="05343AA0" w14:textId="2975B198" w:rsidR="00DE3176" w:rsidRDefault="00DE3176" w:rsidP="00DE3176">
            <w:pPr>
              <w:spacing w:line="360" w:lineRule="auto"/>
              <w:jc w:val="both"/>
              <w:rPr>
                <w:rFonts w:ascii="Arial" w:hAnsi="Arial" w:cs="Arial"/>
                <w:sz w:val="24"/>
                <w:szCs w:val="24"/>
                <w:lang w:val="en-US"/>
              </w:rPr>
            </w:pPr>
            <w:r>
              <w:rPr>
                <w:rFonts w:ascii="Arial" w:hAnsi="Arial" w:cs="Arial"/>
                <w:sz w:val="24"/>
                <w:szCs w:val="24"/>
                <w:lang w:val="en-US"/>
              </w:rPr>
              <w:t>9.1</w:t>
            </w:r>
            <w:r>
              <w:rPr>
                <w:rFonts w:ascii="Arial" w:hAnsi="Arial" w:cs="Arial"/>
                <w:sz w:val="24"/>
                <w:szCs w:val="24"/>
              </w:rPr>
              <w:t xml:space="preserve"> ± </w:t>
            </w:r>
            <w:r>
              <w:rPr>
                <w:rFonts w:ascii="Arial" w:hAnsi="Arial" w:cs="Arial"/>
                <w:sz w:val="24"/>
                <w:szCs w:val="24"/>
                <w:lang w:val="en-US"/>
              </w:rPr>
              <w:t>1</w:t>
            </w:r>
            <w:r>
              <w:rPr>
                <w:rFonts w:ascii="Arial" w:hAnsi="Arial" w:cs="Arial"/>
                <w:sz w:val="24"/>
                <w:szCs w:val="24"/>
              </w:rPr>
              <w:t>.7</w:t>
            </w:r>
          </w:p>
        </w:tc>
        <w:tc>
          <w:tcPr>
            <w:tcW w:w="1276" w:type="dxa"/>
            <w:tcBorders>
              <w:top w:val="single" w:sz="8" w:space="0" w:color="A5A5A5"/>
              <w:left w:val="nil"/>
              <w:bottom w:val="nil"/>
              <w:right w:val="nil"/>
            </w:tcBorders>
            <w:shd w:val="clear" w:color="auto" w:fill="F0F0F0"/>
            <w:tcMar>
              <w:top w:w="72" w:type="dxa"/>
              <w:left w:w="144" w:type="dxa"/>
              <w:bottom w:w="72" w:type="dxa"/>
              <w:right w:w="144" w:type="dxa"/>
            </w:tcMar>
          </w:tcPr>
          <w:p w14:paraId="3FB9AF1E" w14:textId="72FD053E" w:rsidR="00DE3176" w:rsidRDefault="00DE3176" w:rsidP="00DE3176">
            <w:pPr>
              <w:spacing w:line="360" w:lineRule="auto"/>
              <w:jc w:val="both"/>
              <w:rPr>
                <w:rFonts w:ascii="Arial" w:hAnsi="Arial" w:cs="Arial"/>
                <w:sz w:val="24"/>
                <w:szCs w:val="24"/>
                <w:lang w:val="en-US"/>
              </w:rPr>
            </w:pPr>
            <w:r>
              <w:rPr>
                <w:rFonts w:ascii="Arial" w:hAnsi="Arial" w:cs="Arial"/>
                <w:sz w:val="24"/>
                <w:szCs w:val="24"/>
                <w:lang w:val="en-US"/>
              </w:rPr>
              <w:t>-</w:t>
            </w:r>
            <w:r>
              <w:rPr>
                <w:rFonts w:ascii="Arial" w:hAnsi="Arial" w:cs="Arial"/>
                <w:sz w:val="24"/>
                <w:szCs w:val="24"/>
              </w:rPr>
              <w:t>0.011 ± 0.0</w:t>
            </w:r>
            <w:r>
              <w:rPr>
                <w:rFonts w:ascii="Arial" w:hAnsi="Arial" w:cs="Arial"/>
                <w:sz w:val="24"/>
                <w:szCs w:val="24"/>
                <w:lang w:val="en-US"/>
              </w:rPr>
              <w:t>16</w:t>
            </w:r>
          </w:p>
        </w:tc>
        <w:tc>
          <w:tcPr>
            <w:tcW w:w="1134" w:type="dxa"/>
            <w:tcBorders>
              <w:top w:val="single" w:sz="8" w:space="0" w:color="A5A5A5"/>
              <w:left w:val="nil"/>
              <w:bottom w:val="nil"/>
              <w:right w:val="nil"/>
            </w:tcBorders>
            <w:shd w:val="clear" w:color="auto" w:fill="F0F0F0"/>
            <w:tcMar>
              <w:top w:w="72" w:type="dxa"/>
              <w:left w:w="144" w:type="dxa"/>
              <w:bottom w:w="72" w:type="dxa"/>
              <w:right w:w="144" w:type="dxa"/>
            </w:tcMar>
          </w:tcPr>
          <w:p w14:paraId="517FE511" w14:textId="526E8523" w:rsidR="00DE3176" w:rsidRDefault="00DE3176" w:rsidP="00DE3176">
            <w:pPr>
              <w:spacing w:line="360" w:lineRule="auto"/>
              <w:jc w:val="both"/>
              <w:rPr>
                <w:rFonts w:ascii="Arial" w:hAnsi="Arial" w:cs="Arial"/>
                <w:sz w:val="24"/>
                <w:szCs w:val="24"/>
              </w:rPr>
            </w:pPr>
            <w:r>
              <w:rPr>
                <w:rFonts w:ascii="Arial" w:hAnsi="Arial" w:cs="Arial"/>
                <w:sz w:val="24"/>
                <w:szCs w:val="24"/>
                <w:lang w:val="en-US"/>
              </w:rPr>
              <w:t>0.0038</w:t>
            </w:r>
            <w:r>
              <w:rPr>
                <w:rFonts w:ascii="Arial" w:hAnsi="Arial" w:cs="Arial"/>
                <w:sz w:val="24"/>
                <w:szCs w:val="24"/>
              </w:rPr>
              <w:t xml:space="preserve">  ± 0.0</w:t>
            </w:r>
            <w:r>
              <w:rPr>
                <w:rFonts w:ascii="Arial" w:hAnsi="Arial" w:cs="Arial"/>
                <w:sz w:val="24"/>
                <w:szCs w:val="24"/>
                <w:lang w:val="en-US"/>
              </w:rPr>
              <w:t>009</w:t>
            </w:r>
          </w:p>
        </w:tc>
        <w:tc>
          <w:tcPr>
            <w:tcW w:w="1229" w:type="dxa"/>
            <w:tcBorders>
              <w:top w:val="single" w:sz="8" w:space="0" w:color="A5A5A5"/>
              <w:left w:val="nil"/>
              <w:bottom w:val="nil"/>
              <w:right w:val="nil"/>
            </w:tcBorders>
            <w:shd w:val="clear" w:color="auto" w:fill="F0F0F0"/>
          </w:tcPr>
          <w:p w14:paraId="57C2F970" w14:textId="71E7AEA6" w:rsidR="00DE3176" w:rsidRDefault="00DE3176" w:rsidP="00DE3176">
            <w:pPr>
              <w:spacing w:line="360" w:lineRule="auto"/>
              <w:jc w:val="both"/>
              <w:rPr>
                <w:rFonts w:ascii="Arial" w:hAnsi="Arial" w:cs="Arial"/>
                <w:sz w:val="24"/>
                <w:szCs w:val="24"/>
                <w:lang w:val="en-US"/>
              </w:rPr>
            </w:pPr>
            <w:r>
              <w:rPr>
                <w:rFonts w:ascii="Arial" w:hAnsi="Arial" w:cs="Arial"/>
                <w:sz w:val="24"/>
                <w:szCs w:val="24"/>
              </w:rPr>
              <w:t>0.016</w:t>
            </w:r>
          </w:p>
        </w:tc>
      </w:tr>
    </w:tbl>
    <w:p w14:paraId="00D75D01" w14:textId="5C320BDA" w:rsidR="00A978C5" w:rsidRDefault="00A978C5" w:rsidP="00A978C5">
      <w:pPr>
        <w:pStyle w:val="Caption"/>
        <w:jc w:val="both"/>
        <w:rPr>
          <w:rFonts w:ascii="Arial" w:hAnsi="Arial" w:cs="Arial"/>
          <w:i w:val="0"/>
          <w:iCs w:val="0"/>
        </w:rPr>
      </w:pPr>
      <w:r>
        <w:rPr>
          <w:rFonts w:ascii="Arial" w:hAnsi="Arial" w:cs="Arial"/>
          <w:i w:val="0"/>
          <w:iCs w:val="0"/>
        </w:rPr>
        <w:t>Fourier-transform parameters: k =3.0-</w:t>
      </w:r>
      <w:r w:rsidR="00C9487F">
        <w:rPr>
          <w:rFonts w:ascii="Arial" w:hAnsi="Arial" w:cs="Arial"/>
          <w:i w:val="0"/>
          <w:iCs w:val="0"/>
        </w:rPr>
        <w:t>9</w:t>
      </w:r>
      <w:r>
        <w:rPr>
          <w:rFonts w:ascii="Arial" w:hAnsi="Arial" w:cs="Arial"/>
          <w:i w:val="0"/>
          <w:iCs w:val="0"/>
        </w:rPr>
        <w:t>.</w:t>
      </w:r>
      <w:r w:rsidR="00C9487F">
        <w:rPr>
          <w:rFonts w:ascii="Arial" w:hAnsi="Arial" w:cs="Arial"/>
          <w:i w:val="0"/>
          <w:iCs w:val="0"/>
        </w:rPr>
        <w:t>5</w:t>
      </w:r>
      <w:r>
        <w:rPr>
          <w:rFonts w:ascii="Arial" w:hAnsi="Arial" w:cs="Arial"/>
          <w:i w:val="0"/>
          <w:iCs w:val="0"/>
        </w:rPr>
        <w:t xml:space="preserve"> Å</w:t>
      </w:r>
      <w:r w:rsidRPr="00C9487F">
        <w:rPr>
          <w:rFonts w:ascii="Arial" w:hAnsi="Arial" w:cs="Arial"/>
          <w:i w:val="0"/>
          <w:iCs w:val="0"/>
          <w:vertAlign w:val="superscript"/>
        </w:rPr>
        <w:t>-1</w:t>
      </w:r>
      <w:r>
        <w:rPr>
          <w:rFonts w:ascii="Arial" w:hAnsi="Arial" w:cs="Arial"/>
          <w:i w:val="0"/>
          <w:iCs w:val="0"/>
        </w:rPr>
        <w:t>, R = 1.0-3</w:t>
      </w:r>
      <w:r w:rsidR="00C9487F">
        <w:rPr>
          <w:rFonts w:ascii="Arial" w:hAnsi="Arial" w:cs="Arial"/>
          <w:i w:val="0"/>
          <w:iCs w:val="0"/>
        </w:rPr>
        <w:t>.0</w:t>
      </w:r>
      <w:r>
        <w:rPr>
          <w:rFonts w:ascii="Arial" w:hAnsi="Arial" w:cs="Arial"/>
          <w:i w:val="0"/>
          <w:iCs w:val="0"/>
        </w:rPr>
        <w:t xml:space="preserve"> Å. </w:t>
      </w:r>
      <w:proofErr w:type="spellStart"/>
      <w:r>
        <w:rPr>
          <w:rFonts w:ascii="Arial" w:hAnsi="Arial" w:cs="Arial"/>
          <w:i w:val="0"/>
          <w:iCs w:val="0"/>
          <w:vertAlign w:val="superscript"/>
        </w:rPr>
        <w:t>a</w:t>
      </w:r>
      <w:r>
        <w:rPr>
          <w:rFonts w:ascii="Arial" w:hAnsi="Arial" w:cs="Arial"/>
          <w:i w:val="0"/>
          <w:iCs w:val="0"/>
        </w:rPr>
        <w:t>Amplitude</w:t>
      </w:r>
      <w:proofErr w:type="spellEnd"/>
      <w:r>
        <w:rPr>
          <w:rFonts w:ascii="Arial" w:hAnsi="Arial" w:cs="Arial"/>
          <w:i w:val="0"/>
          <w:iCs w:val="0"/>
        </w:rPr>
        <w:t xml:space="preserve"> attenuation factor (obtained by fitting a Cu foil reference), </w:t>
      </w:r>
      <w:proofErr w:type="spellStart"/>
      <w:r>
        <w:rPr>
          <w:rFonts w:ascii="Arial" w:hAnsi="Arial" w:cs="Arial"/>
          <w:i w:val="0"/>
          <w:iCs w:val="0"/>
          <w:vertAlign w:val="superscript"/>
        </w:rPr>
        <w:t>b</w:t>
      </w:r>
      <w:r>
        <w:rPr>
          <w:rFonts w:ascii="Arial" w:hAnsi="Arial" w:cs="Arial"/>
          <w:i w:val="0"/>
          <w:iCs w:val="0"/>
        </w:rPr>
        <w:t>Energy</w:t>
      </w:r>
      <w:proofErr w:type="spellEnd"/>
      <w:r>
        <w:rPr>
          <w:rFonts w:ascii="Arial" w:hAnsi="Arial" w:cs="Arial"/>
          <w:i w:val="0"/>
          <w:iCs w:val="0"/>
        </w:rPr>
        <w:t xml:space="preserve"> shift, </w:t>
      </w:r>
      <w:proofErr w:type="spellStart"/>
      <w:r>
        <w:rPr>
          <w:rFonts w:ascii="Arial" w:hAnsi="Arial" w:cs="Arial"/>
          <w:i w:val="0"/>
          <w:iCs w:val="0"/>
          <w:vertAlign w:val="superscript"/>
        </w:rPr>
        <w:t>c</w:t>
      </w:r>
      <w:r>
        <w:rPr>
          <w:rFonts w:ascii="Arial" w:hAnsi="Arial" w:cs="Arial"/>
          <w:i w:val="0"/>
          <w:iCs w:val="0"/>
        </w:rPr>
        <w:t>Change</w:t>
      </w:r>
      <w:proofErr w:type="spellEnd"/>
      <w:r>
        <w:rPr>
          <w:rFonts w:ascii="Arial" w:hAnsi="Arial" w:cs="Arial"/>
          <w:i w:val="0"/>
          <w:iCs w:val="0"/>
        </w:rPr>
        <w:t xml:space="preserve"> in coordination distance with respect to reference (</w:t>
      </w:r>
      <w:proofErr w:type="spellStart"/>
      <w:r>
        <w:rPr>
          <w:rFonts w:ascii="Arial" w:hAnsi="Arial" w:cs="Arial"/>
          <w:i w:val="0"/>
          <w:iCs w:val="0"/>
        </w:rPr>
        <w:t>Cu</w:t>
      </w:r>
      <w:r w:rsidR="00C9487F">
        <w:rPr>
          <w:rFonts w:ascii="Arial" w:hAnsi="Arial" w:cs="Arial"/>
          <w:i w:val="0"/>
          <w:iCs w:val="0"/>
        </w:rPr>
        <w:t>O</w:t>
      </w:r>
      <w:proofErr w:type="spellEnd"/>
      <w:r>
        <w:rPr>
          <w:rFonts w:ascii="Arial" w:hAnsi="Arial" w:cs="Arial"/>
          <w:i w:val="0"/>
          <w:iCs w:val="0"/>
        </w:rPr>
        <w:t xml:space="preserve">): </w:t>
      </w:r>
      <w:r w:rsidR="00C53DC0">
        <w:rPr>
          <w:rFonts w:ascii="Arial" w:hAnsi="Arial" w:cs="Arial"/>
          <w:i w:val="0"/>
          <w:iCs w:val="0"/>
        </w:rPr>
        <w:t>1.956</w:t>
      </w:r>
      <w:r>
        <w:rPr>
          <w:rFonts w:ascii="Arial" w:hAnsi="Arial" w:cs="Arial"/>
          <w:i w:val="0"/>
          <w:iCs w:val="0"/>
        </w:rPr>
        <w:t xml:space="preserve"> Å</w:t>
      </w:r>
      <w:r w:rsidR="00C53DC0">
        <w:rPr>
          <w:rFonts w:ascii="Arial" w:hAnsi="Arial" w:cs="Arial"/>
          <w:i w:val="0"/>
          <w:iCs w:val="0"/>
        </w:rPr>
        <w:t xml:space="preserve"> and 2.939 Å, respectively</w:t>
      </w:r>
      <w:r>
        <w:rPr>
          <w:rFonts w:ascii="Arial" w:hAnsi="Arial" w:cs="Arial"/>
          <w:i w:val="0"/>
          <w:iCs w:val="0"/>
        </w:rPr>
        <w:t xml:space="preserve">, </w:t>
      </w:r>
      <w:proofErr w:type="spellStart"/>
      <w:r>
        <w:rPr>
          <w:rFonts w:ascii="Arial" w:hAnsi="Arial" w:cs="Arial"/>
          <w:i w:val="0"/>
          <w:iCs w:val="0"/>
          <w:vertAlign w:val="superscript"/>
        </w:rPr>
        <w:t>d</w:t>
      </w:r>
      <w:r>
        <w:rPr>
          <w:rFonts w:ascii="Arial" w:hAnsi="Arial" w:cs="Arial"/>
          <w:i w:val="0"/>
          <w:iCs w:val="0"/>
        </w:rPr>
        <w:t>Debye</w:t>
      </w:r>
      <w:proofErr w:type="spellEnd"/>
      <w:r>
        <w:rPr>
          <w:rFonts w:ascii="Arial" w:hAnsi="Arial" w:cs="Arial"/>
          <w:i w:val="0"/>
          <w:iCs w:val="0"/>
        </w:rPr>
        <w:t>-Waller factor.</w:t>
      </w:r>
    </w:p>
    <w:p w14:paraId="39FBAD7C" w14:textId="77777777" w:rsidR="005E4531" w:rsidRDefault="005E4531" w:rsidP="00320FDF">
      <w:pPr>
        <w:spacing w:after="100" w:afterAutospacing="1" w:line="360" w:lineRule="auto"/>
        <w:jc w:val="both"/>
        <w:rPr>
          <w:rFonts w:ascii="Arial" w:hAnsi="Arial" w:cs="Arial"/>
          <w:sz w:val="32"/>
          <w:lang w:val="en-US"/>
        </w:rPr>
      </w:pPr>
    </w:p>
    <w:p w14:paraId="29FE3B15" w14:textId="40E69E36" w:rsidR="006A7A1C" w:rsidRDefault="008A3685" w:rsidP="00BB5211">
      <w:pPr>
        <w:spacing w:after="100" w:afterAutospacing="1" w:line="360" w:lineRule="auto"/>
        <w:jc w:val="center"/>
        <w:rPr>
          <w:rFonts w:ascii="Arial" w:hAnsi="Arial" w:cs="Arial"/>
          <w:b/>
          <w:sz w:val="24"/>
          <w:szCs w:val="24"/>
          <w:lang w:val="en-US"/>
        </w:rPr>
      </w:pPr>
      <w:r>
        <w:rPr>
          <w:rFonts w:ascii="Arial" w:hAnsi="Arial" w:cs="Arial"/>
          <w:b/>
          <w:noProof/>
          <w:sz w:val="24"/>
          <w:szCs w:val="24"/>
          <w:lang w:val="en-US"/>
        </w:rPr>
        <w:lastRenderedPageBreak/>
        <w:drawing>
          <wp:inline distT="0" distB="0" distL="0" distR="0" wp14:anchorId="6A50525C" wp14:editId="459D80A7">
            <wp:extent cx="5731510" cy="8439785"/>
            <wp:effectExtent l="0" t="0" r="2540" b="0"/>
            <wp:docPr id="16296502" name="Picture 6"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502" name="Picture 6" descr="A graph of a function&#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8439785"/>
                    </a:xfrm>
                    <a:prstGeom prst="rect">
                      <a:avLst/>
                    </a:prstGeom>
                  </pic:spPr>
                </pic:pic>
              </a:graphicData>
            </a:graphic>
          </wp:inline>
        </w:drawing>
      </w:r>
    </w:p>
    <w:p w14:paraId="073B3EF9" w14:textId="2066338D" w:rsidR="005E4531" w:rsidRDefault="006B323D" w:rsidP="00320FDF">
      <w:pPr>
        <w:spacing w:after="100" w:afterAutospacing="1" w:line="360" w:lineRule="auto"/>
        <w:jc w:val="both"/>
        <w:rPr>
          <w:rFonts w:ascii="Arial" w:hAnsi="Arial" w:cs="Arial"/>
          <w:b/>
          <w:sz w:val="24"/>
          <w:szCs w:val="24"/>
          <w:lang w:val="en-US"/>
        </w:rPr>
      </w:pPr>
      <w:r>
        <w:rPr>
          <w:rFonts w:ascii="Arial" w:hAnsi="Arial" w:cs="Arial"/>
          <w:b/>
          <w:sz w:val="24"/>
          <w:szCs w:val="24"/>
          <w:lang w:val="en-US"/>
        </w:rPr>
        <w:lastRenderedPageBreak/>
        <w:t xml:space="preserve">Figure S19. </w:t>
      </w:r>
      <w:r w:rsidR="00C60072">
        <w:rPr>
          <w:rFonts w:ascii="Arial" w:hAnsi="Arial" w:cs="Arial"/>
          <w:sz w:val="24"/>
          <w:szCs w:val="24"/>
        </w:rPr>
        <w:t xml:space="preserve">The </w:t>
      </w:r>
      <w:r w:rsidR="00C60072">
        <w:rPr>
          <w:rFonts w:ascii="Arial" w:hAnsi="Arial" w:cs="Arial"/>
          <w:i/>
          <w:iCs/>
          <w:sz w:val="24"/>
          <w:szCs w:val="24"/>
        </w:rPr>
        <w:t>k</w:t>
      </w:r>
      <w:r w:rsidR="00C60072">
        <w:rPr>
          <w:rFonts w:ascii="Arial" w:hAnsi="Arial" w:cs="Arial"/>
          <w:sz w:val="24"/>
          <w:szCs w:val="24"/>
          <w:vertAlign w:val="superscript"/>
        </w:rPr>
        <w:t>3</w:t>
      </w:r>
      <w:r w:rsidR="00C60072">
        <w:rPr>
          <w:rFonts w:ascii="Arial" w:hAnsi="Arial" w:cs="Arial"/>
          <w:sz w:val="24"/>
          <w:szCs w:val="24"/>
        </w:rPr>
        <w:t xml:space="preserve">-weighted </w:t>
      </w:r>
      <w:r w:rsidR="00C60072">
        <w:rPr>
          <w:rFonts w:ascii="Arial" w:hAnsi="Arial" w:cs="Arial"/>
          <w:sz w:val="24"/>
          <w:szCs w:val="24"/>
          <w:lang w:val="en-US"/>
        </w:rPr>
        <w:t>EXAFS</w:t>
      </w:r>
      <w:r w:rsidR="00C60072">
        <w:rPr>
          <w:rFonts w:ascii="Arial" w:hAnsi="Arial" w:cs="Arial"/>
          <w:sz w:val="24"/>
          <w:szCs w:val="24"/>
        </w:rPr>
        <w:t xml:space="preserve"> of the </w:t>
      </w:r>
      <w:r w:rsidR="00C60072">
        <w:rPr>
          <w:rFonts w:ascii="Arial" w:hAnsi="Arial" w:cs="Arial"/>
          <w:sz w:val="24"/>
          <w:szCs w:val="24"/>
          <w:lang w:val="en-US"/>
        </w:rPr>
        <w:t xml:space="preserve">as-synthesized Cu-GO </w:t>
      </w:r>
      <w:r w:rsidR="00C60072">
        <w:rPr>
          <w:rFonts w:ascii="Arial" w:hAnsi="Arial" w:cs="Arial"/>
          <w:sz w:val="24"/>
          <w:szCs w:val="24"/>
        </w:rPr>
        <w:t xml:space="preserve">and the respective fit plotted in </w:t>
      </w:r>
      <w:r w:rsidR="00C60072">
        <w:rPr>
          <w:rFonts w:ascii="Arial" w:hAnsi="Arial" w:cs="Arial"/>
          <w:i/>
          <w:iCs/>
          <w:sz w:val="24"/>
          <w:szCs w:val="24"/>
        </w:rPr>
        <w:t>k</w:t>
      </w:r>
      <w:r w:rsidR="00C60072">
        <w:rPr>
          <w:rFonts w:ascii="Arial" w:hAnsi="Arial" w:cs="Arial"/>
          <w:sz w:val="24"/>
          <w:szCs w:val="24"/>
        </w:rPr>
        <w:t>-space</w:t>
      </w:r>
      <w:r w:rsidR="00C60072">
        <w:rPr>
          <w:rFonts w:ascii="Arial" w:hAnsi="Arial" w:cs="Arial"/>
          <w:sz w:val="24"/>
          <w:szCs w:val="24"/>
          <w:lang w:val="en-US"/>
        </w:rPr>
        <w:t xml:space="preserve"> </w:t>
      </w:r>
      <w:r w:rsidR="00C60072" w:rsidRPr="00747187">
        <w:rPr>
          <w:rFonts w:ascii="Arial" w:hAnsi="Arial" w:cs="Arial"/>
          <w:bCs/>
          <w:sz w:val="24"/>
          <w:szCs w:val="24"/>
          <w:lang w:val="en-US"/>
        </w:rPr>
        <w:t>(A)</w:t>
      </w:r>
      <w:r w:rsidR="00C60072">
        <w:rPr>
          <w:rFonts w:ascii="Arial" w:hAnsi="Arial" w:cs="Arial"/>
          <w:bCs/>
          <w:sz w:val="24"/>
          <w:szCs w:val="24"/>
          <w:lang w:val="en-US"/>
        </w:rPr>
        <w:t xml:space="preserve"> and in </w:t>
      </w:r>
      <w:r w:rsidR="00C60072" w:rsidRPr="00DF68BA">
        <w:rPr>
          <w:rFonts w:ascii="Arial" w:hAnsi="Arial" w:cs="Arial"/>
          <w:bCs/>
          <w:i/>
          <w:iCs/>
          <w:sz w:val="24"/>
          <w:szCs w:val="24"/>
          <w:lang w:val="en-US"/>
        </w:rPr>
        <w:t>R</w:t>
      </w:r>
      <w:r w:rsidR="008A2D45">
        <w:rPr>
          <w:rFonts w:ascii="Arial" w:hAnsi="Arial" w:cs="Arial"/>
          <w:bCs/>
          <w:sz w:val="24"/>
          <w:szCs w:val="24"/>
          <w:lang w:val="en-US"/>
        </w:rPr>
        <w:t>-s</w:t>
      </w:r>
      <w:r w:rsidR="00C60072">
        <w:rPr>
          <w:rFonts w:ascii="Arial" w:hAnsi="Arial" w:cs="Arial"/>
          <w:bCs/>
          <w:sz w:val="24"/>
          <w:szCs w:val="24"/>
          <w:lang w:val="en-US"/>
        </w:rPr>
        <w:t>pace (B)</w:t>
      </w:r>
      <w:r w:rsidR="00C60072">
        <w:rPr>
          <w:rFonts w:ascii="Arial" w:hAnsi="Arial" w:cs="Arial"/>
          <w:sz w:val="24"/>
          <w:szCs w:val="24"/>
        </w:rPr>
        <w:t xml:space="preserve">. </w:t>
      </w:r>
      <w:r w:rsidR="00C60072">
        <w:rPr>
          <w:rFonts w:ascii="Arial" w:hAnsi="Arial" w:cs="Arial"/>
          <w:sz w:val="24"/>
          <w:szCs w:val="24"/>
          <w:lang w:val="en-US"/>
        </w:rPr>
        <w:t>The window is the k-range included in the fit. The window of the R</w:t>
      </w:r>
      <w:r w:rsidR="00BC545A">
        <w:rPr>
          <w:rFonts w:ascii="Arial" w:hAnsi="Arial" w:cs="Arial"/>
          <w:sz w:val="24"/>
          <w:szCs w:val="24"/>
          <w:lang w:val="en-US"/>
        </w:rPr>
        <w:t>-</w:t>
      </w:r>
      <w:r w:rsidR="00C60072">
        <w:rPr>
          <w:rFonts w:ascii="Arial" w:hAnsi="Arial" w:cs="Arial"/>
          <w:sz w:val="24"/>
          <w:szCs w:val="24"/>
          <w:lang w:val="en-US"/>
        </w:rPr>
        <w:t xml:space="preserve">space included in the fit is 1-3 </w:t>
      </w:r>
      <w:r w:rsidR="00C60072">
        <w:rPr>
          <w:rFonts w:ascii="Arial" w:hAnsi="Arial" w:cs="Arial"/>
          <w:sz w:val="24"/>
          <w:szCs w:val="24"/>
        </w:rPr>
        <w:t>Å</w:t>
      </w:r>
      <w:r w:rsidR="00C60072">
        <w:rPr>
          <w:rFonts w:ascii="Arial" w:hAnsi="Arial" w:cs="Arial"/>
          <w:sz w:val="24"/>
          <w:szCs w:val="24"/>
          <w:lang w:val="en-US"/>
        </w:rPr>
        <w:t xml:space="preserve">.  </w:t>
      </w:r>
    </w:p>
    <w:p w14:paraId="06EB9088" w14:textId="216084D4" w:rsidR="005E4531" w:rsidRDefault="006B323D">
      <w:pPr>
        <w:spacing w:line="360" w:lineRule="auto"/>
        <w:jc w:val="both"/>
        <w:rPr>
          <w:rFonts w:ascii="Arial" w:hAnsi="Arial" w:cs="Arial"/>
          <w:bCs/>
          <w:sz w:val="24"/>
          <w:szCs w:val="24"/>
        </w:rPr>
      </w:pPr>
      <w:r>
        <w:rPr>
          <w:rFonts w:ascii="Arial" w:hAnsi="Arial" w:cs="Arial"/>
          <w:b/>
          <w:sz w:val="24"/>
          <w:szCs w:val="24"/>
        </w:rPr>
        <w:t>Table S</w:t>
      </w:r>
      <w:r w:rsidR="00A978C5">
        <w:rPr>
          <w:rFonts w:ascii="Arial" w:hAnsi="Arial" w:cs="Arial"/>
          <w:b/>
          <w:sz w:val="24"/>
          <w:szCs w:val="24"/>
          <w:lang w:val="en-US"/>
        </w:rPr>
        <w:t>4</w:t>
      </w:r>
      <w:r>
        <w:rPr>
          <w:rFonts w:ascii="Arial" w:hAnsi="Arial" w:cs="Arial"/>
          <w:b/>
          <w:sz w:val="24"/>
          <w:szCs w:val="24"/>
        </w:rPr>
        <w:t xml:space="preserve">. </w:t>
      </w:r>
      <w:r>
        <w:rPr>
          <w:rFonts w:ascii="Arial" w:hAnsi="Arial" w:cs="Arial"/>
          <w:bCs/>
          <w:sz w:val="24"/>
          <w:szCs w:val="24"/>
        </w:rPr>
        <w:t xml:space="preserve">Extended X-ray absorption fine structure (EXAFS) fitting parameters of the </w:t>
      </w:r>
      <w:r>
        <w:rPr>
          <w:rFonts w:ascii="Arial" w:hAnsi="Arial" w:cs="Arial"/>
          <w:bCs/>
          <w:sz w:val="24"/>
          <w:szCs w:val="24"/>
          <w:lang w:val="en-US"/>
        </w:rPr>
        <w:t>as-synthesized Cu-GO catalyst</w:t>
      </w:r>
      <w:r>
        <w:rPr>
          <w:rFonts w:ascii="Arial" w:hAnsi="Arial" w:cs="Arial"/>
          <w:bCs/>
          <w:sz w:val="24"/>
          <w:szCs w:val="24"/>
        </w:rPr>
        <w:t>.</w:t>
      </w:r>
    </w:p>
    <w:tbl>
      <w:tblPr>
        <w:tblW w:w="9026" w:type="dxa"/>
        <w:jc w:val="center"/>
        <w:tblCellMar>
          <w:left w:w="0" w:type="dxa"/>
          <w:right w:w="0" w:type="dxa"/>
        </w:tblCellMar>
        <w:tblLook w:val="0420" w:firstRow="1" w:lastRow="0" w:firstColumn="0" w:lastColumn="0" w:noHBand="0" w:noVBand="1"/>
      </w:tblPr>
      <w:tblGrid>
        <w:gridCol w:w="1533"/>
        <w:gridCol w:w="1228"/>
        <w:gridCol w:w="1544"/>
        <w:gridCol w:w="1252"/>
        <w:gridCol w:w="1281"/>
        <w:gridCol w:w="1023"/>
        <w:gridCol w:w="1165"/>
      </w:tblGrid>
      <w:tr w:rsidR="001D2D79" w14:paraId="069A3495" w14:textId="3CEFA913" w:rsidTr="001D2D79">
        <w:trPr>
          <w:trHeight w:val="978"/>
          <w:jc w:val="center"/>
        </w:trPr>
        <w:tc>
          <w:tcPr>
            <w:tcW w:w="1613"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6295D37A" w14:textId="77777777" w:rsidR="001D2D79" w:rsidRDefault="001D2D79" w:rsidP="001D2D79">
            <w:pPr>
              <w:spacing w:line="360" w:lineRule="auto"/>
              <w:jc w:val="both"/>
              <w:rPr>
                <w:rFonts w:ascii="Arial" w:hAnsi="Arial" w:cs="Arial"/>
                <w:sz w:val="24"/>
                <w:szCs w:val="24"/>
              </w:rPr>
            </w:pPr>
            <w:r>
              <w:rPr>
                <w:rFonts w:ascii="Arial" w:hAnsi="Arial" w:cs="Arial"/>
                <w:b/>
                <w:bCs/>
                <w:sz w:val="24"/>
                <w:szCs w:val="24"/>
              </w:rPr>
              <w:t>Coordination shell</w:t>
            </w:r>
          </w:p>
        </w:tc>
        <w:tc>
          <w:tcPr>
            <w:tcW w:w="1251"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28DEE962" w14:textId="371790F5" w:rsidR="001D2D79" w:rsidRDefault="001D2D79" w:rsidP="001D2D79">
            <w:pPr>
              <w:spacing w:line="360" w:lineRule="auto"/>
              <w:jc w:val="both"/>
              <w:rPr>
                <w:rFonts w:ascii="Arial" w:hAnsi="Arial" w:cs="Arial"/>
                <w:sz w:val="24"/>
                <w:szCs w:val="24"/>
              </w:rPr>
            </w:pPr>
            <w:r>
              <w:rPr>
                <w:rFonts w:ascii="Arial" w:hAnsi="Arial" w:cs="Arial"/>
                <w:b/>
                <w:bCs/>
                <w:sz w:val="24"/>
                <w:szCs w:val="24"/>
                <w:vertAlign w:val="superscript"/>
              </w:rPr>
              <w:t>a</w:t>
            </w:r>
            <w:r>
              <w:rPr>
                <w:rFonts w:ascii="Arial" w:hAnsi="Arial" w:cs="Arial"/>
                <w:b/>
                <w:bCs/>
                <w:sz w:val="24"/>
                <w:szCs w:val="24"/>
              </w:rPr>
              <w:t>S</w:t>
            </w:r>
            <w:r>
              <w:rPr>
                <w:rFonts w:ascii="Arial" w:hAnsi="Arial" w:cs="Arial"/>
                <w:b/>
                <w:bCs/>
                <w:sz w:val="24"/>
                <w:szCs w:val="24"/>
                <w:vertAlign w:val="superscript"/>
              </w:rPr>
              <w:t>2</w:t>
            </w:r>
            <w:r>
              <w:rPr>
                <w:rFonts w:ascii="Arial" w:hAnsi="Arial" w:cs="Arial"/>
                <w:b/>
                <w:bCs/>
                <w:sz w:val="24"/>
                <w:szCs w:val="24"/>
                <w:vertAlign w:val="subscript"/>
              </w:rPr>
              <w:t>0,</w:t>
            </w:r>
            <w:r>
              <w:rPr>
                <w:rFonts w:ascii="Arial" w:hAnsi="Arial" w:cs="Arial"/>
                <w:b/>
                <w:bCs/>
                <w:sz w:val="24"/>
                <w:szCs w:val="24"/>
                <w:vertAlign w:val="subscript"/>
                <w:lang w:val="en-US"/>
              </w:rPr>
              <w:t>Cu</w:t>
            </w:r>
            <w:r>
              <w:rPr>
                <w:rFonts w:ascii="Arial" w:hAnsi="Arial" w:cs="Arial"/>
                <w:b/>
                <w:bCs/>
                <w:sz w:val="24"/>
                <w:szCs w:val="24"/>
                <w:vertAlign w:val="superscript"/>
              </w:rPr>
              <w:t xml:space="preserve"> </w:t>
            </w:r>
          </w:p>
        </w:tc>
        <w:tc>
          <w:tcPr>
            <w:tcW w:w="162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0AAC1259" w14:textId="77777777" w:rsidR="001D2D79" w:rsidRDefault="001D2D79" w:rsidP="001D2D79">
            <w:pPr>
              <w:spacing w:line="360" w:lineRule="auto"/>
              <w:jc w:val="both"/>
              <w:rPr>
                <w:rFonts w:ascii="Arial" w:hAnsi="Arial" w:cs="Arial"/>
                <w:sz w:val="24"/>
                <w:szCs w:val="24"/>
              </w:rPr>
            </w:pPr>
            <w:r>
              <w:rPr>
                <w:rFonts w:ascii="Arial" w:hAnsi="Arial" w:cs="Arial"/>
                <w:b/>
                <w:bCs/>
                <w:sz w:val="24"/>
                <w:szCs w:val="24"/>
              </w:rPr>
              <w:t>Coordination number</w:t>
            </w:r>
          </w:p>
        </w:tc>
        <w:tc>
          <w:tcPr>
            <w:tcW w:w="1302"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06488739" w14:textId="77777777" w:rsidR="001D2D79" w:rsidRDefault="001D2D79" w:rsidP="001D2D79">
            <w:pPr>
              <w:spacing w:line="360" w:lineRule="auto"/>
              <w:jc w:val="both"/>
              <w:rPr>
                <w:rFonts w:ascii="Arial" w:hAnsi="Arial" w:cs="Arial"/>
                <w:sz w:val="24"/>
                <w:szCs w:val="24"/>
              </w:rPr>
            </w:pPr>
            <w:r>
              <w:rPr>
                <w:rFonts w:ascii="Arial" w:hAnsi="Arial" w:cs="Arial"/>
                <w:b/>
                <w:bCs/>
                <w:sz w:val="24"/>
                <w:szCs w:val="24"/>
                <w:vertAlign w:val="superscript"/>
              </w:rPr>
              <w:t>b</w:t>
            </w:r>
            <w:r>
              <w:rPr>
                <w:rFonts w:ascii="Arial" w:hAnsi="Arial" w:cs="Arial"/>
                <w:b/>
                <w:bCs/>
                <w:sz w:val="24"/>
                <w:szCs w:val="24"/>
                <w:lang w:val="el-GR"/>
              </w:rPr>
              <w:t>Δ</w:t>
            </w:r>
            <w:proofErr w:type="spellStart"/>
            <w:r>
              <w:rPr>
                <w:rFonts w:ascii="Arial" w:hAnsi="Arial" w:cs="Arial"/>
                <w:b/>
                <w:bCs/>
                <w:sz w:val="24"/>
                <w:szCs w:val="24"/>
              </w:rPr>
              <w:t>E</w:t>
            </w:r>
            <w:r>
              <w:rPr>
                <w:rFonts w:ascii="Arial" w:hAnsi="Arial" w:cs="Arial"/>
                <w:b/>
                <w:bCs/>
                <w:sz w:val="24"/>
                <w:szCs w:val="24"/>
                <w:vertAlign w:val="subscript"/>
              </w:rPr>
              <w:t>o</w:t>
            </w:r>
            <w:proofErr w:type="spellEnd"/>
            <w:r>
              <w:rPr>
                <w:rFonts w:ascii="Arial" w:hAnsi="Arial" w:cs="Arial"/>
                <w:b/>
                <w:bCs/>
                <w:sz w:val="24"/>
                <w:szCs w:val="24"/>
                <w:vertAlign w:val="subscript"/>
              </w:rPr>
              <w:t xml:space="preserve"> </w:t>
            </w:r>
            <w:r>
              <w:rPr>
                <w:rFonts w:ascii="Arial" w:hAnsi="Arial" w:cs="Arial"/>
                <w:b/>
                <w:bCs/>
                <w:sz w:val="24"/>
                <w:szCs w:val="24"/>
              </w:rPr>
              <w:t>[eV]</w:t>
            </w:r>
          </w:p>
        </w:tc>
        <w:tc>
          <w:tcPr>
            <w:tcW w:w="1326"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2778539A" w14:textId="77777777" w:rsidR="001D2D79" w:rsidRDefault="001D2D79" w:rsidP="001D2D79">
            <w:pPr>
              <w:spacing w:line="360" w:lineRule="auto"/>
              <w:jc w:val="both"/>
              <w:rPr>
                <w:rFonts w:ascii="Arial" w:hAnsi="Arial" w:cs="Arial"/>
                <w:sz w:val="24"/>
                <w:szCs w:val="24"/>
              </w:rPr>
            </w:pPr>
            <w:r>
              <w:rPr>
                <w:rFonts w:ascii="Arial" w:hAnsi="Arial" w:cs="Arial"/>
                <w:b/>
                <w:bCs/>
                <w:sz w:val="24"/>
                <w:szCs w:val="24"/>
                <w:vertAlign w:val="superscript"/>
              </w:rPr>
              <w:t>c</w:t>
            </w:r>
            <w:r>
              <w:rPr>
                <w:rFonts w:ascii="Arial" w:hAnsi="Arial" w:cs="Arial"/>
                <w:b/>
                <w:bCs/>
                <w:sz w:val="24"/>
                <w:szCs w:val="24"/>
                <w:lang w:val="el-GR"/>
              </w:rPr>
              <w:t>Δ</w:t>
            </w:r>
            <w:r>
              <w:rPr>
                <w:rFonts w:ascii="Arial" w:hAnsi="Arial" w:cs="Arial"/>
                <w:b/>
                <w:bCs/>
                <w:sz w:val="24"/>
                <w:szCs w:val="24"/>
              </w:rPr>
              <w:t>R [</w:t>
            </w:r>
            <w:r>
              <w:rPr>
                <w:rFonts w:ascii="Arial" w:hAnsi="Arial" w:cs="Arial"/>
                <w:sz w:val="24"/>
                <w:szCs w:val="24"/>
              </w:rPr>
              <w:t>Å</w:t>
            </w:r>
            <w:r>
              <w:rPr>
                <w:rFonts w:ascii="Arial" w:hAnsi="Arial" w:cs="Arial"/>
                <w:b/>
                <w:bCs/>
                <w:sz w:val="24"/>
                <w:szCs w:val="24"/>
              </w:rPr>
              <w:t>]</w:t>
            </w:r>
          </w:p>
        </w:tc>
        <w:tc>
          <w:tcPr>
            <w:tcW w:w="685"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4E2BEFC5" w14:textId="77777777" w:rsidR="001D2D79" w:rsidRDefault="001D2D79" w:rsidP="001D2D79">
            <w:pPr>
              <w:spacing w:line="360" w:lineRule="auto"/>
              <w:jc w:val="both"/>
              <w:rPr>
                <w:rFonts w:ascii="Arial" w:hAnsi="Arial" w:cs="Arial"/>
                <w:sz w:val="24"/>
                <w:szCs w:val="24"/>
              </w:rPr>
            </w:pPr>
            <w:r>
              <w:rPr>
                <w:rFonts w:ascii="Arial" w:hAnsi="Arial" w:cs="Arial"/>
                <w:b/>
                <w:bCs/>
                <w:sz w:val="24"/>
                <w:szCs w:val="24"/>
                <w:vertAlign w:val="superscript"/>
              </w:rPr>
              <w:t>d</w:t>
            </w:r>
            <w:r>
              <w:rPr>
                <w:rFonts w:ascii="Arial" w:hAnsi="Arial" w:cs="Arial"/>
                <w:b/>
                <w:bCs/>
                <w:sz w:val="24"/>
                <w:szCs w:val="24"/>
              </w:rPr>
              <w:t>σ</w:t>
            </w:r>
            <w:r>
              <w:rPr>
                <w:rFonts w:ascii="Arial" w:hAnsi="Arial" w:cs="Arial"/>
                <w:b/>
                <w:bCs/>
                <w:sz w:val="24"/>
                <w:szCs w:val="24"/>
                <w:vertAlign w:val="superscript"/>
              </w:rPr>
              <w:t>2</w:t>
            </w:r>
            <w:r>
              <w:rPr>
                <w:rFonts w:ascii="Arial" w:hAnsi="Arial" w:cs="Arial"/>
                <w:b/>
                <w:bCs/>
                <w:sz w:val="24"/>
                <w:szCs w:val="24"/>
              </w:rPr>
              <w:t xml:space="preserve"> [</w:t>
            </w:r>
            <w:r>
              <w:rPr>
                <w:rFonts w:ascii="Arial" w:hAnsi="Arial" w:cs="Arial"/>
                <w:sz w:val="24"/>
                <w:szCs w:val="24"/>
              </w:rPr>
              <w:t>Å</w:t>
            </w:r>
            <w:r>
              <w:rPr>
                <w:rFonts w:ascii="Arial" w:hAnsi="Arial" w:cs="Arial"/>
                <w:sz w:val="24"/>
                <w:szCs w:val="24"/>
                <w:vertAlign w:val="superscript"/>
              </w:rPr>
              <w:t>2</w:t>
            </w:r>
            <w:r>
              <w:rPr>
                <w:rFonts w:ascii="Arial" w:hAnsi="Arial" w:cs="Arial"/>
                <w:b/>
                <w:bCs/>
                <w:sz w:val="24"/>
                <w:szCs w:val="24"/>
              </w:rPr>
              <w:t>]</w:t>
            </w:r>
          </w:p>
        </w:tc>
        <w:tc>
          <w:tcPr>
            <w:tcW w:w="1229" w:type="dxa"/>
            <w:tcBorders>
              <w:top w:val="single" w:sz="8" w:space="0" w:color="A5A5A5"/>
              <w:left w:val="nil"/>
              <w:bottom w:val="single" w:sz="8" w:space="0" w:color="A5A5A5"/>
              <w:right w:val="nil"/>
            </w:tcBorders>
          </w:tcPr>
          <w:p w14:paraId="5136169E" w14:textId="246797AD" w:rsidR="001D2D79" w:rsidRDefault="001D2D79" w:rsidP="001D2D79">
            <w:pPr>
              <w:spacing w:line="360" w:lineRule="auto"/>
              <w:jc w:val="both"/>
              <w:rPr>
                <w:rFonts w:ascii="Arial" w:hAnsi="Arial" w:cs="Arial"/>
                <w:b/>
                <w:bCs/>
                <w:sz w:val="24"/>
                <w:szCs w:val="24"/>
                <w:vertAlign w:val="superscript"/>
              </w:rPr>
            </w:pPr>
            <w:r w:rsidRPr="008A3D0C">
              <w:rPr>
                <w:rFonts w:ascii="Arial" w:hAnsi="Arial" w:cs="Arial"/>
                <w:b/>
                <w:bCs/>
                <w:sz w:val="24"/>
                <w:szCs w:val="24"/>
              </w:rPr>
              <w:t>R-factor</w:t>
            </w:r>
          </w:p>
        </w:tc>
      </w:tr>
      <w:tr w:rsidR="001D2D79" w14:paraId="5A374EE9" w14:textId="76E96F44" w:rsidTr="001D2D79">
        <w:trPr>
          <w:trHeight w:val="978"/>
          <w:jc w:val="center"/>
        </w:trPr>
        <w:tc>
          <w:tcPr>
            <w:tcW w:w="1613"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64DFEDB3" w14:textId="77777777" w:rsidR="001D2D79" w:rsidRDefault="001D2D79" w:rsidP="001D2D79">
            <w:pPr>
              <w:spacing w:line="360" w:lineRule="auto"/>
              <w:jc w:val="both"/>
              <w:rPr>
                <w:rFonts w:ascii="Arial" w:hAnsi="Arial" w:cs="Arial"/>
                <w:sz w:val="24"/>
                <w:szCs w:val="24"/>
                <w:lang w:val="en-US"/>
              </w:rPr>
            </w:pPr>
            <w:r>
              <w:rPr>
                <w:rFonts w:ascii="Arial" w:hAnsi="Arial" w:cs="Arial"/>
                <w:sz w:val="24"/>
                <w:szCs w:val="24"/>
                <w:lang w:val="en-US"/>
              </w:rPr>
              <w:t>Cu</w:t>
            </w:r>
            <w:r>
              <w:rPr>
                <w:rFonts w:ascii="Arial" w:hAnsi="Arial" w:cs="Arial"/>
                <w:sz w:val="24"/>
                <w:szCs w:val="24"/>
              </w:rPr>
              <w:t>-</w:t>
            </w:r>
            <w:r>
              <w:rPr>
                <w:rFonts w:ascii="Arial" w:hAnsi="Arial" w:cs="Arial"/>
                <w:sz w:val="24"/>
                <w:szCs w:val="24"/>
                <w:lang w:val="en-US"/>
              </w:rPr>
              <w:t>O</w:t>
            </w:r>
          </w:p>
        </w:tc>
        <w:tc>
          <w:tcPr>
            <w:tcW w:w="1251"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7DAEE75B" w14:textId="77777777" w:rsidR="001D2D79" w:rsidRDefault="001D2D79" w:rsidP="001D2D79">
            <w:pPr>
              <w:spacing w:line="360" w:lineRule="auto"/>
              <w:jc w:val="both"/>
              <w:rPr>
                <w:rFonts w:ascii="Arial" w:hAnsi="Arial" w:cs="Arial"/>
                <w:sz w:val="24"/>
                <w:szCs w:val="24"/>
                <w:lang w:val="en-US"/>
              </w:rPr>
            </w:pPr>
            <w:r>
              <w:rPr>
                <w:rFonts w:ascii="Arial" w:hAnsi="Arial" w:cs="Arial"/>
                <w:sz w:val="24"/>
                <w:szCs w:val="24"/>
              </w:rPr>
              <w:t>0.85</w:t>
            </w:r>
            <w:r>
              <w:rPr>
                <w:rFonts w:ascii="Arial" w:hAnsi="Arial" w:cs="Arial"/>
                <w:sz w:val="24"/>
                <w:szCs w:val="24"/>
                <w:lang w:val="en-US"/>
              </w:rPr>
              <w:t>03</w:t>
            </w:r>
            <w:r>
              <w:rPr>
                <w:rFonts w:ascii="Arial" w:hAnsi="Arial" w:cs="Arial"/>
                <w:sz w:val="24"/>
                <w:szCs w:val="24"/>
              </w:rPr>
              <w:t xml:space="preserve">  ± 0.</w:t>
            </w:r>
            <w:r>
              <w:rPr>
                <w:rFonts w:ascii="Arial" w:hAnsi="Arial" w:cs="Arial"/>
                <w:sz w:val="24"/>
                <w:szCs w:val="24"/>
                <w:lang w:val="en-US"/>
              </w:rPr>
              <w:t>089</w:t>
            </w:r>
          </w:p>
        </w:tc>
        <w:tc>
          <w:tcPr>
            <w:tcW w:w="1620"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39EE8D83" w14:textId="77777777" w:rsidR="001D2D79" w:rsidRDefault="001D2D79" w:rsidP="001D2D79">
            <w:pPr>
              <w:spacing w:line="360" w:lineRule="auto"/>
              <w:jc w:val="both"/>
              <w:rPr>
                <w:rFonts w:ascii="Arial" w:hAnsi="Arial" w:cs="Arial"/>
                <w:sz w:val="24"/>
                <w:szCs w:val="24"/>
                <w:lang w:val="en-US"/>
              </w:rPr>
            </w:pPr>
            <w:r>
              <w:rPr>
                <w:rFonts w:ascii="Arial" w:hAnsi="Arial" w:cs="Arial"/>
                <w:sz w:val="24"/>
                <w:szCs w:val="24"/>
                <w:lang w:val="en-US"/>
              </w:rPr>
              <w:t>3.6</w:t>
            </w:r>
            <w:r>
              <w:rPr>
                <w:rFonts w:ascii="Arial" w:hAnsi="Arial" w:cs="Arial"/>
                <w:sz w:val="24"/>
                <w:szCs w:val="24"/>
              </w:rPr>
              <w:t xml:space="preserve">  ± 0</w:t>
            </w:r>
            <w:r>
              <w:rPr>
                <w:rFonts w:ascii="Arial" w:hAnsi="Arial" w:cs="Arial"/>
                <w:sz w:val="24"/>
                <w:szCs w:val="24"/>
                <w:lang w:val="en-US"/>
              </w:rPr>
              <w:t>.33</w:t>
            </w:r>
          </w:p>
        </w:tc>
        <w:tc>
          <w:tcPr>
            <w:tcW w:w="1302"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0FB7B362" w14:textId="77777777" w:rsidR="001D2D79" w:rsidRPr="00E10FF7" w:rsidRDefault="001D2D79" w:rsidP="001D2D79">
            <w:pPr>
              <w:spacing w:line="360" w:lineRule="auto"/>
              <w:jc w:val="both"/>
              <w:rPr>
                <w:rFonts w:ascii="Arial" w:hAnsi="Arial" w:cs="Arial"/>
                <w:sz w:val="24"/>
                <w:szCs w:val="24"/>
                <w:lang w:val="en-US"/>
              </w:rPr>
            </w:pPr>
            <w:r>
              <w:rPr>
                <w:rFonts w:ascii="Arial" w:hAnsi="Arial" w:cs="Arial"/>
                <w:sz w:val="24"/>
                <w:szCs w:val="24"/>
                <w:lang w:val="en-US"/>
              </w:rPr>
              <w:t xml:space="preserve">7.1 </w:t>
            </w:r>
            <w:r>
              <w:rPr>
                <w:rFonts w:ascii="Arial" w:hAnsi="Arial" w:cs="Arial"/>
                <w:sz w:val="24"/>
                <w:szCs w:val="24"/>
              </w:rPr>
              <w:t xml:space="preserve">± </w:t>
            </w:r>
            <w:r>
              <w:rPr>
                <w:rFonts w:ascii="Arial" w:hAnsi="Arial" w:cs="Arial"/>
                <w:sz w:val="24"/>
                <w:szCs w:val="24"/>
                <w:lang w:val="en-US"/>
              </w:rPr>
              <w:t>1</w:t>
            </w:r>
            <w:r>
              <w:rPr>
                <w:rFonts w:ascii="Arial" w:hAnsi="Arial" w:cs="Arial"/>
                <w:sz w:val="24"/>
                <w:szCs w:val="24"/>
              </w:rPr>
              <w:t>.</w:t>
            </w:r>
            <w:r>
              <w:rPr>
                <w:rFonts w:ascii="Arial" w:hAnsi="Arial" w:cs="Arial"/>
                <w:sz w:val="24"/>
                <w:szCs w:val="24"/>
                <w:lang w:val="en-US"/>
              </w:rPr>
              <w:t>1</w:t>
            </w:r>
          </w:p>
        </w:tc>
        <w:tc>
          <w:tcPr>
            <w:tcW w:w="1326"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15697372" w14:textId="77777777" w:rsidR="001D2D79" w:rsidRDefault="001D2D79" w:rsidP="001D2D79">
            <w:pPr>
              <w:spacing w:line="360" w:lineRule="auto"/>
              <w:jc w:val="both"/>
              <w:rPr>
                <w:rFonts w:ascii="Arial" w:hAnsi="Arial" w:cs="Arial"/>
                <w:sz w:val="24"/>
                <w:szCs w:val="24"/>
                <w:lang w:val="en-US"/>
              </w:rPr>
            </w:pPr>
            <w:r>
              <w:rPr>
                <w:rFonts w:ascii="Arial" w:hAnsi="Arial" w:cs="Arial"/>
                <w:sz w:val="24"/>
                <w:szCs w:val="24"/>
                <w:lang w:val="en-US"/>
              </w:rPr>
              <w:t>-</w:t>
            </w:r>
            <w:r w:rsidRPr="00C018CA">
              <w:rPr>
                <w:rFonts w:ascii="Arial" w:hAnsi="Arial" w:cs="Arial"/>
                <w:sz w:val="24"/>
                <w:szCs w:val="24"/>
              </w:rPr>
              <w:t>0.016</w:t>
            </w:r>
            <w:r>
              <w:rPr>
                <w:rFonts w:ascii="Arial" w:hAnsi="Arial" w:cs="Arial"/>
                <w:sz w:val="24"/>
                <w:szCs w:val="24"/>
              </w:rPr>
              <w:t xml:space="preserve"> ± 0.0</w:t>
            </w:r>
            <w:r>
              <w:rPr>
                <w:rFonts w:ascii="Arial" w:hAnsi="Arial" w:cs="Arial"/>
                <w:sz w:val="24"/>
                <w:szCs w:val="24"/>
                <w:lang w:val="en-US"/>
              </w:rPr>
              <w:t>09</w:t>
            </w:r>
          </w:p>
        </w:tc>
        <w:tc>
          <w:tcPr>
            <w:tcW w:w="685" w:type="dxa"/>
            <w:tcBorders>
              <w:top w:val="single" w:sz="8" w:space="0" w:color="A5A5A5"/>
              <w:left w:val="nil"/>
              <w:bottom w:val="single" w:sz="8" w:space="0" w:color="A5A5A5"/>
              <w:right w:val="nil"/>
            </w:tcBorders>
            <w:shd w:val="clear" w:color="auto" w:fill="F0F0F0"/>
            <w:tcMar>
              <w:top w:w="72" w:type="dxa"/>
              <w:left w:w="144" w:type="dxa"/>
              <w:bottom w:w="72" w:type="dxa"/>
              <w:right w:w="144" w:type="dxa"/>
            </w:tcMar>
            <w:hideMark/>
          </w:tcPr>
          <w:p w14:paraId="097EA2C6" w14:textId="77777777" w:rsidR="001D2D79" w:rsidRDefault="001D2D79" w:rsidP="001D2D79">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0</w:t>
            </w:r>
            <w:r>
              <w:rPr>
                <w:rFonts w:ascii="Arial" w:hAnsi="Arial" w:cs="Arial"/>
                <w:sz w:val="24"/>
                <w:szCs w:val="24"/>
              </w:rPr>
              <w:t>4</w:t>
            </w:r>
            <w:r>
              <w:rPr>
                <w:rFonts w:ascii="Arial" w:hAnsi="Arial" w:cs="Arial"/>
                <w:sz w:val="24"/>
                <w:szCs w:val="24"/>
                <w:lang w:val="en-US"/>
              </w:rPr>
              <w:t>4</w:t>
            </w:r>
            <w:r>
              <w:rPr>
                <w:rFonts w:ascii="Arial" w:hAnsi="Arial" w:cs="Arial"/>
                <w:sz w:val="24"/>
                <w:szCs w:val="24"/>
              </w:rPr>
              <w:t xml:space="preserve">  ± 0.0</w:t>
            </w:r>
            <w:r>
              <w:rPr>
                <w:rFonts w:ascii="Arial" w:hAnsi="Arial" w:cs="Arial"/>
                <w:sz w:val="24"/>
                <w:szCs w:val="24"/>
                <w:lang w:val="en-US"/>
              </w:rPr>
              <w:t>011</w:t>
            </w:r>
          </w:p>
        </w:tc>
        <w:tc>
          <w:tcPr>
            <w:tcW w:w="1229" w:type="dxa"/>
            <w:tcBorders>
              <w:top w:val="single" w:sz="8" w:space="0" w:color="A5A5A5"/>
              <w:left w:val="nil"/>
              <w:bottom w:val="single" w:sz="8" w:space="0" w:color="A5A5A5"/>
              <w:right w:val="nil"/>
            </w:tcBorders>
            <w:shd w:val="clear" w:color="auto" w:fill="F0F0F0"/>
          </w:tcPr>
          <w:p w14:paraId="745E845A" w14:textId="40D796AE" w:rsidR="001D2D79" w:rsidRPr="001D2D79" w:rsidRDefault="001D2D79" w:rsidP="001D2D79">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06</w:t>
            </w:r>
          </w:p>
        </w:tc>
      </w:tr>
    </w:tbl>
    <w:p w14:paraId="16DB1757" w14:textId="77777777" w:rsidR="00A978C5" w:rsidRDefault="00A978C5" w:rsidP="00A978C5">
      <w:pPr>
        <w:pStyle w:val="Caption"/>
        <w:jc w:val="both"/>
        <w:rPr>
          <w:rFonts w:ascii="Arial" w:hAnsi="Arial" w:cs="Arial"/>
          <w:i w:val="0"/>
          <w:iCs w:val="0"/>
        </w:rPr>
      </w:pPr>
      <w:r>
        <w:rPr>
          <w:rFonts w:ascii="Arial" w:hAnsi="Arial" w:cs="Arial"/>
          <w:i w:val="0"/>
          <w:iCs w:val="0"/>
        </w:rPr>
        <w:t>Fourier-transform parameters: k =3.0-9.5 Å</w:t>
      </w:r>
      <w:r w:rsidRPr="00727CD0">
        <w:rPr>
          <w:rFonts w:ascii="Arial" w:hAnsi="Arial" w:cs="Arial"/>
          <w:i w:val="0"/>
          <w:iCs w:val="0"/>
          <w:vertAlign w:val="superscript"/>
        </w:rPr>
        <w:t>-1</w:t>
      </w:r>
      <w:r>
        <w:rPr>
          <w:rFonts w:ascii="Arial" w:hAnsi="Arial" w:cs="Arial"/>
          <w:i w:val="0"/>
          <w:iCs w:val="0"/>
        </w:rPr>
        <w:t xml:space="preserve">, R = 1.0-3.0 Å. </w:t>
      </w:r>
      <w:proofErr w:type="spellStart"/>
      <w:r>
        <w:rPr>
          <w:rFonts w:ascii="Arial" w:hAnsi="Arial" w:cs="Arial"/>
          <w:i w:val="0"/>
          <w:iCs w:val="0"/>
          <w:vertAlign w:val="superscript"/>
        </w:rPr>
        <w:t>a</w:t>
      </w:r>
      <w:r>
        <w:rPr>
          <w:rFonts w:ascii="Arial" w:hAnsi="Arial" w:cs="Arial"/>
          <w:i w:val="0"/>
          <w:iCs w:val="0"/>
        </w:rPr>
        <w:t>Amplitude</w:t>
      </w:r>
      <w:proofErr w:type="spellEnd"/>
      <w:r>
        <w:rPr>
          <w:rFonts w:ascii="Arial" w:hAnsi="Arial" w:cs="Arial"/>
          <w:i w:val="0"/>
          <w:iCs w:val="0"/>
        </w:rPr>
        <w:t xml:space="preserve"> attenuation factor (obtained by fitting a Cu foil reference), </w:t>
      </w:r>
      <w:proofErr w:type="spellStart"/>
      <w:r>
        <w:rPr>
          <w:rFonts w:ascii="Arial" w:hAnsi="Arial" w:cs="Arial"/>
          <w:i w:val="0"/>
          <w:iCs w:val="0"/>
          <w:vertAlign w:val="superscript"/>
        </w:rPr>
        <w:t>b</w:t>
      </w:r>
      <w:r>
        <w:rPr>
          <w:rFonts w:ascii="Arial" w:hAnsi="Arial" w:cs="Arial"/>
          <w:i w:val="0"/>
          <w:iCs w:val="0"/>
        </w:rPr>
        <w:t>Energy</w:t>
      </w:r>
      <w:proofErr w:type="spellEnd"/>
      <w:r>
        <w:rPr>
          <w:rFonts w:ascii="Arial" w:hAnsi="Arial" w:cs="Arial"/>
          <w:i w:val="0"/>
          <w:iCs w:val="0"/>
        </w:rPr>
        <w:t xml:space="preserve"> shift, </w:t>
      </w:r>
      <w:proofErr w:type="spellStart"/>
      <w:r>
        <w:rPr>
          <w:rFonts w:ascii="Arial" w:hAnsi="Arial" w:cs="Arial"/>
          <w:i w:val="0"/>
          <w:iCs w:val="0"/>
          <w:vertAlign w:val="superscript"/>
        </w:rPr>
        <w:t>c</w:t>
      </w:r>
      <w:r>
        <w:rPr>
          <w:rFonts w:ascii="Arial" w:hAnsi="Arial" w:cs="Arial"/>
          <w:i w:val="0"/>
          <w:iCs w:val="0"/>
        </w:rPr>
        <w:t>Change</w:t>
      </w:r>
      <w:proofErr w:type="spellEnd"/>
      <w:r>
        <w:rPr>
          <w:rFonts w:ascii="Arial" w:hAnsi="Arial" w:cs="Arial"/>
          <w:i w:val="0"/>
          <w:iCs w:val="0"/>
        </w:rPr>
        <w:t xml:space="preserve"> in coordination distance with respect to reference. Reference </w:t>
      </w:r>
      <w:proofErr w:type="spellStart"/>
      <w:r>
        <w:rPr>
          <w:rFonts w:ascii="Arial" w:hAnsi="Arial" w:cs="Arial"/>
          <w:i w:val="0"/>
          <w:iCs w:val="0"/>
        </w:rPr>
        <w:t>CuO</w:t>
      </w:r>
      <w:proofErr w:type="spellEnd"/>
      <w:r>
        <w:rPr>
          <w:rFonts w:ascii="Arial" w:hAnsi="Arial" w:cs="Arial"/>
          <w:i w:val="0"/>
          <w:iCs w:val="0"/>
        </w:rPr>
        <w:t xml:space="preserve"> distance: 1.956 Å, </w:t>
      </w:r>
      <w:proofErr w:type="spellStart"/>
      <w:r>
        <w:rPr>
          <w:rFonts w:ascii="Arial" w:hAnsi="Arial" w:cs="Arial"/>
          <w:i w:val="0"/>
          <w:iCs w:val="0"/>
          <w:vertAlign w:val="superscript"/>
        </w:rPr>
        <w:t>d</w:t>
      </w:r>
      <w:r>
        <w:rPr>
          <w:rFonts w:ascii="Arial" w:hAnsi="Arial" w:cs="Arial"/>
          <w:i w:val="0"/>
          <w:iCs w:val="0"/>
        </w:rPr>
        <w:t>Debye</w:t>
      </w:r>
      <w:proofErr w:type="spellEnd"/>
      <w:r>
        <w:rPr>
          <w:rFonts w:ascii="Arial" w:hAnsi="Arial" w:cs="Arial"/>
          <w:i w:val="0"/>
          <w:iCs w:val="0"/>
        </w:rPr>
        <w:t xml:space="preserve">-Waller factor. </w:t>
      </w:r>
    </w:p>
    <w:p w14:paraId="0029E72A" w14:textId="77777777" w:rsidR="00A978C5" w:rsidRDefault="00A978C5">
      <w:pPr>
        <w:spacing w:line="360" w:lineRule="auto"/>
        <w:jc w:val="both"/>
        <w:rPr>
          <w:rFonts w:ascii="Arial" w:hAnsi="Arial" w:cs="Arial"/>
          <w:sz w:val="24"/>
          <w:szCs w:val="24"/>
        </w:rPr>
      </w:pPr>
    </w:p>
    <w:p w14:paraId="73D65842" w14:textId="6387C311" w:rsidR="005E4531" w:rsidRDefault="006B323D">
      <w:pPr>
        <w:spacing w:afterAutospacing="1" w:line="360" w:lineRule="auto"/>
        <w:jc w:val="both"/>
        <w:rPr>
          <w:rFonts w:ascii="Arial" w:hAnsi="Arial" w:cs="Arial"/>
          <w:sz w:val="32"/>
          <w:lang w:val="en-US"/>
        </w:rPr>
      </w:pPr>
      <w:r>
        <w:rPr>
          <w:noProof/>
        </w:rPr>
        <w:lastRenderedPageBreak/>
        <w:drawing>
          <wp:inline distT="0" distB="0" distL="0" distR="0" wp14:anchorId="3DF9FB88" wp14:editId="3A335CC2">
            <wp:extent cx="5731510" cy="4095750"/>
            <wp:effectExtent l="0" t="0" r="0" b="0"/>
            <wp:docPr id="20" name="Picture 20" descr="A graph of a graph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77902743" descr="A graph of a graph of a molecule&#10;&#10;Description automatically generated with medium confidence"/>
                    <pic:cNvPicPr>
                      <a:picLocks noChangeAspect="1" noChangeArrowheads="1"/>
                    </pic:cNvPicPr>
                  </pic:nvPicPr>
                  <pic:blipFill>
                    <a:blip r:embed="rId30"/>
                    <a:stretch>
                      <a:fillRect/>
                    </a:stretch>
                  </pic:blipFill>
                  <pic:spPr bwMode="auto">
                    <a:xfrm>
                      <a:off x="0" y="0"/>
                      <a:ext cx="5731510" cy="4095750"/>
                    </a:xfrm>
                    <a:prstGeom prst="rect">
                      <a:avLst/>
                    </a:prstGeom>
                  </pic:spPr>
                </pic:pic>
              </a:graphicData>
            </a:graphic>
          </wp:inline>
        </w:drawing>
      </w:r>
    </w:p>
    <w:p w14:paraId="0104C854" w14:textId="2832569A" w:rsidR="005E4531" w:rsidRPr="00320FDF" w:rsidRDefault="006B323D" w:rsidP="00320FDF">
      <w:pPr>
        <w:spacing w:after="100" w:afterAutospacing="1" w:line="360" w:lineRule="auto"/>
        <w:jc w:val="both"/>
        <w:rPr>
          <w:rFonts w:ascii="Arial" w:hAnsi="Arial"/>
          <w:sz w:val="24"/>
        </w:rPr>
      </w:pPr>
      <w:r>
        <w:rPr>
          <w:rFonts w:ascii="Arial" w:eastAsia="Arial" w:hAnsi="Arial" w:cs="Arial"/>
          <w:b/>
          <w:bCs/>
          <w:sz w:val="24"/>
          <w:szCs w:val="24"/>
        </w:rPr>
        <w:t>Figure S2</w:t>
      </w:r>
      <w:r>
        <w:rPr>
          <w:rFonts w:ascii="Arial" w:eastAsia="Arial" w:hAnsi="Arial" w:cs="Arial"/>
          <w:b/>
          <w:bCs/>
          <w:sz w:val="24"/>
          <w:szCs w:val="24"/>
          <w:lang w:val="en-US"/>
        </w:rPr>
        <w:t>0</w:t>
      </w:r>
      <w:r>
        <w:rPr>
          <w:rFonts w:ascii="Arial" w:eastAsia="Arial" w:hAnsi="Arial" w:cs="Arial"/>
          <w:b/>
          <w:bCs/>
          <w:sz w:val="24"/>
          <w:szCs w:val="24"/>
        </w:rPr>
        <w:t xml:space="preserve">. </w:t>
      </w:r>
      <w:r>
        <w:rPr>
          <w:rFonts w:ascii="Arial" w:eastAsia="Arial" w:hAnsi="Arial" w:cs="Arial"/>
          <w:sz w:val="24"/>
          <w:szCs w:val="24"/>
        </w:rPr>
        <w:t>Convergence in the parameters used by the FDMNES</w:t>
      </w:r>
      <w:r>
        <w:rPr>
          <w:rFonts w:ascii="Calibri" w:hAnsi="Calibri"/>
        </w:rPr>
        <w:fldChar w:fldCharType="begin"/>
      </w:r>
      <w:r w:rsidR="000F395C">
        <w:rPr>
          <w:rFonts w:ascii="Arial" w:eastAsia="Arial" w:hAnsi="Arial" w:cs="Arial"/>
          <w:sz w:val="24"/>
          <w:szCs w:val="24"/>
        </w:rPr>
        <w:instrText xml:space="preserve"> ADDIN ZOTERO_ITEM CSL_CITATION {"citationID":"ljx5m7kU","properties":{"formattedCitation":"\\super 23\\nosupersub{}","plainCitation":"23","noteIndex":0},"citationItems":[{"id":4650,"uris":["http://zotero.org/users/4941048/items/RZMIV466"],"itemData":{"id":4650,"type":"article-journal","abstract":"We implemented a self-consistent, real-space x-ray absorption calculation within the FDMNES code. We performed the self-consistency within several schemes and identified which one is the most appropriate. We show a method that allows a rigorous setting of the Fermi level and thus an estimation of the energy cutoff for the identification and elimination of the occupied states. We investigated what are the structures where one can afford performing the self-consistent calculation at a lesser cluster radius than the absorption one. We exemplify the effects of the self-consistency at the K-edge and for several reference cases, including the copper Cu and the rutile TiO2. We verified the robustness of our procedure on the transitional 3d and 4d elements. Although amelioration can be noticed, the self-consistency performed at the K-edge does not bring a major improvement of the calculated spectra. Taking into consideration a non-self-consistent, non-spherical potential gives better results than a self-consistent muffin-tin approximation calculation.","container-title":"Journal of Physics: Condensed Matter","DOI":"10.1088/0953-8984/21/34/345501","ISSN":"0953-8984","issue":"34","journalAbbreviation":"J. Phys.: Condens. Matter","language":"en","page":"345501","source":"Institute of Physics","title":"Self-consistent aspects of x-ray absorption calculations","volume":"21","author":[{"family":"Bunău","given":"O."},{"family":"Joly","given":"Y."}],"issued":{"date-parts":[["2009",8]]}}}],"schema":"https://github.com/citation-style-language/schema/raw/master/csl-citation.json"} </w:instrText>
      </w:r>
      <w:r>
        <w:rPr>
          <w:rFonts w:ascii="Arial" w:eastAsia="Arial" w:hAnsi="Arial" w:cs="Arial"/>
          <w:sz w:val="24"/>
          <w:szCs w:val="24"/>
        </w:rPr>
        <w:fldChar w:fldCharType="separate"/>
      </w:r>
      <w:r w:rsidR="000F395C" w:rsidRPr="000F395C">
        <w:rPr>
          <w:rFonts w:ascii="Arial" w:hAnsi="Arial" w:cs="Arial"/>
          <w:sz w:val="24"/>
          <w:szCs w:val="24"/>
          <w:vertAlign w:val="superscript"/>
        </w:rPr>
        <w:t>23</w:t>
      </w:r>
      <w:r>
        <w:rPr>
          <w:rFonts w:ascii="Arial" w:eastAsia="Arial" w:hAnsi="Arial" w:cs="Arial"/>
          <w:sz w:val="24"/>
          <w:szCs w:val="24"/>
        </w:rPr>
        <w:fldChar w:fldCharType="end"/>
      </w:r>
      <w:r>
        <w:rPr>
          <w:rFonts w:ascii="Arial" w:eastAsia="Arial" w:hAnsi="Arial" w:cs="Arial"/>
          <w:sz w:val="24"/>
          <w:szCs w:val="24"/>
          <w:vertAlign w:val="superscript"/>
          <w:lang w:val="en-US"/>
        </w:rPr>
        <w:t xml:space="preserve"> </w:t>
      </w:r>
      <w:r>
        <w:rPr>
          <w:rFonts w:ascii="Arial" w:eastAsia="Arial" w:hAnsi="Arial" w:cs="Arial"/>
          <w:sz w:val="24"/>
          <w:szCs w:val="24"/>
        </w:rPr>
        <w:t>software for the simulated XANES spectra for varying adsorbing atom cluster radius and solution method (Green: Green’s function formalism, SCF-FD: Self-consistent field - finite difference formalism, FD: Finite difference formalism). (A) Cu</w:t>
      </w:r>
      <w:r>
        <w:rPr>
          <w:rFonts w:ascii="Arial" w:eastAsia="Arial" w:hAnsi="Arial" w:cs="Arial"/>
          <w:sz w:val="24"/>
          <w:szCs w:val="24"/>
          <w:vertAlign w:val="subscript"/>
        </w:rPr>
        <w:t>43</w:t>
      </w:r>
      <w:r>
        <w:rPr>
          <w:rFonts w:ascii="Arial" w:eastAsia="Arial" w:hAnsi="Arial" w:cs="Arial"/>
          <w:sz w:val="24"/>
          <w:szCs w:val="24"/>
        </w:rPr>
        <w:t>, (B) Cu</w:t>
      </w:r>
      <w:r>
        <w:rPr>
          <w:rFonts w:ascii="Arial" w:eastAsia="Arial" w:hAnsi="Arial" w:cs="Arial"/>
          <w:sz w:val="24"/>
          <w:szCs w:val="24"/>
          <w:vertAlign w:val="subscript"/>
        </w:rPr>
        <w:t>55</w:t>
      </w:r>
      <w:r>
        <w:rPr>
          <w:rFonts w:ascii="Arial" w:eastAsia="Arial" w:hAnsi="Arial" w:cs="Arial"/>
          <w:sz w:val="24"/>
          <w:szCs w:val="24"/>
        </w:rPr>
        <w:t>, (C) Cu</w:t>
      </w:r>
      <w:r>
        <w:rPr>
          <w:rFonts w:ascii="Arial" w:eastAsia="Arial" w:hAnsi="Arial" w:cs="Arial"/>
          <w:sz w:val="24"/>
          <w:szCs w:val="24"/>
          <w:vertAlign w:val="subscript"/>
        </w:rPr>
        <w:t>135</w:t>
      </w:r>
      <w:r>
        <w:rPr>
          <w:rFonts w:ascii="Arial" w:eastAsia="Arial" w:hAnsi="Arial" w:cs="Arial"/>
          <w:sz w:val="24"/>
          <w:szCs w:val="24"/>
        </w:rPr>
        <w:t>, (D) Cu</w:t>
      </w:r>
      <w:r>
        <w:rPr>
          <w:rFonts w:ascii="Arial" w:eastAsia="Arial" w:hAnsi="Arial" w:cs="Arial"/>
          <w:sz w:val="24"/>
          <w:szCs w:val="24"/>
          <w:vertAlign w:val="subscript"/>
        </w:rPr>
        <w:t>43</w:t>
      </w:r>
      <w:r>
        <w:rPr>
          <w:rFonts w:ascii="Arial" w:eastAsia="Arial" w:hAnsi="Arial" w:cs="Arial"/>
          <w:sz w:val="24"/>
          <w:szCs w:val="24"/>
        </w:rPr>
        <w:t>O</w:t>
      </w:r>
      <w:r>
        <w:rPr>
          <w:rFonts w:ascii="Arial" w:eastAsia="Arial" w:hAnsi="Arial" w:cs="Arial"/>
          <w:sz w:val="24"/>
          <w:szCs w:val="24"/>
          <w:vertAlign w:val="subscript"/>
        </w:rPr>
        <w:t>24</w:t>
      </w:r>
      <w:r>
        <w:rPr>
          <w:rFonts w:ascii="Arial" w:eastAsia="Arial" w:hAnsi="Arial" w:cs="Arial"/>
          <w:sz w:val="24"/>
          <w:szCs w:val="24"/>
        </w:rPr>
        <w:t>, (E) Cu</w:t>
      </w:r>
      <w:r>
        <w:rPr>
          <w:rFonts w:ascii="Arial" w:eastAsia="Arial" w:hAnsi="Arial" w:cs="Arial"/>
          <w:sz w:val="24"/>
          <w:szCs w:val="24"/>
          <w:vertAlign w:val="subscript"/>
        </w:rPr>
        <w:t>55</w:t>
      </w:r>
      <w:r>
        <w:rPr>
          <w:rFonts w:ascii="Arial" w:eastAsia="Arial" w:hAnsi="Arial" w:cs="Arial"/>
          <w:sz w:val="24"/>
          <w:szCs w:val="24"/>
        </w:rPr>
        <w:t>O</w:t>
      </w:r>
      <w:r>
        <w:rPr>
          <w:rFonts w:ascii="Arial" w:eastAsia="Arial" w:hAnsi="Arial" w:cs="Arial"/>
          <w:sz w:val="24"/>
          <w:szCs w:val="24"/>
          <w:vertAlign w:val="subscript"/>
        </w:rPr>
        <w:t>46</w:t>
      </w:r>
      <w:r>
        <w:rPr>
          <w:rFonts w:ascii="Arial" w:eastAsia="Arial" w:hAnsi="Arial" w:cs="Arial"/>
          <w:sz w:val="24"/>
          <w:szCs w:val="24"/>
        </w:rPr>
        <w:t>, (F) Cu</w:t>
      </w:r>
      <w:r>
        <w:rPr>
          <w:rFonts w:ascii="Arial" w:eastAsia="Arial" w:hAnsi="Arial" w:cs="Arial"/>
          <w:sz w:val="24"/>
          <w:szCs w:val="24"/>
          <w:vertAlign w:val="subscript"/>
        </w:rPr>
        <w:t>135</w:t>
      </w:r>
      <w:r>
        <w:rPr>
          <w:rFonts w:ascii="Arial" w:eastAsia="Arial" w:hAnsi="Arial" w:cs="Arial"/>
          <w:sz w:val="24"/>
          <w:szCs w:val="24"/>
        </w:rPr>
        <w:t>O</w:t>
      </w:r>
      <w:r>
        <w:rPr>
          <w:rFonts w:ascii="Arial" w:eastAsia="Arial" w:hAnsi="Arial" w:cs="Arial"/>
          <w:sz w:val="24"/>
          <w:szCs w:val="24"/>
          <w:vertAlign w:val="subscript"/>
        </w:rPr>
        <w:t>78</w:t>
      </w:r>
      <w:r>
        <w:rPr>
          <w:rFonts w:ascii="Arial" w:eastAsia="Arial" w:hAnsi="Arial" w:cs="Arial"/>
          <w:sz w:val="24"/>
          <w:szCs w:val="24"/>
        </w:rPr>
        <w:t xml:space="preserve">. The Green’s function formalism with a 6.5 </w:t>
      </w:r>
      <w:r w:rsidR="009C7E3E">
        <w:rPr>
          <w:rFonts w:ascii="Arial" w:hAnsi="Arial" w:cs="Arial"/>
        </w:rPr>
        <w:t>Å</w:t>
      </w:r>
      <w:r>
        <w:rPr>
          <w:rFonts w:ascii="Arial" w:eastAsia="Arial" w:hAnsi="Arial" w:cs="Arial"/>
          <w:sz w:val="24"/>
          <w:szCs w:val="24"/>
        </w:rPr>
        <w:t xml:space="preserve"> cluster radius shown with dashed green lines provided an excellent trade-off between accuracy and time for clusters where comparisons were calculated.</w:t>
      </w:r>
    </w:p>
    <w:p w14:paraId="333EB46F" w14:textId="59AD58F0" w:rsidR="00B632EE" w:rsidRDefault="006A7A1C" w:rsidP="00B632EE">
      <w:pPr>
        <w:spacing w:after="100" w:afterAutospacing="1" w:line="360" w:lineRule="auto"/>
        <w:jc w:val="both"/>
        <w:rPr>
          <w:rFonts w:ascii="Arial" w:hAnsi="Arial" w:cs="Arial"/>
          <w:sz w:val="32"/>
          <w:lang w:val="en-US"/>
        </w:rPr>
      </w:pPr>
      <w:r>
        <w:rPr>
          <w:rFonts w:ascii="Arial" w:eastAsia="Arial" w:hAnsi="Arial" w:cs="Arial"/>
          <w:sz w:val="24"/>
          <w:szCs w:val="24"/>
        </w:rPr>
        <w:br w:type="page"/>
      </w:r>
      <w:r w:rsidR="003507B5">
        <w:rPr>
          <w:rFonts w:ascii="Arial" w:hAnsi="Arial" w:cs="Arial"/>
          <w:noProof/>
          <w:sz w:val="32"/>
          <w:lang w:val="en-US"/>
        </w:rPr>
        <w:lastRenderedPageBreak/>
        <w:drawing>
          <wp:inline distT="0" distB="0" distL="0" distR="0" wp14:anchorId="6A39E56C" wp14:editId="3B2E9436">
            <wp:extent cx="5731510" cy="4529455"/>
            <wp:effectExtent l="0" t="0" r="2540" b="4445"/>
            <wp:docPr id="69603637"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3637" name="Picture 7" descr="A graph of different colored lines&#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31510" cy="4529455"/>
                    </a:xfrm>
                    <a:prstGeom prst="rect">
                      <a:avLst/>
                    </a:prstGeom>
                  </pic:spPr>
                </pic:pic>
              </a:graphicData>
            </a:graphic>
          </wp:inline>
        </w:drawing>
      </w:r>
    </w:p>
    <w:p w14:paraId="079CE4F6" w14:textId="321CD2A0" w:rsidR="00B632EE" w:rsidRDefault="00B632EE" w:rsidP="00B632EE">
      <w:pPr>
        <w:spacing w:after="100" w:afterAutospacing="1" w:line="360" w:lineRule="auto"/>
        <w:jc w:val="both"/>
        <w:rPr>
          <w:rFonts w:ascii="Arial" w:hAnsi="Arial" w:cs="Arial"/>
          <w:sz w:val="32"/>
          <w:lang w:val="en-US"/>
        </w:rPr>
      </w:pPr>
      <w:r w:rsidRPr="00DB53D4">
        <w:rPr>
          <w:rFonts w:ascii="Arial" w:hAnsi="Arial" w:cs="Arial"/>
          <w:b/>
          <w:bCs/>
          <w:sz w:val="32"/>
          <w:lang w:val="en-US"/>
        </w:rPr>
        <w:t>Figure S21</w:t>
      </w:r>
      <w:r>
        <w:rPr>
          <w:rFonts w:ascii="Arial" w:hAnsi="Arial" w:cs="Arial"/>
          <w:sz w:val="32"/>
          <w:lang w:val="en-US"/>
        </w:rPr>
        <w:t xml:space="preserve">. XANES spectra of the as-synthesized catalysts Cu-NCB/GO and Cu foil, </w:t>
      </w:r>
      <w:proofErr w:type="spellStart"/>
      <w:r>
        <w:rPr>
          <w:rFonts w:ascii="Arial" w:hAnsi="Arial" w:cs="Arial"/>
          <w:sz w:val="32"/>
          <w:lang w:val="en-US"/>
        </w:rPr>
        <w:t>CuO</w:t>
      </w:r>
      <w:proofErr w:type="spellEnd"/>
      <w:r>
        <w:rPr>
          <w:rFonts w:ascii="Arial" w:hAnsi="Arial" w:cs="Arial"/>
          <w:sz w:val="32"/>
          <w:lang w:val="en-US"/>
        </w:rPr>
        <w:t xml:space="preserve"> powder and Cu</w:t>
      </w:r>
      <w:r w:rsidRPr="00E06ED9">
        <w:rPr>
          <w:rFonts w:ascii="Arial" w:hAnsi="Arial" w:cs="Arial"/>
          <w:sz w:val="32"/>
          <w:vertAlign w:val="subscript"/>
          <w:lang w:val="en-US"/>
        </w:rPr>
        <w:t>2</w:t>
      </w:r>
      <w:r>
        <w:rPr>
          <w:rFonts w:ascii="Arial" w:hAnsi="Arial" w:cs="Arial"/>
          <w:sz w:val="32"/>
          <w:lang w:val="en-US"/>
        </w:rPr>
        <w:t>O reference materials</w:t>
      </w:r>
      <w:r w:rsidR="00DB53D4">
        <w:rPr>
          <w:rFonts w:ascii="Arial" w:hAnsi="Arial" w:cs="Arial"/>
          <w:sz w:val="32"/>
          <w:lang w:val="en-US"/>
        </w:rPr>
        <w:t xml:space="preserve"> and their simulated counterparts.</w:t>
      </w:r>
    </w:p>
    <w:p w14:paraId="247FA9E0" w14:textId="290874A8" w:rsidR="006A7A1C" w:rsidRPr="00B632EE" w:rsidRDefault="006A7A1C">
      <w:pPr>
        <w:rPr>
          <w:rFonts w:ascii="Arial" w:eastAsia="Arial" w:hAnsi="Arial" w:cs="Arial"/>
          <w:sz w:val="24"/>
          <w:szCs w:val="24"/>
          <w:lang w:val="en-US"/>
        </w:rPr>
      </w:pPr>
    </w:p>
    <w:p w14:paraId="2F85E4CE" w14:textId="760372B0" w:rsidR="005E4531" w:rsidRDefault="006B323D" w:rsidP="00320FDF">
      <w:pPr>
        <w:spacing w:after="100" w:afterAutospacing="1" w:line="360" w:lineRule="auto"/>
        <w:jc w:val="both"/>
        <w:rPr>
          <w:rFonts w:ascii="Arial" w:hAnsi="Arial" w:cs="Arial"/>
          <w:sz w:val="32"/>
          <w:lang w:val="en-US"/>
        </w:rPr>
      </w:pPr>
      <w:r>
        <w:rPr>
          <w:rFonts w:ascii="Arial" w:hAnsi="Arial" w:cs="Arial"/>
          <w:sz w:val="32"/>
          <w:lang w:val="en-US"/>
        </w:rPr>
        <w:t>Note S</w:t>
      </w:r>
      <w:r w:rsidR="00C5328F">
        <w:rPr>
          <w:rFonts w:ascii="Arial" w:hAnsi="Arial" w:cs="Arial"/>
          <w:sz w:val="32"/>
          <w:lang w:val="en-US"/>
        </w:rPr>
        <w:t>9</w:t>
      </w:r>
      <w:r>
        <w:rPr>
          <w:rFonts w:ascii="Arial" w:hAnsi="Arial" w:cs="Arial"/>
          <w:sz w:val="32"/>
          <w:lang w:val="en-US"/>
        </w:rPr>
        <w:t>. Evaluation of the electrochemical performance in the CO</w:t>
      </w:r>
      <w:r>
        <w:rPr>
          <w:rFonts w:ascii="Arial" w:hAnsi="Arial" w:cs="Arial"/>
          <w:sz w:val="32"/>
          <w:vertAlign w:val="subscript"/>
          <w:lang w:val="en-US"/>
        </w:rPr>
        <w:t>2</w:t>
      </w:r>
      <w:r>
        <w:rPr>
          <w:rFonts w:ascii="Arial" w:hAnsi="Arial" w:cs="Arial"/>
          <w:sz w:val="32"/>
          <w:lang w:val="en-US"/>
        </w:rPr>
        <w:t>RR</w:t>
      </w:r>
    </w:p>
    <w:p w14:paraId="3EA785B5" w14:textId="0F511D5A" w:rsidR="005E4531" w:rsidRDefault="006B323D" w:rsidP="00320FDF">
      <w:pPr>
        <w:spacing w:after="100" w:afterAutospacing="1" w:line="360" w:lineRule="auto"/>
        <w:jc w:val="both"/>
        <w:rPr>
          <w:rFonts w:ascii="Arial" w:hAnsi="Arial" w:cs="Arial"/>
          <w:b/>
          <w:sz w:val="28"/>
        </w:rPr>
      </w:pPr>
      <w:r>
        <w:rPr>
          <w:rFonts w:ascii="Arial" w:hAnsi="Arial" w:cs="Arial"/>
          <w:sz w:val="28"/>
          <w:lang w:val="en-US"/>
        </w:rPr>
        <w:t xml:space="preserve">Note </w:t>
      </w:r>
      <w:r w:rsidR="006A7A1C" w:rsidRPr="00FF5897">
        <w:rPr>
          <w:rFonts w:ascii="Arial" w:hAnsi="Arial" w:cs="Arial"/>
          <w:sz w:val="28"/>
          <w:lang w:val="en-US"/>
        </w:rPr>
        <w:t>S</w:t>
      </w:r>
      <w:r w:rsidR="00C5328F">
        <w:rPr>
          <w:rFonts w:ascii="Arial" w:hAnsi="Arial" w:cs="Arial"/>
          <w:sz w:val="28"/>
          <w:lang w:val="en-US"/>
        </w:rPr>
        <w:t>9</w:t>
      </w:r>
      <w:r>
        <w:rPr>
          <w:rFonts w:ascii="Arial" w:hAnsi="Arial" w:cs="Arial"/>
          <w:sz w:val="28"/>
          <w:lang w:val="en-US"/>
        </w:rPr>
        <w:t>.1 Cathode preparation.</w:t>
      </w:r>
    </w:p>
    <w:p w14:paraId="3BC1520D" w14:textId="77777777" w:rsidR="005E4531" w:rsidRDefault="006B323D" w:rsidP="00320FDF">
      <w:pPr>
        <w:spacing w:after="100" w:afterAutospacing="1" w:line="360" w:lineRule="auto"/>
        <w:jc w:val="both"/>
        <w:rPr>
          <w:rFonts w:ascii="Arial" w:hAnsi="Arial" w:cs="Arial"/>
          <w:sz w:val="24"/>
        </w:rPr>
      </w:pPr>
      <w:r>
        <w:rPr>
          <w:rFonts w:ascii="Arial" w:hAnsi="Arial" w:cs="Arial"/>
          <w:sz w:val="24"/>
          <w:lang w:val="en-US"/>
        </w:rPr>
        <w:t xml:space="preserve">Conical pieces </w:t>
      </w:r>
      <w:r>
        <w:rPr>
          <w:rFonts w:ascii="Arial" w:hAnsi="Arial" w:cs="Arial"/>
          <w:sz w:val="24"/>
        </w:rPr>
        <w:t>of Toray TGP-60</w:t>
      </w:r>
      <w:r>
        <w:rPr>
          <w:rFonts w:ascii="Arial" w:hAnsi="Arial" w:cs="Arial"/>
          <w:sz w:val="24"/>
          <w:lang w:val="en-US"/>
        </w:rPr>
        <w:t>r</w:t>
      </w:r>
      <w:r>
        <w:rPr>
          <w:rFonts w:ascii="Arial" w:hAnsi="Arial" w:cs="Arial"/>
          <w:sz w:val="24"/>
        </w:rPr>
        <w:t xml:space="preserve"> carbon paper </w:t>
      </w:r>
      <w:r>
        <w:rPr>
          <w:rFonts w:ascii="Arial" w:hAnsi="Arial" w:cs="Arial"/>
          <w:sz w:val="24"/>
          <w:lang w:val="en-US"/>
        </w:rPr>
        <w:t>coated with 0.6 or 0.3 mg cm</w:t>
      </w:r>
      <w:r>
        <w:rPr>
          <w:rFonts w:ascii="Arial" w:hAnsi="Arial" w:cs="Arial"/>
          <w:sz w:val="24"/>
          <w:vertAlign w:val="superscript"/>
          <w:lang w:val="en-US"/>
        </w:rPr>
        <w:t>-2</w:t>
      </w:r>
      <w:r>
        <w:rPr>
          <w:rFonts w:ascii="Arial" w:hAnsi="Arial" w:cs="Arial"/>
          <w:sz w:val="24"/>
          <w:lang w:val="en-US"/>
        </w:rPr>
        <w:t xml:space="preserve"> of NCB or GO respectively and </w:t>
      </w:r>
      <w:proofErr w:type="spellStart"/>
      <w:r>
        <w:rPr>
          <w:rFonts w:ascii="Arial" w:hAnsi="Arial" w:cs="Arial"/>
          <w:sz w:val="24"/>
          <w:lang w:val="en-US"/>
        </w:rPr>
        <w:t>functionbalized</w:t>
      </w:r>
      <w:proofErr w:type="spellEnd"/>
      <w:r>
        <w:rPr>
          <w:rFonts w:ascii="Arial" w:hAnsi="Arial" w:cs="Arial"/>
          <w:sz w:val="24"/>
          <w:lang w:val="en-US"/>
        </w:rPr>
        <w:t xml:space="preserve"> with ~4 ug cm</w:t>
      </w:r>
      <w:r>
        <w:rPr>
          <w:rFonts w:ascii="Arial" w:hAnsi="Arial" w:cs="Arial"/>
          <w:sz w:val="24"/>
          <w:vertAlign w:val="superscript"/>
          <w:lang w:val="en-US"/>
        </w:rPr>
        <w:t>-2</w:t>
      </w:r>
      <w:r>
        <w:rPr>
          <w:rFonts w:ascii="Arial" w:hAnsi="Arial" w:cs="Arial"/>
          <w:sz w:val="24"/>
          <w:lang w:val="en-US"/>
        </w:rPr>
        <w:t xml:space="preserve"> Cu(-Ag) clusters </w:t>
      </w:r>
      <w:r>
        <w:rPr>
          <w:rFonts w:ascii="Arial" w:hAnsi="Arial" w:cs="Arial"/>
          <w:sz w:val="24"/>
        </w:rPr>
        <w:t>were cut out with a geometrical surface area of 0.5 cm</w:t>
      </w:r>
      <w:r>
        <w:rPr>
          <w:rFonts w:ascii="Arial" w:hAnsi="Arial" w:cs="Arial"/>
          <w:sz w:val="24"/>
          <w:vertAlign w:val="superscript"/>
        </w:rPr>
        <w:t>2</w:t>
      </w:r>
      <w:r>
        <w:rPr>
          <w:rFonts w:ascii="Arial" w:hAnsi="Arial" w:cs="Arial"/>
          <w:sz w:val="24"/>
          <w:lang w:val="en-US"/>
        </w:rPr>
        <w:t>.</w:t>
      </w:r>
      <w:r>
        <w:rPr>
          <w:rFonts w:ascii="Arial" w:hAnsi="Arial" w:cs="Arial"/>
          <w:sz w:val="24"/>
        </w:rPr>
        <w:t xml:space="preserve"> Finally, 20 μL of 0.83 wt% </w:t>
      </w:r>
      <w:proofErr w:type="spellStart"/>
      <w:r>
        <w:rPr>
          <w:rFonts w:ascii="Arial" w:hAnsi="Arial" w:cs="Arial"/>
          <w:sz w:val="24"/>
        </w:rPr>
        <w:t>Nafion</w:t>
      </w:r>
      <w:proofErr w:type="spellEnd"/>
      <w:r>
        <w:rPr>
          <w:rFonts w:ascii="Arial" w:hAnsi="Arial" w:cs="Arial"/>
          <w:sz w:val="24"/>
        </w:rPr>
        <w:t xml:space="preserve"> dispersed in </w:t>
      </w:r>
      <w:r>
        <w:rPr>
          <w:rFonts w:ascii="Arial" w:hAnsi="Arial" w:cs="Arial"/>
          <w:i/>
          <w:sz w:val="24"/>
        </w:rPr>
        <w:t>iso</w:t>
      </w:r>
      <w:r>
        <w:rPr>
          <w:rFonts w:ascii="Arial" w:hAnsi="Arial" w:cs="Arial"/>
          <w:sz w:val="24"/>
        </w:rPr>
        <w:t>-propanol were added as binder.</w:t>
      </w:r>
    </w:p>
    <w:p w14:paraId="02757E10" w14:textId="650E84CA" w:rsidR="005E4531" w:rsidRDefault="006B323D" w:rsidP="00320FDF">
      <w:pPr>
        <w:spacing w:after="100" w:afterAutospacing="1" w:line="360" w:lineRule="auto"/>
        <w:jc w:val="both"/>
        <w:rPr>
          <w:rFonts w:ascii="Arial" w:hAnsi="Arial" w:cs="Arial"/>
          <w:b/>
          <w:sz w:val="28"/>
        </w:rPr>
      </w:pPr>
      <w:r>
        <w:rPr>
          <w:rFonts w:ascii="Arial" w:hAnsi="Arial" w:cs="Arial"/>
          <w:sz w:val="28"/>
          <w:lang w:val="en-US"/>
        </w:rPr>
        <w:lastRenderedPageBreak/>
        <w:t xml:space="preserve">Note </w:t>
      </w:r>
      <w:r w:rsidR="006A7A1C" w:rsidRPr="00FF5897">
        <w:rPr>
          <w:rFonts w:ascii="Arial" w:hAnsi="Arial" w:cs="Arial"/>
          <w:sz w:val="28"/>
          <w:lang w:val="en-US"/>
        </w:rPr>
        <w:t>S</w:t>
      </w:r>
      <w:r w:rsidR="00C5328F">
        <w:rPr>
          <w:rFonts w:ascii="Arial" w:hAnsi="Arial" w:cs="Arial"/>
          <w:sz w:val="28"/>
          <w:lang w:val="en-US"/>
        </w:rPr>
        <w:t>9</w:t>
      </w:r>
      <w:r>
        <w:rPr>
          <w:rFonts w:ascii="Arial" w:hAnsi="Arial" w:cs="Arial"/>
          <w:sz w:val="28"/>
          <w:lang w:val="en-US"/>
        </w:rPr>
        <w:t>.2 Electrochemical measurements.</w:t>
      </w:r>
    </w:p>
    <w:p w14:paraId="7071EE45" w14:textId="77777777" w:rsidR="005E4531" w:rsidRDefault="006B323D" w:rsidP="00320FDF">
      <w:pPr>
        <w:spacing w:after="100" w:afterAutospacing="1" w:line="360" w:lineRule="auto"/>
        <w:jc w:val="both"/>
        <w:rPr>
          <w:rFonts w:ascii="Arial" w:hAnsi="Arial" w:cs="Arial"/>
          <w:sz w:val="24"/>
        </w:rPr>
      </w:pPr>
      <w:r>
        <w:rPr>
          <w:rFonts w:ascii="Arial" w:hAnsi="Arial" w:cs="Arial"/>
          <w:sz w:val="24"/>
        </w:rPr>
        <w:t xml:space="preserve">The </w:t>
      </w:r>
      <w:r>
        <w:rPr>
          <w:rFonts w:ascii="Arial" w:hAnsi="Arial" w:cs="Arial"/>
          <w:sz w:val="24"/>
          <w:lang w:val="en-US"/>
        </w:rPr>
        <w:t>electrodes were</w:t>
      </w:r>
      <w:r>
        <w:rPr>
          <w:rFonts w:ascii="Arial" w:hAnsi="Arial" w:cs="Arial"/>
          <w:sz w:val="24"/>
        </w:rPr>
        <w:t xml:space="preserve"> evaluated in </w:t>
      </w:r>
      <w:r>
        <w:rPr>
          <w:rFonts w:ascii="Arial" w:hAnsi="Arial" w:cs="Arial"/>
          <w:sz w:val="24"/>
          <w:lang w:val="en-US"/>
        </w:rPr>
        <w:t>a commercial gas-tight H-</w:t>
      </w:r>
      <w:r>
        <w:rPr>
          <w:rFonts w:ascii="Arial" w:hAnsi="Arial" w:cs="Arial"/>
          <w:sz w:val="24"/>
        </w:rPr>
        <w:t xml:space="preserve">cell </w:t>
      </w:r>
      <w:r>
        <w:rPr>
          <w:rFonts w:ascii="Arial" w:hAnsi="Arial" w:cs="Arial"/>
          <w:sz w:val="24"/>
          <w:lang w:val="en-US"/>
        </w:rPr>
        <w:t xml:space="preserve">from </w:t>
      </w:r>
      <w:proofErr w:type="spellStart"/>
      <w:r>
        <w:rPr>
          <w:rFonts w:ascii="Arial" w:hAnsi="Arial" w:cs="Arial"/>
          <w:sz w:val="24"/>
          <w:lang w:val="en-US"/>
        </w:rPr>
        <w:t>Gaoss</w:t>
      </w:r>
      <w:proofErr w:type="spellEnd"/>
      <w:r>
        <w:rPr>
          <w:rFonts w:ascii="Arial" w:hAnsi="Arial" w:cs="Arial"/>
          <w:sz w:val="24"/>
          <w:lang w:val="en-US"/>
        </w:rPr>
        <w:t xml:space="preserve"> Union </w:t>
      </w:r>
      <w:r>
        <w:rPr>
          <w:rFonts w:ascii="Arial" w:hAnsi="Arial" w:cs="Arial"/>
          <w:sz w:val="24"/>
        </w:rPr>
        <w:t xml:space="preserve">using constant </w:t>
      </w:r>
      <w:r>
        <w:rPr>
          <w:rFonts w:ascii="Arial" w:hAnsi="Arial" w:cs="Arial"/>
          <w:sz w:val="24"/>
          <w:lang w:val="en-US"/>
        </w:rPr>
        <w:t>potential</w:t>
      </w:r>
      <w:r>
        <w:rPr>
          <w:rFonts w:ascii="Arial" w:hAnsi="Arial" w:cs="Arial"/>
          <w:sz w:val="24"/>
        </w:rPr>
        <w:t xml:space="preserve"> mode controlled by a </w:t>
      </w:r>
      <w:proofErr w:type="spellStart"/>
      <w:r>
        <w:rPr>
          <w:rFonts w:ascii="Arial" w:hAnsi="Arial" w:cs="Arial"/>
          <w:sz w:val="24"/>
          <w:lang w:val="en-US"/>
        </w:rPr>
        <w:t>potentio</w:t>
      </w:r>
      <w:proofErr w:type="spellEnd"/>
      <w:r>
        <w:rPr>
          <w:rFonts w:ascii="Arial" w:hAnsi="Arial" w:cs="Arial"/>
          <w:sz w:val="24"/>
        </w:rPr>
        <w:t>stat (</w:t>
      </w:r>
      <w:proofErr w:type="spellStart"/>
      <w:r>
        <w:rPr>
          <w:rFonts w:ascii="Arial" w:hAnsi="Arial" w:cs="Arial"/>
          <w:sz w:val="24"/>
        </w:rPr>
        <w:t>Autolab</w:t>
      </w:r>
      <w:proofErr w:type="spellEnd"/>
      <w:r>
        <w:rPr>
          <w:rFonts w:ascii="Arial" w:hAnsi="Arial" w:cs="Arial"/>
          <w:sz w:val="24"/>
        </w:rPr>
        <w:t xml:space="preserve"> PGSTAT302N).</w:t>
      </w:r>
      <w:r>
        <w:rPr>
          <w:rFonts w:ascii="Arial" w:hAnsi="Arial" w:cs="Arial"/>
          <w:sz w:val="24"/>
          <w:lang w:val="en-US"/>
        </w:rPr>
        <w:t xml:space="preserve"> All measurements were carried out at in 0.1 M KHCO</w:t>
      </w:r>
      <w:r>
        <w:rPr>
          <w:rFonts w:ascii="Arial" w:hAnsi="Arial" w:cs="Arial"/>
          <w:sz w:val="24"/>
          <w:vertAlign w:val="subscript"/>
          <w:lang w:val="en-US"/>
        </w:rPr>
        <w:t>3</w:t>
      </w:r>
      <w:r>
        <w:rPr>
          <w:rFonts w:ascii="Arial" w:hAnsi="Arial" w:cs="Arial"/>
          <w:sz w:val="24"/>
          <w:lang w:val="en-US"/>
        </w:rPr>
        <w:t>, which fungated as both catholyte and electrolyte (25 mL per chamber). Chamber were kept separate by means of a cation exchange (</w:t>
      </w:r>
      <w:proofErr w:type="spellStart"/>
      <w:r>
        <w:rPr>
          <w:rFonts w:ascii="Arial" w:hAnsi="Arial" w:cs="Arial"/>
          <w:sz w:val="24"/>
          <w:lang w:val="en-US"/>
        </w:rPr>
        <w:t>Nafion</w:t>
      </w:r>
      <w:proofErr w:type="spellEnd"/>
      <w:r>
        <w:rPr>
          <w:rFonts w:ascii="Arial" w:hAnsi="Arial" w:cs="Arial"/>
          <w:sz w:val="24"/>
          <w:lang w:val="en-US"/>
        </w:rPr>
        <w:t>) membrane. Prior to electrochemical testing, the electrolyte was saturated with CO</w:t>
      </w:r>
      <w:r>
        <w:rPr>
          <w:rFonts w:ascii="Arial" w:hAnsi="Arial" w:cs="Arial"/>
          <w:sz w:val="24"/>
          <w:vertAlign w:val="subscript"/>
          <w:lang w:val="en-US"/>
        </w:rPr>
        <w:t>2</w:t>
      </w:r>
      <w:r>
        <w:rPr>
          <w:rFonts w:ascii="Arial" w:hAnsi="Arial" w:cs="Arial"/>
          <w:sz w:val="24"/>
          <w:lang w:val="en-US"/>
        </w:rPr>
        <w:t xml:space="preserve"> by bubbling at 25 ml·min</w:t>
      </w:r>
      <w:r>
        <w:rPr>
          <w:rFonts w:ascii="Arial" w:hAnsi="Arial" w:cs="Arial"/>
          <w:sz w:val="24"/>
          <w:vertAlign w:val="superscript"/>
          <w:lang w:val="en-US"/>
        </w:rPr>
        <w:t>-1</w:t>
      </w:r>
      <w:r>
        <w:rPr>
          <w:rFonts w:ascii="Arial" w:hAnsi="Arial" w:cs="Arial"/>
          <w:sz w:val="24"/>
          <w:lang w:val="en-US"/>
        </w:rPr>
        <w:t xml:space="preserve"> for at least 15 min. Also, during any measurement, CO</w:t>
      </w:r>
      <w:r>
        <w:rPr>
          <w:rFonts w:ascii="Arial" w:hAnsi="Arial" w:cs="Arial"/>
          <w:sz w:val="24"/>
          <w:vertAlign w:val="subscript"/>
          <w:lang w:val="en-US"/>
        </w:rPr>
        <w:t>2</w:t>
      </w:r>
      <w:r>
        <w:rPr>
          <w:rFonts w:ascii="Arial" w:hAnsi="Arial" w:cs="Arial"/>
          <w:sz w:val="24"/>
          <w:lang w:val="en-US"/>
        </w:rPr>
        <w:t xml:space="preserve"> was bubbled through the catholyte continuously to ensure sufficient CO</w:t>
      </w:r>
      <w:r>
        <w:rPr>
          <w:rFonts w:ascii="Arial" w:hAnsi="Arial" w:cs="Arial"/>
          <w:sz w:val="24"/>
          <w:vertAlign w:val="subscript"/>
          <w:lang w:val="en-US"/>
        </w:rPr>
        <w:t>2</w:t>
      </w:r>
      <w:r>
        <w:rPr>
          <w:rFonts w:ascii="Arial" w:hAnsi="Arial" w:cs="Arial"/>
          <w:sz w:val="24"/>
          <w:lang w:val="en-US"/>
        </w:rPr>
        <w:t xml:space="preserve"> supply during the measurement. A Pt wire was used as counter electrode for the oxygen reduction reaction. An Ag/AgCl electrode was used as reference. All measurements were carried out at -1.1 V vs RHE. </w:t>
      </w:r>
      <w:r>
        <w:rPr>
          <w:rFonts w:ascii="Arial" w:hAnsi="Arial" w:cs="Arial"/>
          <w:sz w:val="24"/>
        </w:rPr>
        <w:t xml:space="preserve">The value of the potential versus Ag/AgCl was converted to the scale of the reversible hydrogen electrode (RHE) using the equation: E (versus RHE) = E (versus Ag/AgCl (3 M </w:t>
      </w:r>
      <w:proofErr w:type="spellStart"/>
      <w:r>
        <w:rPr>
          <w:rFonts w:ascii="Arial" w:hAnsi="Arial" w:cs="Arial"/>
          <w:sz w:val="24"/>
        </w:rPr>
        <w:t>KCl</w:t>
      </w:r>
      <w:proofErr w:type="spellEnd"/>
      <w:r>
        <w:rPr>
          <w:rFonts w:ascii="Arial" w:hAnsi="Arial" w:cs="Arial"/>
          <w:sz w:val="24"/>
        </w:rPr>
        <w:t>)) + 0.21 V + 0.059 * pH.</w:t>
      </w:r>
      <w:r>
        <w:rPr>
          <w:rFonts w:ascii="Arial" w:hAnsi="Arial" w:cs="Arial"/>
          <w:sz w:val="24"/>
          <w:lang w:val="en-US"/>
        </w:rPr>
        <w:t xml:space="preserve"> </w:t>
      </w:r>
      <w:r>
        <w:rPr>
          <w:rFonts w:ascii="Arial" w:hAnsi="Arial" w:cs="Arial"/>
          <w:sz w:val="24"/>
        </w:rPr>
        <w:t xml:space="preserve">The potential was </w:t>
      </w:r>
      <w:r>
        <w:rPr>
          <w:rFonts w:ascii="Arial" w:hAnsi="Arial" w:cs="Arial"/>
          <w:sz w:val="24"/>
          <w:lang w:val="en-US"/>
        </w:rPr>
        <w:t>mathematically</w:t>
      </w:r>
      <w:r>
        <w:rPr>
          <w:rFonts w:ascii="Arial" w:hAnsi="Arial" w:cs="Arial"/>
          <w:sz w:val="24"/>
        </w:rPr>
        <w:t xml:space="preserve"> compensated </w:t>
      </w:r>
      <w:r>
        <w:rPr>
          <w:rFonts w:ascii="Arial" w:hAnsi="Arial" w:cs="Arial"/>
          <w:sz w:val="24"/>
          <w:lang w:val="en-US"/>
        </w:rPr>
        <w:t>for the</w:t>
      </w:r>
      <w:r>
        <w:rPr>
          <w:rFonts w:ascii="Arial" w:hAnsi="Arial" w:cs="Arial"/>
          <w:sz w:val="24"/>
        </w:rPr>
        <w:t xml:space="preserve"> ohmic resistance that was determined by the electrochemical impedance spectroscopy (EIS). The </w:t>
      </w:r>
      <w:proofErr w:type="spellStart"/>
      <w:r>
        <w:rPr>
          <w:rFonts w:ascii="Arial" w:hAnsi="Arial" w:cs="Arial"/>
          <w:sz w:val="24"/>
        </w:rPr>
        <w:t>FEs</w:t>
      </w:r>
      <w:proofErr w:type="spellEnd"/>
      <w:r>
        <w:rPr>
          <w:rFonts w:ascii="Arial" w:hAnsi="Arial" w:cs="Arial"/>
          <w:sz w:val="24"/>
        </w:rPr>
        <w:t xml:space="preserve"> and </w:t>
      </w:r>
      <w:r>
        <w:rPr>
          <w:rFonts w:ascii="Arial" w:hAnsi="Arial" w:cs="Arial"/>
          <w:sz w:val="24"/>
          <w:lang w:val="en-US"/>
        </w:rPr>
        <w:t xml:space="preserve">currents </w:t>
      </w:r>
      <w:r>
        <w:rPr>
          <w:rFonts w:ascii="Arial" w:hAnsi="Arial" w:cs="Arial"/>
          <w:sz w:val="24"/>
        </w:rPr>
        <w:t xml:space="preserve">were repeatedly measured on three </w:t>
      </w:r>
      <w:r>
        <w:rPr>
          <w:rFonts w:ascii="Arial" w:hAnsi="Arial" w:cs="Arial"/>
          <w:sz w:val="24"/>
          <w:lang w:val="en-US"/>
        </w:rPr>
        <w:t xml:space="preserve">individual </w:t>
      </w:r>
      <w:r>
        <w:rPr>
          <w:rFonts w:ascii="Arial" w:hAnsi="Arial" w:cs="Arial"/>
          <w:sz w:val="24"/>
        </w:rPr>
        <w:t>electrodes</w:t>
      </w:r>
      <w:r>
        <w:rPr>
          <w:rFonts w:ascii="Arial" w:hAnsi="Arial" w:cs="Arial"/>
          <w:sz w:val="24"/>
          <w:lang w:val="en-US"/>
        </w:rPr>
        <w:t xml:space="preserve"> for each material evaluated</w:t>
      </w:r>
      <w:r>
        <w:rPr>
          <w:rFonts w:ascii="Arial" w:hAnsi="Arial" w:cs="Arial"/>
          <w:sz w:val="24"/>
        </w:rPr>
        <w:t>.</w:t>
      </w:r>
    </w:p>
    <w:p w14:paraId="5DCED1B1" w14:textId="6F18E203" w:rsidR="005E4531" w:rsidRDefault="006B323D" w:rsidP="00320FDF">
      <w:pPr>
        <w:spacing w:after="100" w:afterAutospacing="1" w:line="360" w:lineRule="auto"/>
        <w:jc w:val="both"/>
        <w:rPr>
          <w:rFonts w:ascii="Arial" w:hAnsi="Arial" w:cs="Arial"/>
          <w:sz w:val="28"/>
        </w:rPr>
      </w:pPr>
      <w:r>
        <w:rPr>
          <w:rFonts w:ascii="Arial" w:hAnsi="Arial" w:cs="Arial"/>
          <w:sz w:val="28"/>
          <w:lang w:val="en-US"/>
        </w:rPr>
        <w:t xml:space="preserve">Note </w:t>
      </w:r>
      <w:r w:rsidR="006A7A1C" w:rsidRPr="00FF5897">
        <w:rPr>
          <w:rFonts w:ascii="Arial" w:hAnsi="Arial" w:cs="Arial"/>
          <w:sz w:val="28"/>
          <w:lang w:val="en-US"/>
        </w:rPr>
        <w:t>S</w:t>
      </w:r>
      <w:r w:rsidR="00C5328F">
        <w:rPr>
          <w:rFonts w:ascii="Arial" w:hAnsi="Arial" w:cs="Arial"/>
          <w:sz w:val="28"/>
          <w:lang w:val="en-US"/>
        </w:rPr>
        <w:t>9</w:t>
      </w:r>
      <w:r>
        <w:rPr>
          <w:rFonts w:ascii="Arial" w:hAnsi="Arial" w:cs="Arial"/>
          <w:sz w:val="28"/>
          <w:lang w:val="en-US"/>
        </w:rPr>
        <w:t>.3 Quantification of the gaseous products.</w:t>
      </w:r>
    </w:p>
    <w:p w14:paraId="624F512F" w14:textId="77777777" w:rsidR="005E4531" w:rsidRDefault="006B323D" w:rsidP="00320FDF">
      <w:pPr>
        <w:spacing w:after="100" w:afterAutospacing="1" w:line="360" w:lineRule="auto"/>
        <w:jc w:val="both"/>
        <w:rPr>
          <w:rFonts w:ascii="Arial" w:hAnsi="Arial" w:cs="Arial"/>
          <w:sz w:val="24"/>
        </w:rPr>
      </w:pPr>
      <w:r>
        <w:rPr>
          <w:rFonts w:ascii="Arial" w:hAnsi="Arial" w:cs="Arial"/>
          <w:sz w:val="24"/>
        </w:rPr>
        <w:t xml:space="preserve">Gas products were analysed </w:t>
      </w:r>
      <w:r>
        <w:rPr>
          <w:rFonts w:ascii="Arial" w:hAnsi="Arial" w:cs="Arial"/>
          <w:sz w:val="24"/>
          <w:lang w:val="en-US"/>
        </w:rPr>
        <w:t xml:space="preserve">online (10 min interval) </w:t>
      </w:r>
      <w:r>
        <w:rPr>
          <w:rFonts w:ascii="Arial" w:hAnsi="Arial" w:cs="Arial"/>
          <w:sz w:val="24"/>
        </w:rPr>
        <w:t>using a gas chromatography (GC, SRI Instrument 8610C) with the auto-sampling loop (1 ml) connected to CO</w:t>
      </w:r>
      <w:r>
        <w:rPr>
          <w:rFonts w:ascii="Arial" w:hAnsi="Arial" w:cs="Arial"/>
          <w:sz w:val="24"/>
          <w:vertAlign w:val="subscript"/>
        </w:rPr>
        <w:t>2</w:t>
      </w:r>
      <w:r>
        <w:rPr>
          <w:rFonts w:ascii="Arial" w:hAnsi="Arial" w:cs="Arial"/>
          <w:sz w:val="24"/>
        </w:rPr>
        <w:t xml:space="preserve"> off-gas of the </w:t>
      </w:r>
      <w:r>
        <w:rPr>
          <w:rFonts w:ascii="Arial" w:hAnsi="Arial" w:cs="Arial"/>
          <w:sz w:val="24"/>
          <w:lang w:val="en-US"/>
        </w:rPr>
        <w:t>H-</w:t>
      </w:r>
      <w:r>
        <w:rPr>
          <w:rFonts w:ascii="Arial" w:hAnsi="Arial" w:cs="Arial"/>
          <w:sz w:val="24"/>
        </w:rPr>
        <w:t>cell</w:t>
      </w:r>
      <w:r>
        <w:rPr>
          <w:rFonts w:ascii="Arial" w:hAnsi="Arial" w:cs="Arial"/>
          <w:sz w:val="24"/>
          <w:lang w:val="en-US"/>
        </w:rPr>
        <w:t xml:space="preserve"> catholyte chamber</w:t>
      </w:r>
      <w:r>
        <w:rPr>
          <w:rFonts w:ascii="Arial" w:hAnsi="Arial" w:cs="Arial"/>
          <w:sz w:val="24"/>
        </w:rPr>
        <w:t>. H</w:t>
      </w:r>
      <w:r>
        <w:rPr>
          <w:rFonts w:ascii="Arial" w:hAnsi="Arial" w:cs="Arial"/>
          <w:sz w:val="24"/>
          <w:vertAlign w:val="subscript"/>
        </w:rPr>
        <w:t>2</w:t>
      </w:r>
      <w:r>
        <w:rPr>
          <w:rFonts w:ascii="Arial" w:hAnsi="Arial" w:cs="Arial"/>
          <w:sz w:val="24"/>
        </w:rPr>
        <w:t xml:space="preserve"> was analyse</w:t>
      </w:r>
      <w:r>
        <w:rPr>
          <w:rFonts w:ascii="Arial" w:hAnsi="Arial" w:cs="Arial"/>
          <w:sz w:val="24"/>
          <w:lang w:val="en-US"/>
        </w:rPr>
        <w:t>d</w:t>
      </w:r>
      <w:r>
        <w:rPr>
          <w:rFonts w:ascii="Arial" w:hAnsi="Arial" w:cs="Arial"/>
          <w:sz w:val="24"/>
        </w:rPr>
        <w:t xml:space="preserve"> using thermal conductive detector (TCD) and CO, CH</w:t>
      </w:r>
      <w:r>
        <w:rPr>
          <w:rFonts w:ascii="Arial" w:hAnsi="Arial" w:cs="Arial"/>
          <w:sz w:val="24"/>
          <w:vertAlign w:val="subscript"/>
        </w:rPr>
        <w:t xml:space="preserve">4, </w:t>
      </w:r>
      <w:r>
        <w:rPr>
          <w:rFonts w:ascii="Arial" w:hAnsi="Arial" w:cs="Arial"/>
          <w:sz w:val="24"/>
          <w:lang w:val="en-US"/>
        </w:rPr>
        <w:t>and</w:t>
      </w:r>
      <w:r>
        <w:rPr>
          <w:rFonts w:ascii="Arial" w:hAnsi="Arial" w:cs="Arial"/>
          <w:sz w:val="24"/>
          <w:vertAlign w:val="subscript"/>
          <w:lang w:val="en-US"/>
        </w:rPr>
        <w:t xml:space="preserve"> </w:t>
      </w:r>
      <w:r>
        <w:rPr>
          <w:rFonts w:ascii="Arial" w:hAnsi="Arial" w:cs="Arial"/>
          <w:sz w:val="24"/>
        </w:rPr>
        <w:t>C</w:t>
      </w:r>
      <w:r>
        <w:rPr>
          <w:rFonts w:ascii="Arial" w:hAnsi="Arial" w:cs="Arial"/>
          <w:sz w:val="24"/>
          <w:vertAlign w:val="subscript"/>
        </w:rPr>
        <w:t>2</w:t>
      </w:r>
      <w:r>
        <w:rPr>
          <w:rFonts w:ascii="Arial" w:hAnsi="Arial" w:cs="Arial"/>
          <w:sz w:val="24"/>
        </w:rPr>
        <w:t>H</w:t>
      </w:r>
      <w:r>
        <w:rPr>
          <w:rFonts w:ascii="Arial" w:hAnsi="Arial" w:cs="Arial"/>
          <w:sz w:val="24"/>
          <w:vertAlign w:val="subscript"/>
        </w:rPr>
        <w:t>4</w:t>
      </w:r>
      <w:r>
        <w:rPr>
          <w:rFonts w:ascii="Arial" w:hAnsi="Arial" w:cs="Arial"/>
          <w:sz w:val="24"/>
          <w:lang w:val="en-US"/>
        </w:rPr>
        <w:t xml:space="preserve"> </w:t>
      </w:r>
      <w:r>
        <w:rPr>
          <w:rFonts w:ascii="Arial" w:hAnsi="Arial" w:cs="Arial"/>
          <w:sz w:val="24"/>
        </w:rPr>
        <w:t>were analyse</w:t>
      </w:r>
      <w:r>
        <w:rPr>
          <w:rFonts w:ascii="Arial" w:hAnsi="Arial" w:cs="Arial"/>
          <w:sz w:val="24"/>
          <w:lang w:val="en-US"/>
        </w:rPr>
        <w:t>d</w:t>
      </w:r>
      <w:r>
        <w:rPr>
          <w:rFonts w:ascii="Arial" w:hAnsi="Arial" w:cs="Arial"/>
          <w:sz w:val="24"/>
        </w:rPr>
        <w:t xml:space="preserve"> using flame ionization detector (FID) with a </w:t>
      </w:r>
      <w:proofErr w:type="spellStart"/>
      <w:r>
        <w:rPr>
          <w:rFonts w:ascii="Arial" w:hAnsi="Arial" w:cs="Arial"/>
          <w:sz w:val="24"/>
        </w:rPr>
        <w:t>methanizer</w:t>
      </w:r>
      <w:bookmarkStart w:id="0" w:name="OLE_LINK20"/>
      <w:bookmarkStart w:id="1" w:name="OLE_LINK19"/>
      <w:proofErr w:type="spellEnd"/>
      <w:r>
        <w:rPr>
          <w:rFonts w:ascii="Arial" w:hAnsi="Arial" w:cs="Arial"/>
          <w:sz w:val="24"/>
        </w:rPr>
        <w:t>.</w:t>
      </w:r>
      <w:bookmarkEnd w:id="0"/>
      <w:bookmarkEnd w:id="1"/>
      <w:r>
        <w:rPr>
          <w:rFonts w:ascii="Arial" w:hAnsi="Arial" w:cs="Arial"/>
          <w:sz w:val="24"/>
        </w:rPr>
        <w:t xml:space="preserve"> </w:t>
      </w:r>
    </w:p>
    <w:p w14:paraId="17EA68C5" w14:textId="2142F81B" w:rsidR="005E4531" w:rsidRDefault="006B323D" w:rsidP="00320FDF">
      <w:pPr>
        <w:spacing w:after="100" w:afterAutospacing="1" w:line="360" w:lineRule="auto"/>
        <w:jc w:val="both"/>
        <w:rPr>
          <w:rFonts w:ascii="Arial" w:hAnsi="Arial" w:cs="Arial"/>
          <w:b/>
          <w:sz w:val="28"/>
        </w:rPr>
      </w:pPr>
      <w:r>
        <w:rPr>
          <w:rFonts w:ascii="Arial" w:hAnsi="Arial" w:cs="Arial"/>
          <w:sz w:val="28"/>
          <w:lang w:val="en-US"/>
        </w:rPr>
        <w:t xml:space="preserve">Note </w:t>
      </w:r>
      <w:r w:rsidR="006A7A1C" w:rsidRPr="00FF5897">
        <w:rPr>
          <w:rFonts w:ascii="Arial" w:hAnsi="Arial" w:cs="Arial"/>
          <w:sz w:val="28"/>
          <w:lang w:val="en-US"/>
        </w:rPr>
        <w:t>S</w:t>
      </w:r>
      <w:r w:rsidR="00C5328F">
        <w:rPr>
          <w:rFonts w:ascii="Arial" w:hAnsi="Arial" w:cs="Arial"/>
          <w:sz w:val="28"/>
          <w:lang w:val="en-US"/>
        </w:rPr>
        <w:t>9</w:t>
      </w:r>
      <w:r>
        <w:rPr>
          <w:rFonts w:ascii="Arial" w:hAnsi="Arial" w:cs="Arial"/>
          <w:sz w:val="28"/>
          <w:lang w:val="en-US"/>
        </w:rPr>
        <w:t>.4 Quantification of the liquid products using NMR.</w:t>
      </w:r>
    </w:p>
    <w:p w14:paraId="16C2083D" w14:textId="4DBE2420" w:rsidR="005E4531" w:rsidRDefault="006B323D" w:rsidP="00320FDF">
      <w:pPr>
        <w:spacing w:after="100" w:afterAutospacing="1" w:line="360" w:lineRule="auto"/>
        <w:jc w:val="both"/>
        <w:rPr>
          <w:rFonts w:ascii="Arial" w:hAnsi="Arial" w:cs="Arial"/>
          <w:sz w:val="24"/>
        </w:rPr>
      </w:pPr>
      <w:r>
        <w:rPr>
          <w:rFonts w:ascii="Arial" w:hAnsi="Arial" w:cs="Arial"/>
          <w:sz w:val="24"/>
          <w:lang w:val="en-US"/>
        </w:rPr>
        <w:t xml:space="preserve">Quantification of the liquid products was achieved according to a previously reported method and a derivation of the Kuhl </w:t>
      </w:r>
      <w:r>
        <w:rPr>
          <w:rFonts w:ascii="Arial" w:hAnsi="Arial" w:cs="Arial"/>
          <w:i/>
          <w:sz w:val="24"/>
          <w:lang w:val="en-US"/>
        </w:rPr>
        <w:t>et al</w:t>
      </w:r>
      <w:r>
        <w:rPr>
          <w:rFonts w:ascii="Arial" w:hAnsi="Arial" w:cs="Arial"/>
          <w:sz w:val="24"/>
          <w:lang w:val="en-US"/>
        </w:rPr>
        <w:t xml:space="preserve"> method.</w:t>
      </w:r>
      <w:r w:rsidR="005015AE" w:rsidRPr="00FF5897">
        <w:rPr>
          <w:rFonts w:ascii="Arial" w:hAnsi="Arial" w:cs="Arial"/>
          <w:sz w:val="24"/>
          <w:lang w:val="en-US"/>
        </w:rPr>
        <w:fldChar w:fldCharType="begin"/>
      </w:r>
      <w:r w:rsidR="000F395C">
        <w:rPr>
          <w:rFonts w:ascii="Arial" w:hAnsi="Arial" w:cs="Arial"/>
          <w:sz w:val="24"/>
          <w:lang w:val="en-US"/>
        </w:rPr>
        <w:instrText xml:space="preserve"> ADDIN ZOTERO_ITEM CSL_CITATION {"citationID":"dy0ry1dy","properties":{"formattedCitation":"\\super 24\\nosupersub{}","plainCitation":"24","noteIndex":0},"citationItems":[{"id":1537,"uris":["http://zotero.org/users/4941048/items/5M65CRPP"],"itemData":{"id":1537,"type":"article-journal","abstract":"We reveal that a significant amount (&gt;30%) of the liquid products from electrochemical CO2 reduction (CO2RR) in a flow reactor can cross the gas diffusion electrode (GDE) and anion exchange membrane (AEM). Crossover of volatile products through the GDE occurs mainly by evaporation, and the migration rate increases linearly with current density and CO2 flow rate. Non-volatile products prefer to cross the AEM through electromigration, and the migration rate is affected by the current density and the flow rate of the catholyte. These results highlight the importance of considering product crossover in CO2RR to adequately assess the catalytic performance.","container-title":"Journal of Catalysis","DOI":"10.1016/j.jcat.2020.03.013","ISSN":"0021-9517","journalAbbreviation":"Journal of Catalysis","language":"en","page":"140-145","source":"ScienceDirect","title":"Crossover of liquid products from electrochemical CO2 reduction through gas diffusion electrode and anion exchange membrane","volume":"385","author":[{"family":"Zhang","given":"Jie"},{"family":"Luo","given":"Wen"},{"family":"Züttel","given":"Andreas"}],"issued":{"date-parts":[["2020",5,1]]}}}],"schema":"https://github.com/citation-style-language/schema/raw/master/csl-citation.json"} </w:instrText>
      </w:r>
      <w:r w:rsidR="005015AE" w:rsidRPr="00FF5897">
        <w:rPr>
          <w:rFonts w:ascii="Arial" w:hAnsi="Arial" w:cs="Arial"/>
          <w:sz w:val="24"/>
          <w:lang w:val="en-US"/>
        </w:rPr>
        <w:fldChar w:fldCharType="separate"/>
      </w:r>
      <w:r w:rsidR="000F395C" w:rsidRPr="000F395C">
        <w:rPr>
          <w:rFonts w:ascii="Arial" w:hAnsi="Arial" w:cs="Arial"/>
          <w:sz w:val="24"/>
          <w:szCs w:val="24"/>
          <w:vertAlign w:val="superscript"/>
        </w:rPr>
        <w:t>24</w:t>
      </w:r>
      <w:r w:rsidR="005015AE" w:rsidRPr="00FF5897">
        <w:rPr>
          <w:rFonts w:ascii="Arial" w:hAnsi="Arial" w:cs="Arial"/>
          <w:sz w:val="24"/>
          <w:lang w:val="en-US"/>
        </w:rPr>
        <w:fldChar w:fldCharType="end"/>
      </w:r>
      <w:r w:rsidR="00B45B84" w:rsidRPr="00FF5897">
        <w:rPr>
          <w:rFonts w:ascii="Arial" w:hAnsi="Arial" w:cs="Arial"/>
          <w:sz w:val="24"/>
          <w:vertAlign w:val="superscript"/>
          <w:lang w:val="en-US"/>
        </w:rPr>
        <w:t>,</w:t>
      </w:r>
      <w:r w:rsidR="00B45B84" w:rsidRPr="00FF5897">
        <w:rPr>
          <w:rFonts w:ascii="Arial" w:hAnsi="Arial" w:cs="Arial"/>
          <w:sz w:val="24"/>
          <w:vertAlign w:val="superscript"/>
          <w:lang w:val="en-US"/>
        </w:rPr>
        <w:fldChar w:fldCharType="begin"/>
      </w:r>
      <w:r w:rsidR="000F395C">
        <w:rPr>
          <w:rFonts w:ascii="Arial" w:hAnsi="Arial" w:cs="Arial"/>
          <w:sz w:val="24"/>
          <w:vertAlign w:val="superscript"/>
          <w:lang w:val="en-US"/>
        </w:rPr>
        <w:instrText xml:space="preserve"> ADDIN ZOTERO_ITEM CSL_CITATION {"citationID":"UpAltOQM","properties":{"formattedCitation":"\\super 25\\nosupersub{}","plainCitation":"25","noteIndex":0},"citationItems":[{"id":827,"uris":["http://zotero.org/users/4941048/items/UGAII2HK"],"itemData":{"id":827,"type":"article-journal","abstract":"We report new insights into the electrochemical reduction of CO2 on a metallic copper surface, enabled by the development of an experimental methodology with unprecedented sensitivity for the identification and quantification of CO2 electroreduction products. This involves a custom electrochemical cell designed to maximize product concentrations coupled to gas chromatography and nuclear magnetic resonance for the identification and quantification of gas and liquid products, respectively. We studied copper across a range of potentials and observed a total of 16 different CO2 reduction products, five of which are reported here for the first time, thus providing the most complete view of the reaction chemistry reported to date. Taking into account the chemical identities of the wide range of C1–C3 products generated and the potential-dependence of their turnover frequencies, mechanistic information is deduced. We discuss a scheme for the formation of multicarbon products involving enol-like surface intermediates as a possible pathway, accounting for the observed selectivity for eleven distinct C2+ oxygenated products including aldehydes, ketones, alcohols, and carboxylic acids.","container-title":"Energy &amp; Environmental Science","DOI":"10.1039/C2EE21234J","ISSN":"1754-5706","issue":"5","journalAbbreviation":"Energy Environ. Sci.","language":"en","note":"publisher: The Royal Society of Chemistry","page":"7050-7059","source":"pubs.rsc.org","title":"New insights into the electrochemical reduction of carbon dioxide on metallic copper surfaces","volume":"5","author":[{"family":"Kuhl","given":"Kendra P."},{"family":"Cave","given":"Etosha R."},{"family":"Abram","given":"David N."},{"family":"Jaramillo","given":"Thomas F."}],"issued":{"date-parts":[["2012",4,26]]}}}],"schema":"https://github.com/citation-style-language/schema/raw/master/csl-citation.json"} </w:instrText>
      </w:r>
      <w:r w:rsidR="00B45B84" w:rsidRPr="00FF5897">
        <w:rPr>
          <w:rFonts w:ascii="Arial" w:hAnsi="Arial" w:cs="Arial"/>
          <w:sz w:val="24"/>
          <w:vertAlign w:val="superscript"/>
          <w:lang w:val="en-US"/>
        </w:rPr>
        <w:fldChar w:fldCharType="separate"/>
      </w:r>
      <w:r w:rsidR="000F395C" w:rsidRPr="000F395C">
        <w:rPr>
          <w:rFonts w:ascii="Arial" w:hAnsi="Arial" w:cs="Arial"/>
          <w:sz w:val="24"/>
          <w:szCs w:val="24"/>
          <w:vertAlign w:val="superscript"/>
        </w:rPr>
        <w:t>25</w:t>
      </w:r>
      <w:r w:rsidR="00B45B84" w:rsidRPr="00FF5897">
        <w:rPr>
          <w:rFonts w:ascii="Arial" w:hAnsi="Arial" w:cs="Arial"/>
          <w:sz w:val="24"/>
          <w:vertAlign w:val="superscript"/>
          <w:lang w:val="en-US"/>
        </w:rPr>
        <w:fldChar w:fldCharType="end"/>
      </w:r>
      <w:r>
        <w:rPr>
          <w:rFonts w:ascii="Arial" w:hAnsi="Arial" w:cs="Arial"/>
          <w:sz w:val="24"/>
          <w:lang w:val="en-US"/>
        </w:rPr>
        <w:t xml:space="preserve"> In brief, the l</w:t>
      </w:r>
      <w:proofErr w:type="spellStart"/>
      <w:r>
        <w:rPr>
          <w:rFonts w:ascii="Arial" w:hAnsi="Arial" w:cs="Arial"/>
          <w:sz w:val="24"/>
        </w:rPr>
        <w:t>iquid</w:t>
      </w:r>
      <w:proofErr w:type="spellEnd"/>
      <w:r>
        <w:rPr>
          <w:rFonts w:ascii="Arial" w:hAnsi="Arial" w:cs="Arial"/>
          <w:sz w:val="24"/>
        </w:rPr>
        <w:t xml:space="preserve"> products of all </w:t>
      </w:r>
      <w:r>
        <w:rPr>
          <w:rFonts w:ascii="Arial" w:hAnsi="Arial" w:cs="Arial"/>
          <w:sz w:val="24"/>
          <w:lang w:val="en-US"/>
        </w:rPr>
        <w:t>electrodes</w:t>
      </w:r>
      <w:r>
        <w:rPr>
          <w:rFonts w:ascii="Arial" w:hAnsi="Arial" w:cs="Arial"/>
          <w:sz w:val="24"/>
        </w:rPr>
        <w:t xml:space="preserve"> were quantified using nuclear magnetic resonance (NMR, Bruker 400 MHz </w:t>
      </w:r>
      <w:proofErr w:type="spellStart"/>
      <w:r>
        <w:rPr>
          <w:rFonts w:ascii="Arial" w:hAnsi="Arial" w:cs="Arial"/>
          <w:sz w:val="24"/>
        </w:rPr>
        <w:t>AVIIi</w:t>
      </w:r>
      <w:proofErr w:type="spellEnd"/>
      <w:r>
        <w:rPr>
          <w:rFonts w:ascii="Arial" w:hAnsi="Arial" w:cs="Arial"/>
          <w:sz w:val="24"/>
        </w:rPr>
        <w:t xml:space="preserve"> HD). </w:t>
      </w:r>
      <w:r>
        <w:rPr>
          <w:rFonts w:ascii="Arial" w:hAnsi="Arial" w:cs="Arial"/>
          <w:b/>
          <w:sz w:val="24"/>
          <w:lang w:val="en-US"/>
        </w:rPr>
        <w:t>Figure S21 and S22</w:t>
      </w:r>
      <w:r>
        <w:rPr>
          <w:rFonts w:ascii="Arial" w:hAnsi="Arial" w:cs="Arial"/>
          <w:sz w:val="24"/>
        </w:rPr>
        <w:t xml:space="preserve"> shows ta typical </w:t>
      </w:r>
      <w:bookmarkStart w:id="2" w:name="OLE_LINK18"/>
      <w:bookmarkStart w:id="3" w:name="OLE_LINK17"/>
      <w:r>
        <w:rPr>
          <w:rFonts w:ascii="Arial" w:hAnsi="Arial" w:cs="Arial"/>
          <w:sz w:val="24"/>
        </w:rPr>
        <w:t xml:space="preserve">1D </w:t>
      </w:r>
      <w:r>
        <w:rPr>
          <w:rFonts w:ascii="Arial" w:hAnsi="Arial" w:cs="Arial"/>
          <w:sz w:val="24"/>
          <w:vertAlign w:val="superscript"/>
        </w:rPr>
        <w:t>1</w:t>
      </w:r>
      <w:r>
        <w:rPr>
          <w:rFonts w:ascii="Arial" w:hAnsi="Arial" w:cs="Arial"/>
          <w:sz w:val="24"/>
        </w:rPr>
        <w:t xml:space="preserve">H NMR </w:t>
      </w:r>
      <w:bookmarkEnd w:id="2"/>
      <w:bookmarkEnd w:id="3"/>
      <w:r>
        <w:rPr>
          <w:rFonts w:ascii="Arial" w:hAnsi="Arial" w:cs="Arial"/>
          <w:sz w:val="24"/>
        </w:rPr>
        <w:t xml:space="preserve">spectrum </w:t>
      </w:r>
      <w:r>
        <w:rPr>
          <w:rFonts w:ascii="Arial" w:hAnsi="Arial" w:cs="Arial"/>
          <w:sz w:val="24"/>
          <w:lang w:val="en-US"/>
        </w:rPr>
        <w:t>obtained for a</w:t>
      </w:r>
      <w:r>
        <w:rPr>
          <w:rFonts w:ascii="Arial" w:hAnsi="Arial" w:cs="Arial"/>
          <w:sz w:val="24"/>
        </w:rPr>
        <w:t xml:space="preserve"> standard solution containing typical liquid products from </w:t>
      </w:r>
      <w:r>
        <w:rPr>
          <w:rFonts w:ascii="Arial" w:hAnsi="Arial" w:cs="Arial"/>
          <w:sz w:val="24"/>
          <w:lang w:val="en-US"/>
        </w:rPr>
        <w:t xml:space="preserve">the </w:t>
      </w:r>
      <w:r>
        <w:rPr>
          <w:rFonts w:ascii="Arial" w:hAnsi="Arial" w:cs="Arial"/>
          <w:sz w:val="24"/>
        </w:rPr>
        <w:t>CO</w:t>
      </w:r>
      <w:r>
        <w:rPr>
          <w:rFonts w:ascii="Arial" w:hAnsi="Arial" w:cs="Arial"/>
          <w:sz w:val="24"/>
          <w:vertAlign w:val="subscript"/>
        </w:rPr>
        <w:t>2</w:t>
      </w:r>
      <w:r>
        <w:rPr>
          <w:rFonts w:ascii="Arial" w:hAnsi="Arial" w:cs="Arial"/>
          <w:sz w:val="24"/>
        </w:rPr>
        <w:t>RR</w:t>
      </w:r>
      <w:r>
        <w:rPr>
          <w:rFonts w:ascii="Arial" w:hAnsi="Arial" w:cs="Arial"/>
          <w:sz w:val="24"/>
          <w:lang w:val="en-US"/>
        </w:rPr>
        <w:t xml:space="preserve"> and the internal standards (phenol and DMSO) as indicated by the arrows</w:t>
      </w:r>
      <w:r>
        <w:rPr>
          <w:rFonts w:ascii="Arial" w:hAnsi="Arial" w:cs="Arial"/>
          <w:sz w:val="24"/>
        </w:rPr>
        <w:t>. The peak area ratio of a given product to that of the internal standard</w:t>
      </w:r>
      <w:r>
        <w:rPr>
          <w:rFonts w:ascii="Arial" w:hAnsi="Arial" w:cs="Arial"/>
          <w:sz w:val="24"/>
          <w:lang w:val="en-US"/>
        </w:rPr>
        <w:t xml:space="preserve">, as obtained by peak fitting using </w:t>
      </w:r>
      <w:proofErr w:type="spellStart"/>
      <w:r>
        <w:rPr>
          <w:rFonts w:ascii="Arial" w:hAnsi="Arial" w:cs="Arial"/>
          <w:sz w:val="24"/>
          <w:lang w:val="en-US"/>
        </w:rPr>
        <w:lastRenderedPageBreak/>
        <w:t>MestReNova</w:t>
      </w:r>
      <w:proofErr w:type="spellEnd"/>
      <w:r>
        <w:rPr>
          <w:rFonts w:ascii="Arial" w:hAnsi="Arial" w:cs="Arial"/>
          <w:sz w:val="24"/>
          <w:lang w:val="en-US"/>
        </w:rPr>
        <w:t xml:space="preserve"> software,</w:t>
      </w:r>
      <w:r>
        <w:rPr>
          <w:rFonts w:ascii="Arial" w:hAnsi="Arial" w:cs="Arial"/>
          <w:sz w:val="24"/>
        </w:rPr>
        <w:t xml:space="preserve"> was used to determine the concentration of the product</w:t>
      </w:r>
      <w:r>
        <w:rPr>
          <w:rFonts w:ascii="Arial" w:hAnsi="Arial" w:cs="Arial"/>
          <w:sz w:val="24"/>
          <w:lang w:val="en-US"/>
        </w:rPr>
        <w:t>s</w:t>
      </w:r>
      <w:r>
        <w:rPr>
          <w:rFonts w:ascii="Arial" w:hAnsi="Arial" w:cs="Arial"/>
          <w:sz w:val="24"/>
        </w:rPr>
        <w:t xml:space="preserve">. Identical NMR acquisition parameters were used for all measurements. In addition, the water peak was suppressed using </w:t>
      </w:r>
      <w:r>
        <w:rPr>
          <w:rFonts w:ascii="Arial" w:hAnsi="Arial" w:cs="Arial"/>
          <w:sz w:val="24"/>
          <w:lang w:val="en-US"/>
        </w:rPr>
        <w:t xml:space="preserve">the </w:t>
      </w:r>
      <w:r>
        <w:rPr>
          <w:rFonts w:ascii="Arial" w:hAnsi="Arial" w:cs="Arial"/>
          <w:sz w:val="24"/>
        </w:rPr>
        <w:t xml:space="preserve">solvent suppression function. The </w:t>
      </w:r>
      <w:r>
        <w:rPr>
          <w:rFonts w:ascii="Arial" w:hAnsi="Arial" w:cs="Arial"/>
          <w:sz w:val="24"/>
          <w:lang w:val="en-US"/>
        </w:rPr>
        <w:t xml:space="preserve">acquisition </w:t>
      </w:r>
      <w:r>
        <w:rPr>
          <w:rFonts w:ascii="Arial" w:hAnsi="Arial" w:cs="Arial"/>
          <w:sz w:val="24"/>
        </w:rPr>
        <w:t>time of d1 was 5 s and the number of scan</w:t>
      </w:r>
      <w:r>
        <w:rPr>
          <w:rFonts w:ascii="Arial" w:hAnsi="Arial" w:cs="Arial"/>
          <w:sz w:val="24"/>
          <w:lang w:val="en-US"/>
        </w:rPr>
        <w:t>s</w:t>
      </w:r>
      <w:r>
        <w:rPr>
          <w:rFonts w:ascii="Arial" w:hAnsi="Arial" w:cs="Arial"/>
          <w:sz w:val="24"/>
        </w:rPr>
        <w:t xml:space="preserve"> was </w:t>
      </w:r>
      <w:r>
        <w:rPr>
          <w:rFonts w:ascii="Arial" w:hAnsi="Arial" w:cs="Arial"/>
          <w:sz w:val="24"/>
          <w:lang w:val="en-US"/>
        </w:rPr>
        <w:t>260</w:t>
      </w:r>
      <w:r>
        <w:rPr>
          <w:rFonts w:ascii="Arial" w:hAnsi="Arial" w:cs="Arial"/>
          <w:sz w:val="24"/>
        </w:rPr>
        <w:t xml:space="preserve">. Products </w:t>
      </w:r>
      <w:bookmarkStart w:id="4" w:name="OLE_LINK24"/>
      <w:bookmarkStart w:id="5" w:name="OLE_LINK23"/>
      <w:r>
        <w:rPr>
          <w:rFonts w:ascii="Arial" w:hAnsi="Arial" w:cs="Arial"/>
          <w:sz w:val="24"/>
        </w:rPr>
        <w:t xml:space="preserve">with peaks </w:t>
      </w:r>
      <w:bookmarkEnd w:id="4"/>
      <w:bookmarkEnd w:id="5"/>
      <w:r>
        <w:rPr>
          <w:rFonts w:ascii="Arial" w:hAnsi="Arial" w:cs="Arial"/>
          <w:sz w:val="24"/>
          <w:lang w:val="en-US"/>
        </w:rPr>
        <w:t xml:space="preserve">with chemicals shifts than larger </w:t>
      </w:r>
      <w:r>
        <w:rPr>
          <w:rFonts w:ascii="Arial" w:hAnsi="Arial" w:cs="Arial"/>
          <w:sz w:val="24"/>
        </w:rPr>
        <w:t xml:space="preserve">water </w:t>
      </w:r>
      <w:r>
        <w:rPr>
          <w:rFonts w:ascii="Arial" w:hAnsi="Arial" w:cs="Arial"/>
          <w:sz w:val="24"/>
          <w:lang w:val="en-US"/>
        </w:rPr>
        <w:t xml:space="preserve">(&gt; 5 ppm) </w:t>
      </w:r>
      <w:r>
        <w:rPr>
          <w:rFonts w:ascii="Arial" w:hAnsi="Arial" w:cs="Arial"/>
          <w:sz w:val="24"/>
        </w:rPr>
        <w:t>were quantified using phenol</w:t>
      </w:r>
      <w:r>
        <w:rPr>
          <w:rFonts w:ascii="Arial" w:hAnsi="Arial" w:cs="Arial"/>
          <w:sz w:val="24"/>
          <w:lang w:val="en-US"/>
        </w:rPr>
        <w:t>, all others with DMSO</w:t>
      </w:r>
      <w:r>
        <w:rPr>
          <w:rFonts w:ascii="Arial" w:hAnsi="Arial" w:cs="Arial"/>
          <w:sz w:val="24"/>
        </w:rPr>
        <w:t>.</w:t>
      </w:r>
    </w:p>
    <w:p w14:paraId="3B40A7AA" w14:textId="77777777" w:rsidR="00266643" w:rsidRPr="00FF5897" w:rsidRDefault="00266643" w:rsidP="00FD4D0D">
      <w:pPr>
        <w:spacing w:after="100" w:afterAutospacing="1" w:line="360" w:lineRule="auto"/>
        <w:jc w:val="both"/>
        <w:rPr>
          <w:rFonts w:ascii="Arial" w:hAnsi="Arial" w:cs="Arial"/>
          <w:sz w:val="24"/>
          <w:szCs w:val="24"/>
        </w:rPr>
      </w:pPr>
      <w:r w:rsidRPr="00FF5897">
        <w:rPr>
          <w:rFonts w:ascii="Arial" w:hAnsi="Arial" w:cs="Arial"/>
          <w:noProof/>
          <w:sz w:val="24"/>
          <w:szCs w:val="24"/>
        </w:rPr>
        <w:drawing>
          <wp:inline distT="0" distB="0" distL="0" distR="0" wp14:anchorId="3A6D0770" wp14:editId="03C335FF">
            <wp:extent cx="5734050" cy="3752850"/>
            <wp:effectExtent l="0" t="0" r="0" b="0"/>
            <wp:docPr id="96" name="Picture 96"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containing text, diagram, plot, lin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4050" cy="3752850"/>
                    </a:xfrm>
                    <a:prstGeom prst="rect">
                      <a:avLst/>
                    </a:prstGeom>
                    <a:noFill/>
                    <a:ln>
                      <a:noFill/>
                    </a:ln>
                  </pic:spPr>
                </pic:pic>
              </a:graphicData>
            </a:graphic>
          </wp:inline>
        </w:drawing>
      </w:r>
    </w:p>
    <w:p w14:paraId="47893304" w14:textId="1023BFB8" w:rsidR="005E4531" w:rsidRDefault="006B323D" w:rsidP="00320FDF">
      <w:pPr>
        <w:spacing w:after="100" w:afterAutospacing="1" w:line="360" w:lineRule="auto"/>
        <w:jc w:val="both"/>
        <w:rPr>
          <w:rFonts w:ascii="Arial" w:hAnsi="Arial" w:cs="Arial"/>
          <w:lang w:val="en-US"/>
        </w:rPr>
      </w:pPr>
      <w:r>
        <w:rPr>
          <w:rFonts w:ascii="Arial" w:hAnsi="Arial" w:cs="Arial"/>
          <w:b/>
          <w:lang w:val="en-US"/>
        </w:rPr>
        <w:t>Figure S2</w:t>
      </w:r>
      <w:r w:rsidR="00B725E8">
        <w:rPr>
          <w:rFonts w:ascii="Arial" w:hAnsi="Arial" w:cs="Arial"/>
          <w:b/>
          <w:lang w:val="en-US"/>
        </w:rPr>
        <w:t>2</w:t>
      </w:r>
      <w:r>
        <w:rPr>
          <w:rFonts w:ascii="Arial" w:hAnsi="Arial" w:cs="Arial"/>
          <w:lang w:val="en-US"/>
        </w:rPr>
        <w:t xml:space="preserve">. Typical </w:t>
      </w:r>
      <w:r>
        <w:rPr>
          <w:rFonts w:ascii="Arial" w:hAnsi="Arial" w:cs="Arial"/>
          <w:vertAlign w:val="superscript"/>
          <w:lang w:val="en-US"/>
        </w:rPr>
        <w:t>1</w:t>
      </w:r>
      <w:r>
        <w:rPr>
          <w:rFonts w:ascii="Arial" w:hAnsi="Arial" w:cs="Arial"/>
          <w:lang w:val="en-US"/>
        </w:rPr>
        <w:t>H-NMR spectrum taken of a catholyte aliquot after CO</w:t>
      </w:r>
      <w:r>
        <w:rPr>
          <w:rFonts w:ascii="Arial" w:hAnsi="Arial" w:cs="Arial"/>
          <w:vertAlign w:val="subscript"/>
          <w:lang w:val="en-US"/>
        </w:rPr>
        <w:t>2</w:t>
      </w:r>
      <w:r>
        <w:rPr>
          <w:rFonts w:ascii="Arial" w:hAnsi="Arial" w:cs="Arial"/>
          <w:lang w:val="en-US"/>
        </w:rPr>
        <w:t xml:space="preserve">RR using a Cu-Ag-NCB-GDL catalyst at 0.9 V vs RHE for 1 hrs. The catholyte contains three CO2RR products: </w:t>
      </w:r>
      <w:proofErr w:type="spellStart"/>
      <w:r>
        <w:rPr>
          <w:rFonts w:ascii="Arial" w:hAnsi="Arial" w:cs="Arial"/>
          <w:lang w:val="en-US"/>
        </w:rPr>
        <w:t>formate</w:t>
      </w:r>
      <w:proofErr w:type="spellEnd"/>
      <w:r>
        <w:rPr>
          <w:rFonts w:ascii="Arial" w:hAnsi="Arial" w:cs="Arial"/>
          <w:lang w:val="en-US"/>
        </w:rPr>
        <w:t>, acetate and acetaldehyde. The acetaldehyde exist a hydrated form</w:t>
      </w:r>
      <w:r w:rsidR="00C32F5B" w:rsidRPr="00FF5897">
        <w:rPr>
          <w:rFonts w:ascii="Arial" w:hAnsi="Arial" w:cs="Arial"/>
          <w:lang w:val="en-US"/>
        </w:rPr>
        <w:fldChar w:fldCharType="begin"/>
      </w:r>
      <w:r w:rsidR="000F395C">
        <w:rPr>
          <w:rFonts w:ascii="Arial" w:hAnsi="Arial" w:cs="Arial"/>
          <w:lang w:val="en-US"/>
        </w:rPr>
        <w:instrText xml:space="preserve"> ADDIN ZOTERO_ITEM CSL_CITATION {"citationID":"gLNWk36G","properties":{"formattedCitation":"\\super 25\\nosupersub{}","plainCitation":"25","noteIndex":0},"citationItems":[{"id":827,"uris":["http://zotero.org/users/4941048/items/UGAII2HK"],"itemData":{"id":827,"type":"article-journal","abstract":"We report new insights into the electrochemical reduction of CO2 on a metallic copper surface, enabled by the development of an experimental methodology with unprecedented sensitivity for the identification and quantification of CO2 electroreduction products. This involves a custom electrochemical cell designed to maximize product concentrations coupled to gas chromatography and nuclear magnetic resonance for the identification and quantification of gas and liquid products, respectively. We studied copper across a range of potentials and observed a total of 16 different CO2 reduction products, five of which are reported here for the first time, thus providing the most complete view of the reaction chemistry reported to date. Taking into account the chemical identities of the wide range of C1–C3 products generated and the potential-dependence of their turnover frequencies, mechanistic information is deduced. We discuss a scheme for the formation of multicarbon products involving enol-like surface intermediates as a possible pathway, accounting for the observed selectivity for eleven distinct C2+ oxygenated products including aldehydes, ketones, alcohols, and carboxylic acids.","container-title":"Energy &amp; Environmental Science","DOI":"10.1039/C2EE21234J","ISSN":"1754-5706","issue":"5","journalAbbreviation":"Energy Environ. Sci.","language":"en","note":"publisher: The Royal Society of Chemistry","page":"7050-7059","source":"pubs.rsc.org","title":"New insights into the electrochemical reduction of carbon dioxide on metallic copper surfaces","volume":"5","author":[{"family":"Kuhl","given":"Kendra P."},{"family":"Cave","given":"Etosha R."},{"family":"Abram","given":"David N."},{"family":"Jaramillo","given":"Thomas F."}],"issued":{"date-parts":[["2012",4,26]]}}}],"schema":"https://github.com/citation-style-language/schema/raw/master/csl-citation.json"} </w:instrText>
      </w:r>
      <w:r w:rsidR="00C32F5B" w:rsidRPr="00FF5897">
        <w:rPr>
          <w:rFonts w:ascii="Arial" w:hAnsi="Arial" w:cs="Arial"/>
          <w:lang w:val="en-US"/>
        </w:rPr>
        <w:fldChar w:fldCharType="separate"/>
      </w:r>
      <w:r w:rsidR="000F395C" w:rsidRPr="000F395C">
        <w:rPr>
          <w:rFonts w:ascii="Arial" w:hAnsi="Arial" w:cs="Arial"/>
          <w:szCs w:val="24"/>
          <w:vertAlign w:val="superscript"/>
        </w:rPr>
        <w:t>25</w:t>
      </w:r>
      <w:r w:rsidR="00C32F5B" w:rsidRPr="00FF5897">
        <w:rPr>
          <w:rFonts w:ascii="Arial" w:hAnsi="Arial" w:cs="Arial"/>
          <w:lang w:val="en-US"/>
        </w:rPr>
        <w:fldChar w:fldCharType="end"/>
      </w:r>
      <w:r>
        <w:rPr>
          <w:rFonts w:ascii="Arial" w:hAnsi="Arial" w:cs="Arial"/>
          <w:lang w:val="en-US"/>
        </w:rPr>
        <w:t xml:space="preserve"> and a less soluble aggregate i.e. metaldehyde resulting in peak broadening and shift to lower ppm values. Any multimer of acetaldehyde forms chemically and is base catalyzed. See </w:t>
      </w:r>
      <w:r>
        <w:rPr>
          <w:rFonts w:ascii="Arial" w:hAnsi="Arial" w:cs="Arial"/>
          <w:b/>
          <w:lang w:val="en-US"/>
        </w:rPr>
        <w:t>Figure S18</w:t>
      </w:r>
      <w:r>
        <w:rPr>
          <w:rFonts w:ascii="Arial" w:hAnsi="Arial" w:cs="Arial"/>
          <w:lang w:val="en-US"/>
        </w:rPr>
        <w:t xml:space="preserve"> for a typical NMR spectrum of metaldehyde.</w:t>
      </w:r>
    </w:p>
    <w:p w14:paraId="2A7DB484" w14:textId="77777777" w:rsidR="00C32F5B" w:rsidRPr="00FF5897" w:rsidRDefault="00266643" w:rsidP="00BB5211">
      <w:pPr>
        <w:spacing w:after="100" w:afterAutospacing="1" w:line="360" w:lineRule="auto"/>
        <w:jc w:val="center"/>
        <w:rPr>
          <w:rFonts w:ascii="Arial" w:hAnsi="Arial" w:cs="Arial"/>
          <w:sz w:val="24"/>
          <w:lang w:val="en-US"/>
        </w:rPr>
      </w:pPr>
      <w:r w:rsidRPr="00FF5897">
        <w:rPr>
          <w:rFonts w:ascii="Arial" w:hAnsi="Arial" w:cs="Arial"/>
          <w:noProof/>
          <w:sz w:val="24"/>
          <w:szCs w:val="24"/>
          <w:lang w:val="en-US"/>
        </w:rPr>
        <w:lastRenderedPageBreak/>
        <w:drawing>
          <wp:inline distT="0" distB="0" distL="0" distR="0" wp14:anchorId="3382FE4D" wp14:editId="310F2614">
            <wp:extent cx="4506373" cy="3450894"/>
            <wp:effectExtent l="0" t="0" r="8890" b="0"/>
            <wp:docPr id="95" name="Picture 95" descr="A picture containing text, line, pl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line, plot, fon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11488" cy="3454811"/>
                    </a:xfrm>
                    <a:prstGeom prst="rect">
                      <a:avLst/>
                    </a:prstGeom>
                    <a:noFill/>
                    <a:ln>
                      <a:noFill/>
                    </a:ln>
                  </pic:spPr>
                </pic:pic>
              </a:graphicData>
            </a:graphic>
          </wp:inline>
        </w:drawing>
      </w:r>
    </w:p>
    <w:p w14:paraId="6E535919" w14:textId="748BDAEF" w:rsidR="005E4531" w:rsidRDefault="006B323D" w:rsidP="00320FDF">
      <w:pPr>
        <w:spacing w:after="100" w:afterAutospacing="1" w:line="360" w:lineRule="auto"/>
        <w:jc w:val="both"/>
        <w:rPr>
          <w:rFonts w:ascii="Arial" w:hAnsi="Arial" w:cs="Arial"/>
          <w:sz w:val="24"/>
          <w:lang w:val="en-US"/>
        </w:rPr>
      </w:pPr>
      <w:r>
        <w:rPr>
          <w:rFonts w:ascii="Arial" w:hAnsi="Arial" w:cs="Arial"/>
          <w:b/>
          <w:lang w:val="en-US"/>
        </w:rPr>
        <w:t>Figure S2</w:t>
      </w:r>
      <w:r w:rsidR="00B725E8">
        <w:rPr>
          <w:rFonts w:ascii="Arial" w:hAnsi="Arial" w:cs="Arial"/>
          <w:b/>
          <w:lang w:val="en-US"/>
        </w:rPr>
        <w:t>3</w:t>
      </w:r>
      <w:r>
        <w:rPr>
          <w:rFonts w:ascii="Arial" w:hAnsi="Arial" w:cs="Arial"/>
          <w:b/>
          <w:lang w:val="en-US"/>
        </w:rPr>
        <w:t xml:space="preserve">. </w:t>
      </w:r>
      <w:r>
        <w:rPr>
          <w:rFonts w:ascii="Arial" w:hAnsi="Arial" w:cs="Arial"/>
          <w:lang w:val="en-US"/>
        </w:rPr>
        <w:t>1H-NMR spectrum of metaldehyde dissolved in 0.1 M KHCO</w:t>
      </w:r>
      <w:r>
        <w:rPr>
          <w:rFonts w:ascii="Arial" w:hAnsi="Arial" w:cs="Arial"/>
          <w:vertAlign w:val="subscript"/>
          <w:lang w:val="en-US"/>
        </w:rPr>
        <w:t>3</w:t>
      </w:r>
      <w:r>
        <w:rPr>
          <w:rFonts w:ascii="Arial" w:hAnsi="Arial" w:cs="Arial"/>
          <w:sz w:val="24"/>
          <w:lang w:val="en-US"/>
        </w:rPr>
        <w:t>.</w:t>
      </w:r>
    </w:p>
    <w:p w14:paraId="38EE9B32" w14:textId="77777777" w:rsidR="006A7A1C" w:rsidRPr="00FF5897" w:rsidRDefault="006A7A1C" w:rsidP="00FD4D0D">
      <w:pPr>
        <w:spacing w:after="100" w:afterAutospacing="1" w:line="360" w:lineRule="auto"/>
        <w:jc w:val="both"/>
        <w:rPr>
          <w:rFonts w:ascii="Arial" w:hAnsi="Arial" w:cs="Arial"/>
          <w:sz w:val="24"/>
          <w:lang w:val="en-US"/>
        </w:rPr>
      </w:pPr>
    </w:p>
    <w:p w14:paraId="0E8E1749" w14:textId="03F47488" w:rsidR="005E4531" w:rsidRDefault="006B323D" w:rsidP="00320FDF">
      <w:pPr>
        <w:spacing w:after="100" w:afterAutospacing="1" w:line="360" w:lineRule="auto"/>
        <w:jc w:val="both"/>
        <w:rPr>
          <w:rFonts w:ascii="Arial" w:hAnsi="Arial" w:cs="Arial"/>
          <w:b/>
          <w:sz w:val="28"/>
        </w:rPr>
      </w:pPr>
      <w:bookmarkStart w:id="6" w:name="_Hlk123649127"/>
      <w:r>
        <w:rPr>
          <w:rFonts w:ascii="Arial" w:hAnsi="Arial" w:cs="Arial"/>
          <w:sz w:val="28"/>
          <w:lang w:val="en-US"/>
        </w:rPr>
        <w:t xml:space="preserve">Note </w:t>
      </w:r>
      <w:r w:rsidR="006A7A1C" w:rsidRPr="00FF5897">
        <w:rPr>
          <w:rFonts w:ascii="Arial" w:hAnsi="Arial" w:cs="Arial"/>
          <w:sz w:val="28"/>
          <w:lang w:val="en-US"/>
        </w:rPr>
        <w:t>S</w:t>
      </w:r>
      <w:r w:rsidR="00C5328F">
        <w:rPr>
          <w:rFonts w:ascii="Arial" w:hAnsi="Arial" w:cs="Arial"/>
          <w:sz w:val="28"/>
          <w:lang w:val="en-US"/>
        </w:rPr>
        <w:t>9</w:t>
      </w:r>
      <w:r>
        <w:rPr>
          <w:rFonts w:ascii="Arial" w:hAnsi="Arial" w:cs="Arial"/>
          <w:sz w:val="28"/>
          <w:lang w:val="en-US"/>
        </w:rPr>
        <w:t>.5 Calculation of the faradaic efficiency.</w:t>
      </w:r>
      <w:bookmarkEnd w:id="6"/>
    </w:p>
    <w:p w14:paraId="7C200117" w14:textId="77777777" w:rsidR="005E4531" w:rsidRDefault="006B323D" w:rsidP="00320FDF">
      <w:pPr>
        <w:spacing w:after="100" w:afterAutospacing="1" w:line="360" w:lineRule="auto"/>
        <w:jc w:val="both"/>
        <w:rPr>
          <w:rFonts w:ascii="Arial" w:hAnsi="Arial" w:cs="Arial"/>
          <w:sz w:val="24"/>
          <w:lang w:val="en-US"/>
        </w:rPr>
      </w:pPr>
      <w:r>
        <w:rPr>
          <w:rFonts w:ascii="Arial" w:hAnsi="Arial" w:cs="Arial"/>
          <w:sz w:val="24"/>
        </w:rPr>
        <w:t xml:space="preserve">The faradaic efficiency </w:t>
      </w:r>
      <w:r>
        <w:rPr>
          <w:rFonts w:ascii="Arial" w:hAnsi="Arial" w:cs="Arial"/>
          <w:sz w:val="24"/>
          <w:lang w:val="en-US"/>
        </w:rPr>
        <w:t xml:space="preserve">(FE) </w:t>
      </w:r>
      <w:r>
        <w:rPr>
          <w:rFonts w:ascii="Arial" w:hAnsi="Arial" w:cs="Arial"/>
          <w:sz w:val="24"/>
        </w:rPr>
        <w:t>was calculated for gas and liquid products, using FE =</w:t>
      </w:r>
      <m:oMath>
        <m:f>
          <m:fPr>
            <m:ctrlPr>
              <w:rPr>
                <w:rFonts w:ascii="Cambria Math" w:hAnsi="Cambria Math"/>
                <w:sz w:val="24"/>
              </w:rPr>
            </m:ctrlPr>
          </m:fPr>
          <m:num>
            <m:r>
              <w:rPr>
                <w:rFonts w:ascii="Cambria Math" w:hAnsi="Cambria Math"/>
                <w:sz w:val="24"/>
              </w:rPr>
              <m:t>nF</m:t>
            </m:r>
            <m:sSub>
              <m:sSubPr>
                <m:ctrlPr>
                  <w:rPr>
                    <w:rFonts w:ascii="Cambria Math" w:hAnsi="Cambria Math"/>
                    <w:i/>
                    <w:sz w:val="24"/>
                  </w:rPr>
                </m:ctrlPr>
              </m:sSubPr>
              <m:e>
                <m:r>
                  <w:rPr>
                    <w:rFonts w:ascii="Cambria Math" w:hAnsi="Cambria Math"/>
                    <w:sz w:val="24"/>
                  </w:rPr>
                  <m:t>C</m:t>
                </m:r>
              </m:e>
              <m:sub>
                <m:r>
                  <w:rPr>
                    <w:rFonts w:ascii="Cambria Math" w:hAnsi="Cambria Math"/>
                    <w:sz w:val="24"/>
                  </w:rPr>
                  <m:t>i</m:t>
                </m:r>
              </m:sub>
            </m:sSub>
            <m:r>
              <w:rPr>
                <w:rFonts w:ascii="Cambria Math" w:hAnsi="Cambria Math"/>
                <w:sz w:val="24"/>
              </w:rPr>
              <m:t>vP</m:t>
            </m:r>
          </m:num>
          <m:den>
            <m:r>
              <w:rPr>
                <w:rFonts w:ascii="Cambria Math" w:hAnsi="Cambria Math"/>
                <w:sz w:val="24"/>
              </w:rPr>
              <m:t>jRT</m:t>
            </m:r>
          </m:den>
        </m:f>
      </m:oMath>
      <w:r>
        <w:rPr>
          <w:rFonts w:ascii="Arial" w:hAnsi="Arial" w:cs="Arial"/>
          <w:sz w:val="24"/>
        </w:rPr>
        <w:t xml:space="preserve">  and FE =</w:t>
      </w:r>
      <m:oMath>
        <m:f>
          <m:fPr>
            <m:ctrlPr>
              <w:rPr>
                <w:rFonts w:ascii="Cambria Math" w:hAnsi="Cambria Math"/>
                <w:sz w:val="24"/>
              </w:rPr>
            </m:ctrlPr>
          </m:fPr>
          <m:num>
            <m:r>
              <w:rPr>
                <w:rFonts w:ascii="Cambria Math" w:hAnsi="Cambria Math"/>
                <w:sz w:val="24"/>
              </w:rPr>
              <m:t>nF</m:t>
            </m:r>
            <m:sSub>
              <m:sSubPr>
                <m:ctrlPr>
                  <w:rPr>
                    <w:rFonts w:ascii="Cambria Math" w:hAnsi="Cambria Math"/>
                    <w:i/>
                    <w:sz w:val="24"/>
                  </w:rPr>
                </m:ctrlPr>
              </m:sSubPr>
              <m:e>
                <m:r>
                  <w:rPr>
                    <w:rFonts w:ascii="Cambria Math" w:hAnsi="Cambria Math"/>
                    <w:sz w:val="24"/>
                  </w:rPr>
                  <m:t>C</m:t>
                </m:r>
              </m:e>
              <m:sub>
                <m:r>
                  <w:rPr>
                    <w:rFonts w:ascii="Cambria Math" w:hAnsi="Cambria Math"/>
                    <w:sz w:val="24"/>
                  </w:rPr>
                  <m:t>i</m:t>
                </m:r>
              </m:sub>
            </m:sSub>
            <m:r>
              <w:rPr>
                <w:rFonts w:ascii="Cambria Math" w:hAnsi="Cambria Math"/>
                <w:sz w:val="24"/>
              </w:rPr>
              <m:t>V</m:t>
            </m:r>
          </m:num>
          <m:den>
            <m:r>
              <w:rPr>
                <w:rFonts w:ascii="Cambria Math" w:hAnsi="Cambria Math"/>
                <w:sz w:val="24"/>
              </w:rPr>
              <m:t>Q</m:t>
            </m:r>
          </m:den>
        </m:f>
      </m:oMath>
      <w:r>
        <w:rPr>
          <w:rFonts w:ascii="Arial" w:hAnsi="Arial" w:cs="Arial"/>
          <w:sz w:val="24"/>
        </w:rPr>
        <w:t xml:space="preserve">, respectively, where </w:t>
      </w:r>
      <w:r>
        <w:rPr>
          <w:rFonts w:ascii="Arial" w:hAnsi="Arial" w:cs="Arial"/>
          <w:i/>
          <w:sz w:val="24"/>
        </w:rPr>
        <w:t>n</w:t>
      </w:r>
      <w:r>
        <w:rPr>
          <w:rFonts w:ascii="Arial" w:hAnsi="Arial" w:cs="Arial"/>
          <w:sz w:val="24"/>
        </w:rPr>
        <w:t xml:space="preserve"> is the number of transferred electron</w:t>
      </w:r>
      <w:r>
        <w:rPr>
          <w:rFonts w:ascii="Arial" w:hAnsi="Arial" w:cs="Arial"/>
          <w:sz w:val="24"/>
          <w:lang w:val="en-US"/>
        </w:rPr>
        <w:t>s</w:t>
      </w:r>
      <w:r>
        <w:rPr>
          <w:rFonts w:ascii="Arial" w:hAnsi="Arial" w:cs="Arial"/>
          <w:sz w:val="24"/>
        </w:rPr>
        <w:t xml:space="preserve"> to produce one molecule of product </w:t>
      </w:r>
      <w:r>
        <w:rPr>
          <w:rFonts w:ascii="Arial" w:hAnsi="Arial" w:cs="Arial"/>
          <w:i/>
          <w:sz w:val="24"/>
        </w:rPr>
        <w:t>i</w:t>
      </w:r>
      <w:r>
        <w:rPr>
          <w:rFonts w:ascii="Arial" w:hAnsi="Arial" w:cs="Arial"/>
          <w:sz w:val="24"/>
        </w:rPr>
        <w:t xml:space="preserve">, </w:t>
      </w:r>
      <w:r>
        <w:rPr>
          <w:rFonts w:ascii="Arial" w:hAnsi="Arial" w:cs="Arial"/>
          <w:i/>
          <w:sz w:val="24"/>
        </w:rPr>
        <w:t>F</w:t>
      </w:r>
      <w:r>
        <w:rPr>
          <w:rFonts w:ascii="Arial" w:hAnsi="Arial" w:cs="Arial"/>
          <w:sz w:val="24"/>
        </w:rPr>
        <w:t xml:space="preserve"> is the faradaic </w:t>
      </w:r>
      <w:r>
        <w:rPr>
          <w:rFonts w:ascii="Arial" w:hAnsi="Arial" w:cs="Arial"/>
          <w:sz w:val="24"/>
          <w:lang w:val="en-US"/>
        </w:rPr>
        <w:t>constant</w:t>
      </w:r>
      <w:r>
        <w:rPr>
          <w:rFonts w:ascii="Arial" w:hAnsi="Arial" w:cs="Arial"/>
          <w:sz w:val="24"/>
        </w:rPr>
        <w:t xml:space="preserve">, </w:t>
      </w:r>
      <w:r>
        <w:rPr>
          <w:rFonts w:ascii="Arial" w:hAnsi="Arial" w:cs="Arial"/>
          <w:i/>
          <w:sz w:val="24"/>
        </w:rPr>
        <w:t>C</w:t>
      </w:r>
      <w:r>
        <w:rPr>
          <w:rFonts w:ascii="Arial" w:hAnsi="Arial" w:cs="Arial"/>
          <w:i/>
          <w:sz w:val="24"/>
          <w:vertAlign w:val="subscript"/>
        </w:rPr>
        <w:t>i</w:t>
      </w:r>
      <w:r>
        <w:rPr>
          <w:rFonts w:ascii="Arial" w:hAnsi="Arial" w:cs="Arial"/>
          <w:sz w:val="24"/>
        </w:rPr>
        <w:t xml:space="preserve"> is the concentration of </w:t>
      </w:r>
      <w:r>
        <w:rPr>
          <w:rFonts w:ascii="Arial" w:hAnsi="Arial" w:cs="Arial"/>
          <w:sz w:val="24"/>
          <w:lang w:val="en-US"/>
        </w:rPr>
        <w:t xml:space="preserve">the </w:t>
      </w:r>
      <w:r>
        <w:rPr>
          <w:rFonts w:ascii="Arial" w:hAnsi="Arial" w:cs="Arial"/>
          <w:sz w:val="24"/>
        </w:rPr>
        <w:t xml:space="preserve">product </w:t>
      </w:r>
      <w:r>
        <w:rPr>
          <w:rFonts w:ascii="Arial" w:hAnsi="Arial" w:cs="Arial"/>
          <w:sz w:val="24"/>
          <w:lang w:val="en-US"/>
        </w:rPr>
        <w:t xml:space="preserve">as </w:t>
      </w:r>
      <w:r>
        <w:rPr>
          <w:rFonts w:ascii="Arial" w:hAnsi="Arial" w:cs="Arial"/>
          <w:sz w:val="24"/>
        </w:rPr>
        <w:t xml:space="preserve">determined by GC or NMR, </w:t>
      </w:r>
      <w:r>
        <w:rPr>
          <w:rFonts w:ascii="Arial" w:hAnsi="Arial" w:cs="Arial"/>
          <w:i/>
          <w:sz w:val="24"/>
        </w:rPr>
        <w:t>v</w:t>
      </w:r>
      <w:r>
        <w:rPr>
          <w:rFonts w:ascii="Arial" w:hAnsi="Arial" w:cs="Arial"/>
          <w:sz w:val="24"/>
        </w:rPr>
        <w:t xml:space="preserve"> is the flow rate of CO</w:t>
      </w:r>
      <w:r>
        <w:rPr>
          <w:rFonts w:ascii="Arial" w:hAnsi="Arial" w:cs="Arial"/>
          <w:sz w:val="24"/>
          <w:vertAlign w:val="subscript"/>
        </w:rPr>
        <w:t>2</w:t>
      </w:r>
      <w:r>
        <w:rPr>
          <w:rFonts w:ascii="Arial" w:hAnsi="Arial" w:cs="Arial"/>
          <w:sz w:val="24"/>
        </w:rPr>
        <w:t xml:space="preserve">, </w:t>
      </w:r>
      <w:r>
        <w:rPr>
          <w:rFonts w:ascii="Arial" w:hAnsi="Arial" w:cs="Arial"/>
          <w:i/>
          <w:sz w:val="24"/>
        </w:rPr>
        <w:t>P</w:t>
      </w:r>
      <w:r>
        <w:rPr>
          <w:rFonts w:ascii="Arial" w:hAnsi="Arial" w:cs="Arial"/>
          <w:sz w:val="24"/>
        </w:rPr>
        <w:t xml:space="preserve"> and </w:t>
      </w:r>
      <w:r>
        <w:rPr>
          <w:rFonts w:ascii="Arial" w:hAnsi="Arial" w:cs="Arial"/>
          <w:i/>
          <w:sz w:val="24"/>
        </w:rPr>
        <w:t>T</w:t>
      </w:r>
      <w:r>
        <w:rPr>
          <w:rFonts w:ascii="Arial" w:hAnsi="Arial" w:cs="Arial"/>
          <w:sz w:val="24"/>
        </w:rPr>
        <w:t xml:space="preserve"> are the pressure (101325 Pa) and temperature (22 </w:t>
      </w:r>
      <w:r>
        <w:rPr>
          <w:rFonts w:ascii="Cambria Math" w:hAnsi="Cambria Math" w:cs="Cambria Math"/>
          <w:sz w:val="24"/>
          <w:szCs w:val="24"/>
        </w:rPr>
        <w:t>℃</w:t>
      </w:r>
      <w:r>
        <w:rPr>
          <w:rFonts w:ascii="Arial" w:hAnsi="Arial" w:cs="Arial"/>
          <w:sz w:val="24"/>
        </w:rPr>
        <w:t xml:space="preserve">) of the gas sampled by the GC sample loop, respectively, </w:t>
      </w:r>
      <w:r>
        <w:rPr>
          <w:rFonts w:ascii="Arial" w:hAnsi="Arial" w:cs="Arial"/>
          <w:i/>
          <w:sz w:val="24"/>
        </w:rPr>
        <w:t>j</w:t>
      </w:r>
      <w:r>
        <w:rPr>
          <w:rFonts w:ascii="Arial" w:hAnsi="Arial" w:cs="Arial"/>
          <w:sz w:val="24"/>
        </w:rPr>
        <w:t xml:space="preserve"> is the total current when sampling, </w:t>
      </w:r>
      <w:r>
        <w:rPr>
          <w:rFonts w:ascii="Arial" w:hAnsi="Arial" w:cs="Arial"/>
          <w:i/>
          <w:sz w:val="24"/>
        </w:rPr>
        <w:t>R</w:t>
      </w:r>
      <w:r>
        <w:rPr>
          <w:rFonts w:ascii="Arial" w:hAnsi="Arial" w:cs="Arial"/>
          <w:sz w:val="24"/>
        </w:rPr>
        <w:t xml:space="preserve"> is the gas constant, </w:t>
      </w:r>
      <w:r>
        <w:rPr>
          <w:rFonts w:ascii="Arial" w:hAnsi="Arial" w:cs="Arial"/>
          <w:i/>
          <w:sz w:val="24"/>
        </w:rPr>
        <w:t>V</w:t>
      </w:r>
      <w:r>
        <w:rPr>
          <w:rFonts w:ascii="Arial" w:hAnsi="Arial" w:cs="Arial"/>
          <w:sz w:val="24"/>
        </w:rPr>
        <w:t xml:space="preserve"> is the volume of the electrolyte, and </w:t>
      </w:r>
      <w:r>
        <w:rPr>
          <w:rFonts w:ascii="Arial" w:hAnsi="Arial" w:cs="Arial"/>
          <w:i/>
          <w:sz w:val="24"/>
        </w:rPr>
        <w:t>Q</w:t>
      </w:r>
      <w:r>
        <w:rPr>
          <w:rFonts w:ascii="Arial" w:hAnsi="Arial" w:cs="Arial"/>
          <w:sz w:val="24"/>
        </w:rPr>
        <w:t xml:space="preserve"> is the total charge transfer</w:t>
      </w:r>
      <w:r>
        <w:rPr>
          <w:rFonts w:ascii="Arial" w:hAnsi="Arial" w:cs="Arial"/>
          <w:sz w:val="24"/>
          <w:lang w:val="en-US"/>
        </w:rPr>
        <w:t>red</w:t>
      </w:r>
      <w:r>
        <w:rPr>
          <w:rFonts w:ascii="Arial" w:hAnsi="Arial" w:cs="Arial"/>
          <w:sz w:val="24"/>
        </w:rPr>
        <w:t xml:space="preserve"> to produce the target product.</w:t>
      </w:r>
      <w:r>
        <w:rPr>
          <w:rFonts w:ascii="Arial" w:hAnsi="Arial" w:cs="Arial"/>
          <w:sz w:val="24"/>
          <w:lang w:val="en-US"/>
        </w:rPr>
        <w:t xml:space="preserve"> </w:t>
      </w:r>
    </w:p>
    <w:p w14:paraId="72D6CAAF" w14:textId="7E8A759C" w:rsidR="005E4531" w:rsidRDefault="006B323D" w:rsidP="00320FDF">
      <w:pPr>
        <w:spacing w:after="100" w:afterAutospacing="1" w:line="360" w:lineRule="auto"/>
        <w:jc w:val="both"/>
        <w:rPr>
          <w:rFonts w:ascii="Arial" w:hAnsi="Arial" w:cs="Arial"/>
          <w:b/>
          <w:sz w:val="28"/>
        </w:rPr>
      </w:pPr>
      <w:r>
        <w:rPr>
          <w:rFonts w:ascii="Arial" w:hAnsi="Arial" w:cs="Arial"/>
          <w:sz w:val="28"/>
          <w:lang w:val="en-US"/>
        </w:rPr>
        <w:t xml:space="preserve">Note </w:t>
      </w:r>
      <w:r w:rsidR="006A7A1C" w:rsidRPr="00FF5897">
        <w:rPr>
          <w:rFonts w:ascii="Arial" w:hAnsi="Arial" w:cs="Arial"/>
          <w:sz w:val="28"/>
          <w:lang w:val="en-US"/>
        </w:rPr>
        <w:t>S</w:t>
      </w:r>
      <w:r w:rsidR="00C5328F">
        <w:rPr>
          <w:rFonts w:ascii="Arial" w:hAnsi="Arial" w:cs="Arial"/>
          <w:sz w:val="28"/>
          <w:lang w:val="en-US"/>
        </w:rPr>
        <w:t>9</w:t>
      </w:r>
      <w:r>
        <w:rPr>
          <w:rFonts w:ascii="Arial" w:hAnsi="Arial" w:cs="Arial"/>
          <w:sz w:val="28"/>
          <w:lang w:val="en-US"/>
        </w:rPr>
        <w:t>.6 Determination of the support activity in CO</w:t>
      </w:r>
      <w:r w:rsidRPr="00320FDF">
        <w:rPr>
          <w:rFonts w:ascii="Arial" w:hAnsi="Arial"/>
          <w:sz w:val="28"/>
          <w:vertAlign w:val="subscript"/>
          <w:lang w:val="en-US"/>
        </w:rPr>
        <w:t>2</w:t>
      </w:r>
      <w:r>
        <w:rPr>
          <w:rFonts w:ascii="Arial" w:hAnsi="Arial" w:cs="Arial"/>
          <w:sz w:val="28"/>
          <w:lang w:val="en-US"/>
        </w:rPr>
        <w:t>RR.</w:t>
      </w:r>
    </w:p>
    <w:p w14:paraId="78F1434B" w14:textId="77777777" w:rsidR="00266643" w:rsidRPr="00FF5897" w:rsidRDefault="00266643" w:rsidP="00BB5211">
      <w:pPr>
        <w:spacing w:after="100" w:afterAutospacing="1" w:line="360" w:lineRule="auto"/>
        <w:jc w:val="center"/>
        <w:rPr>
          <w:rFonts w:ascii="Arial" w:hAnsi="Arial" w:cs="Arial"/>
          <w:b/>
          <w:sz w:val="24"/>
          <w:szCs w:val="24"/>
        </w:rPr>
      </w:pPr>
      <w:r w:rsidRPr="00FF5897">
        <w:rPr>
          <w:rFonts w:ascii="Arial" w:hAnsi="Arial" w:cs="Arial"/>
          <w:b/>
          <w:noProof/>
          <w:sz w:val="24"/>
          <w:szCs w:val="24"/>
        </w:rPr>
        <w:lastRenderedPageBreak/>
        <w:drawing>
          <wp:inline distT="0" distB="0" distL="0" distR="0" wp14:anchorId="5AAF79C6" wp14:editId="18DF7F91">
            <wp:extent cx="4445122" cy="2628677"/>
            <wp:effectExtent l="0" t="0" r="0" b="635"/>
            <wp:docPr id="94" name="Picture 94" descr="A picture containing text, screenshot, diagram,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containing text, screenshot, diagram, numbe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51606" cy="2632512"/>
                    </a:xfrm>
                    <a:prstGeom prst="rect">
                      <a:avLst/>
                    </a:prstGeom>
                    <a:noFill/>
                    <a:ln>
                      <a:noFill/>
                    </a:ln>
                  </pic:spPr>
                </pic:pic>
              </a:graphicData>
            </a:graphic>
          </wp:inline>
        </w:drawing>
      </w:r>
    </w:p>
    <w:p w14:paraId="3E8FF413" w14:textId="208D6C5E" w:rsidR="005E4531" w:rsidRDefault="006B323D" w:rsidP="00320FDF">
      <w:pPr>
        <w:spacing w:after="100" w:afterAutospacing="1" w:line="360" w:lineRule="auto"/>
        <w:jc w:val="both"/>
        <w:rPr>
          <w:rFonts w:ascii="Arial" w:hAnsi="Arial" w:cs="Arial"/>
          <w:lang w:val="en-US"/>
        </w:rPr>
      </w:pPr>
      <w:r>
        <w:rPr>
          <w:rFonts w:ascii="Arial" w:hAnsi="Arial" w:cs="Arial"/>
          <w:b/>
          <w:lang w:val="en-US"/>
        </w:rPr>
        <w:t>Figure S2</w:t>
      </w:r>
      <w:r w:rsidR="00B725E8">
        <w:rPr>
          <w:rFonts w:ascii="Arial" w:hAnsi="Arial" w:cs="Arial"/>
          <w:b/>
          <w:lang w:val="en-US"/>
        </w:rPr>
        <w:t>4</w:t>
      </w:r>
      <w:r>
        <w:rPr>
          <w:rFonts w:ascii="Arial" w:hAnsi="Arial" w:cs="Arial"/>
          <w:b/>
          <w:lang w:val="en-US"/>
        </w:rPr>
        <w:t xml:space="preserve">. </w:t>
      </w:r>
      <w:r>
        <w:rPr>
          <w:rFonts w:ascii="Arial" w:hAnsi="Arial" w:cs="Arial"/>
          <w:lang w:val="en-US"/>
        </w:rPr>
        <w:t>(A) Selectivity as a function of potential of the as-synthesized NCB-GDL composite. (B) Selectivity as a function of potential as the as-synthesized  GO-GDL composite. All measurements were performed in CO</w:t>
      </w:r>
      <w:r>
        <w:rPr>
          <w:rFonts w:ascii="Arial" w:hAnsi="Arial" w:cs="Arial"/>
          <w:vertAlign w:val="subscript"/>
          <w:lang w:val="en-US"/>
        </w:rPr>
        <w:t>2</w:t>
      </w:r>
      <w:r>
        <w:rPr>
          <w:rFonts w:ascii="Arial" w:hAnsi="Arial" w:cs="Arial"/>
          <w:lang w:val="en-US"/>
        </w:rPr>
        <w:t xml:space="preserve"> saturated 0.1 M KHCO</w:t>
      </w:r>
      <w:r>
        <w:rPr>
          <w:rFonts w:ascii="Arial" w:hAnsi="Arial" w:cs="Arial"/>
          <w:vertAlign w:val="subscript"/>
          <w:lang w:val="en-US"/>
        </w:rPr>
        <w:t>3</w:t>
      </w:r>
      <w:r>
        <w:rPr>
          <w:rFonts w:ascii="Arial" w:hAnsi="Arial" w:cs="Arial"/>
          <w:lang w:val="en-US"/>
        </w:rPr>
        <w:t>. The reaction was let to equilibrate for 10 min before the first sampling of the gas products was performed. An average over 30 min has been reported. Several washing steps with HNO</w:t>
      </w:r>
      <w:r>
        <w:rPr>
          <w:rFonts w:ascii="Arial" w:hAnsi="Arial" w:cs="Arial"/>
          <w:vertAlign w:val="subscript"/>
          <w:lang w:val="en-US"/>
        </w:rPr>
        <w:t>3</w:t>
      </w:r>
      <w:r>
        <w:rPr>
          <w:rFonts w:ascii="Arial" w:hAnsi="Arial" w:cs="Arial"/>
          <w:lang w:val="en-US"/>
        </w:rPr>
        <w:t xml:space="preserve"> was performed to remove trace metal species from the supports.</w:t>
      </w:r>
    </w:p>
    <w:p w14:paraId="339357DE" w14:textId="77777777" w:rsidR="005E4531" w:rsidRDefault="005E4531" w:rsidP="00320FDF">
      <w:pPr>
        <w:spacing w:after="100" w:afterAutospacing="1" w:line="360" w:lineRule="auto"/>
        <w:jc w:val="both"/>
        <w:rPr>
          <w:rFonts w:ascii="Arial" w:hAnsi="Arial" w:cs="Arial"/>
          <w:sz w:val="24"/>
          <w:lang w:val="en-US"/>
        </w:rPr>
      </w:pPr>
    </w:p>
    <w:p w14:paraId="512DA0F6" w14:textId="77777777" w:rsidR="00266643" w:rsidRPr="00FF5897" w:rsidRDefault="00266643" w:rsidP="00FD4D0D">
      <w:pPr>
        <w:spacing w:after="100" w:afterAutospacing="1" w:line="360" w:lineRule="auto"/>
        <w:jc w:val="both"/>
        <w:rPr>
          <w:rFonts w:ascii="Arial" w:hAnsi="Arial" w:cs="Arial"/>
          <w:sz w:val="24"/>
          <w:szCs w:val="24"/>
          <w:lang w:val="en-US"/>
        </w:rPr>
      </w:pPr>
      <w:r w:rsidRPr="00FF5897">
        <w:rPr>
          <w:rFonts w:ascii="Arial" w:hAnsi="Arial" w:cs="Arial"/>
          <w:noProof/>
          <w:sz w:val="24"/>
          <w:szCs w:val="24"/>
          <w:lang w:val="en-US"/>
        </w:rPr>
        <w:drawing>
          <wp:inline distT="0" distB="0" distL="0" distR="0" wp14:anchorId="5E84DB8D" wp14:editId="29E7966D">
            <wp:extent cx="5734050" cy="2352675"/>
            <wp:effectExtent l="0" t="0" r="0" b="9525"/>
            <wp:docPr id="93" name="Picture 93"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text, screenshot, font, 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050" cy="2352675"/>
                    </a:xfrm>
                    <a:prstGeom prst="rect">
                      <a:avLst/>
                    </a:prstGeom>
                    <a:noFill/>
                    <a:ln>
                      <a:noFill/>
                    </a:ln>
                  </pic:spPr>
                </pic:pic>
              </a:graphicData>
            </a:graphic>
          </wp:inline>
        </w:drawing>
      </w:r>
    </w:p>
    <w:p w14:paraId="7F702269" w14:textId="537366D6" w:rsidR="005E4531" w:rsidRDefault="006B323D" w:rsidP="00320FDF">
      <w:pPr>
        <w:spacing w:after="100" w:afterAutospacing="1" w:line="360" w:lineRule="auto"/>
        <w:jc w:val="both"/>
        <w:rPr>
          <w:rFonts w:ascii="Arial" w:hAnsi="Arial" w:cs="Arial"/>
          <w:lang w:val="en-US"/>
        </w:rPr>
      </w:pPr>
      <w:r>
        <w:rPr>
          <w:rFonts w:ascii="Arial" w:hAnsi="Arial" w:cs="Arial"/>
          <w:b/>
          <w:lang w:val="en-US"/>
        </w:rPr>
        <w:t>Figure S2</w:t>
      </w:r>
      <w:r w:rsidR="00B725E8">
        <w:rPr>
          <w:rFonts w:ascii="Arial" w:hAnsi="Arial" w:cs="Arial"/>
          <w:b/>
          <w:lang w:val="en-US"/>
        </w:rPr>
        <w:t>5.</w:t>
      </w:r>
      <w:r>
        <w:rPr>
          <w:rFonts w:ascii="Arial" w:hAnsi="Arial" w:cs="Arial"/>
          <w:b/>
          <w:lang w:val="en-US"/>
        </w:rPr>
        <w:t xml:space="preserve"> </w:t>
      </w:r>
      <w:r>
        <w:rPr>
          <w:rFonts w:ascii="Arial" w:hAnsi="Arial" w:cs="Arial"/>
          <w:lang w:val="en-US"/>
        </w:rPr>
        <w:t xml:space="preserve">(A) Geometrical current density as a function of potential of the as-synthesized GO-GDL composite. (B) Geometrical current density as a function of potential as the as-synthesized NCB-GDL composite. </w:t>
      </w:r>
    </w:p>
    <w:p w14:paraId="3482A426" w14:textId="77777777" w:rsidR="006A7A1C" w:rsidRPr="00FF5897" w:rsidRDefault="006A7A1C" w:rsidP="00FD4D0D">
      <w:pPr>
        <w:spacing w:after="100" w:afterAutospacing="1" w:line="360" w:lineRule="auto"/>
        <w:jc w:val="both"/>
        <w:rPr>
          <w:rFonts w:ascii="Arial" w:hAnsi="Arial" w:cs="Arial"/>
          <w:lang w:val="en-US"/>
        </w:rPr>
      </w:pPr>
    </w:p>
    <w:p w14:paraId="0BE5105B"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lastRenderedPageBreak/>
        <w:t xml:space="preserve">Table S5. </w:t>
      </w:r>
      <w:r>
        <w:rPr>
          <w:rFonts w:ascii="Arial" w:hAnsi="Arial" w:cs="Arial"/>
          <w:lang w:val="en-US"/>
        </w:rPr>
        <w:t>Faradaic efficiencies of Cu-NCB per potential and product.</w:t>
      </w:r>
    </w:p>
    <w:p w14:paraId="6DB1306C" w14:textId="77777777" w:rsidR="005E4531" w:rsidRDefault="005E4531" w:rsidP="00320FDF">
      <w:pPr>
        <w:spacing w:after="100" w:afterAutospacing="1" w:line="360" w:lineRule="auto"/>
        <w:jc w:val="both"/>
        <w:rPr>
          <w:rFonts w:ascii="Arial" w:hAnsi="Arial" w:cs="Arial"/>
          <w:sz w:val="24"/>
          <w:lang w:val="en-US"/>
        </w:rPr>
      </w:pPr>
    </w:p>
    <w:tbl>
      <w:tblPr>
        <w:tblStyle w:val="PlainTable2"/>
        <w:tblW w:w="9026" w:type="dxa"/>
        <w:tblLook w:val="04A0" w:firstRow="1" w:lastRow="0" w:firstColumn="1" w:lastColumn="0" w:noHBand="0" w:noVBand="1"/>
      </w:tblPr>
      <w:tblGrid>
        <w:gridCol w:w="2561"/>
        <w:gridCol w:w="1039"/>
        <w:gridCol w:w="1035"/>
        <w:gridCol w:w="2057"/>
        <w:gridCol w:w="1174"/>
        <w:gridCol w:w="1160"/>
      </w:tblGrid>
      <w:tr w:rsidR="005E4531" w14:paraId="7EBE4D4E" w14:textId="77777777" w:rsidTr="00320FD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419B965F" w14:textId="77777777" w:rsidR="005E4531" w:rsidRDefault="005E4531" w:rsidP="00320FDF">
            <w:pPr>
              <w:spacing w:after="100" w:afterAutospacing="1" w:line="360" w:lineRule="auto"/>
              <w:jc w:val="both"/>
              <w:rPr>
                <w:rFonts w:ascii="Arial" w:hAnsi="Arial" w:cs="Arial"/>
                <w:sz w:val="24"/>
              </w:rPr>
            </w:pPr>
          </w:p>
        </w:tc>
        <w:tc>
          <w:tcPr>
            <w:tcW w:w="1106" w:type="dxa"/>
            <w:noWrap/>
            <w:hideMark/>
          </w:tcPr>
          <w:p w14:paraId="08E48D29"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w:t>
            </w:r>
            <w:r w:rsidRPr="009C7E3E">
              <w:rPr>
                <w:rFonts w:ascii="Arial" w:hAnsi="Arial"/>
                <w:sz w:val="24"/>
                <w:vertAlign w:val="subscript"/>
              </w:rPr>
              <w:t>2</w:t>
            </w:r>
          </w:p>
        </w:tc>
        <w:tc>
          <w:tcPr>
            <w:tcW w:w="1102" w:type="dxa"/>
            <w:noWrap/>
            <w:hideMark/>
          </w:tcPr>
          <w:p w14:paraId="43081EC8"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CO</w:t>
            </w:r>
          </w:p>
        </w:tc>
        <w:tc>
          <w:tcPr>
            <w:tcW w:w="2207" w:type="dxa"/>
            <w:noWrap/>
            <w:hideMark/>
          </w:tcPr>
          <w:p w14:paraId="2991C409"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CHO</w:t>
            </w:r>
          </w:p>
        </w:tc>
        <w:tc>
          <w:tcPr>
            <w:tcW w:w="1181" w:type="dxa"/>
            <w:noWrap/>
            <w:hideMark/>
          </w:tcPr>
          <w:p w14:paraId="581A5DE4"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COO</w:t>
            </w:r>
            <w:r w:rsidRPr="009C7E3E">
              <w:rPr>
                <w:rFonts w:ascii="Arial" w:hAnsi="Arial"/>
                <w:sz w:val="24"/>
                <w:vertAlign w:val="superscript"/>
              </w:rPr>
              <w:t>-</w:t>
            </w:r>
          </w:p>
        </w:tc>
        <w:tc>
          <w:tcPr>
            <w:tcW w:w="1237" w:type="dxa"/>
            <w:noWrap/>
            <w:hideMark/>
          </w:tcPr>
          <w:p w14:paraId="0690DEC1"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HCOO</w:t>
            </w:r>
            <w:r w:rsidRPr="009C7E3E">
              <w:rPr>
                <w:rFonts w:ascii="Arial" w:hAnsi="Arial"/>
                <w:sz w:val="24"/>
                <w:vertAlign w:val="superscript"/>
              </w:rPr>
              <w:t>-</w:t>
            </w:r>
          </w:p>
        </w:tc>
      </w:tr>
      <w:tr w:rsidR="005E4531" w14:paraId="6D3A51C7" w14:textId="77777777" w:rsidTr="00320F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65A89634"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Cu_NCB_0.5V</w:t>
            </w:r>
          </w:p>
        </w:tc>
        <w:tc>
          <w:tcPr>
            <w:tcW w:w="1106" w:type="dxa"/>
            <w:noWrap/>
            <w:hideMark/>
          </w:tcPr>
          <w:p w14:paraId="0F97464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16.09</w:t>
            </w:r>
          </w:p>
        </w:tc>
        <w:tc>
          <w:tcPr>
            <w:tcW w:w="1102" w:type="dxa"/>
            <w:noWrap/>
            <w:hideMark/>
          </w:tcPr>
          <w:p w14:paraId="396EB44E"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207" w:type="dxa"/>
            <w:noWrap/>
            <w:hideMark/>
          </w:tcPr>
          <w:p w14:paraId="6707F0D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66.43</w:t>
            </w:r>
          </w:p>
        </w:tc>
        <w:tc>
          <w:tcPr>
            <w:tcW w:w="1181" w:type="dxa"/>
            <w:noWrap/>
            <w:hideMark/>
          </w:tcPr>
          <w:p w14:paraId="36B0815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9.50</w:t>
            </w:r>
          </w:p>
        </w:tc>
        <w:tc>
          <w:tcPr>
            <w:tcW w:w="1237" w:type="dxa"/>
            <w:noWrap/>
            <w:hideMark/>
          </w:tcPr>
          <w:p w14:paraId="2C5FAB4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2.50</w:t>
            </w:r>
          </w:p>
        </w:tc>
      </w:tr>
      <w:tr w:rsidR="005E4531" w14:paraId="0DF050CB" w14:textId="77777777" w:rsidTr="00320FDF">
        <w:trPr>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716025B8"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Cu_NCB_0.6V</w:t>
            </w:r>
          </w:p>
        </w:tc>
        <w:tc>
          <w:tcPr>
            <w:tcW w:w="1106" w:type="dxa"/>
            <w:noWrap/>
            <w:hideMark/>
          </w:tcPr>
          <w:p w14:paraId="1093E960"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46.50</w:t>
            </w:r>
          </w:p>
        </w:tc>
        <w:tc>
          <w:tcPr>
            <w:tcW w:w="1102" w:type="dxa"/>
            <w:noWrap/>
            <w:hideMark/>
          </w:tcPr>
          <w:p w14:paraId="156CC026"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207" w:type="dxa"/>
            <w:noWrap/>
            <w:hideMark/>
          </w:tcPr>
          <w:p w14:paraId="0814351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42.53</w:t>
            </w:r>
          </w:p>
        </w:tc>
        <w:tc>
          <w:tcPr>
            <w:tcW w:w="1181" w:type="dxa"/>
            <w:noWrap/>
            <w:hideMark/>
          </w:tcPr>
          <w:p w14:paraId="0A45918B"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4.50</w:t>
            </w:r>
          </w:p>
        </w:tc>
        <w:tc>
          <w:tcPr>
            <w:tcW w:w="1237" w:type="dxa"/>
            <w:noWrap/>
            <w:hideMark/>
          </w:tcPr>
          <w:p w14:paraId="29ED4156"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3.08</w:t>
            </w:r>
          </w:p>
        </w:tc>
      </w:tr>
      <w:tr w:rsidR="005E4531" w14:paraId="365C49AA" w14:textId="77777777" w:rsidTr="00320F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57583956" w14:textId="77777777" w:rsidR="005E4531" w:rsidRDefault="006B323D" w:rsidP="00320FDF">
            <w:pPr>
              <w:spacing w:after="100" w:afterAutospacing="1" w:line="360" w:lineRule="auto"/>
              <w:jc w:val="both"/>
              <w:rPr>
                <w:rFonts w:ascii="Arial" w:hAnsi="Arial" w:cs="Arial"/>
                <w:b w:val="0"/>
                <w:caps/>
                <w:sz w:val="24"/>
              </w:rPr>
            </w:pPr>
            <w:r w:rsidRPr="009C7E3E">
              <w:rPr>
                <w:rFonts w:ascii="Arial" w:hAnsi="Arial"/>
                <w:sz w:val="24"/>
              </w:rPr>
              <w:t>Cu_NCB_0.7V</w:t>
            </w:r>
          </w:p>
        </w:tc>
        <w:tc>
          <w:tcPr>
            <w:tcW w:w="1106" w:type="dxa"/>
            <w:noWrap/>
            <w:hideMark/>
          </w:tcPr>
          <w:p w14:paraId="6E9C7DEB"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30.49</w:t>
            </w:r>
          </w:p>
        </w:tc>
        <w:tc>
          <w:tcPr>
            <w:tcW w:w="1102" w:type="dxa"/>
            <w:noWrap/>
            <w:hideMark/>
          </w:tcPr>
          <w:p w14:paraId="04978CD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11.49</w:t>
            </w:r>
          </w:p>
        </w:tc>
        <w:tc>
          <w:tcPr>
            <w:tcW w:w="2207" w:type="dxa"/>
            <w:noWrap/>
            <w:hideMark/>
          </w:tcPr>
          <w:p w14:paraId="4503FB16"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46.44</w:t>
            </w:r>
          </w:p>
        </w:tc>
        <w:tc>
          <w:tcPr>
            <w:tcW w:w="1181" w:type="dxa"/>
            <w:noWrap/>
            <w:hideMark/>
          </w:tcPr>
          <w:p w14:paraId="44C45E0C"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10.78</w:t>
            </w:r>
          </w:p>
        </w:tc>
        <w:tc>
          <w:tcPr>
            <w:tcW w:w="1237" w:type="dxa"/>
            <w:noWrap/>
            <w:hideMark/>
          </w:tcPr>
          <w:p w14:paraId="3C58D12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2.15</w:t>
            </w:r>
          </w:p>
        </w:tc>
      </w:tr>
      <w:tr w:rsidR="005E4531" w14:paraId="4428C75C" w14:textId="77777777" w:rsidTr="00320FDF">
        <w:trPr>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0D82D4B4"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Cu_NCB_0.8V</w:t>
            </w:r>
          </w:p>
        </w:tc>
        <w:tc>
          <w:tcPr>
            <w:tcW w:w="1106" w:type="dxa"/>
            <w:noWrap/>
            <w:hideMark/>
          </w:tcPr>
          <w:p w14:paraId="6F26BDFA"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64.60</w:t>
            </w:r>
          </w:p>
        </w:tc>
        <w:tc>
          <w:tcPr>
            <w:tcW w:w="1102" w:type="dxa"/>
            <w:noWrap/>
            <w:hideMark/>
          </w:tcPr>
          <w:p w14:paraId="3C530FB0"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9.17</w:t>
            </w:r>
          </w:p>
        </w:tc>
        <w:tc>
          <w:tcPr>
            <w:tcW w:w="2207" w:type="dxa"/>
            <w:noWrap/>
            <w:hideMark/>
          </w:tcPr>
          <w:p w14:paraId="598DB41E"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20.51</w:t>
            </w:r>
          </w:p>
        </w:tc>
        <w:tc>
          <w:tcPr>
            <w:tcW w:w="1181" w:type="dxa"/>
            <w:noWrap/>
            <w:hideMark/>
          </w:tcPr>
          <w:p w14:paraId="2C43D34B"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1.88</w:t>
            </w:r>
          </w:p>
        </w:tc>
        <w:tc>
          <w:tcPr>
            <w:tcW w:w="1237" w:type="dxa"/>
            <w:noWrap/>
            <w:hideMark/>
          </w:tcPr>
          <w:p w14:paraId="410DA96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2.46</w:t>
            </w:r>
          </w:p>
        </w:tc>
      </w:tr>
      <w:tr w:rsidR="005E4531" w14:paraId="5D22DA27" w14:textId="77777777" w:rsidTr="00320F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6B74E052"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Cu_NCB_0.9V</w:t>
            </w:r>
          </w:p>
        </w:tc>
        <w:tc>
          <w:tcPr>
            <w:tcW w:w="1106" w:type="dxa"/>
            <w:noWrap/>
            <w:hideMark/>
          </w:tcPr>
          <w:p w14:paraId="7DCEAA1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7.41</w:t>
            </w:r>
          </w:p>
        </w:tc>
        <w:tc>
          <w:tcPr>
            <w:tcW w:w="1102" w:type="dxa"/>
            <w:noWrap/>
            <w:hideMark/>
          </w:tcPr>
          <w:p w14:paraId="7C5F26D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75.75</w:t>
            </w:r>
          </w:p>
        </w:tc>
        <w:tc>
          <w:tcPr>
            <w:tcW w:w="2207" w:type="dxa"/>
            <w:noWrap/>
            <w:hideMark/>
          </w:tcPr>
          <w:p w14:paraId="6960F544"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21.83</w:t>
            </w:r>
          </w:p>
        </w:tc>
        <w:tc>
          <w:tcPr>
            <w:tcW w:w="1181" w:type="dxa"/>
            <w:noWrap/>
            <w:hideMark/>
          </w:tcPr>
          <w:p w14:paraId="47AE2DB6"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1.49</w:t>
            </w:r>
          </w:p>
        </w:tc>
        <w:tc>
          <w:tcPr>
            <w:tcW w:w="1237" w:type="dxa"/>
            <w:noWrap/>
            <w:hideMark/>
          </w:tcPr>
          <w:p w14:paraId="001C6A33"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0.79</w:t>
            </w:r>
          </w:p>
        </w:tc>
      </w:tr>
      <w:tr w:rsidR="005E4531" w14:paraId="4B63E65F" w14:textId="77777777" w:rsidTr="00320FDF">
        <w:trPr>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1D17E9C8"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Cu_NCB_1.1V</w:t>
            </w:r>
          </w:p>
        </w:tc>
        <w:tc>
          <w:tcPr>
            <w:tcW w:w="1106" w:type="dxa"/>
            <w:noWrap/>
            <w:hideMark/>
          </w:tcPr>
          <w:p w14:paraId="397056D4"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35.18</w:t>
            </w:r>
          </w:p>
        </w:tc>
        <w:tc>
          <w:tcPr>
            <w:tcW w:w="1102" w:type="dxa"/>
            <w:noWrap/>
            <w:hideMark/>
          </w:tcPr>
          <w:p w14:paraId="25BFCD3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46.02</w:t>
            </w:r>
          </w:p>
        </w:tc>
        <w:tc>
          <w:tcPr>
            <w:tcW w:w="2207" w:type="dxa"/>
            <w:noWrap/>
            <w:hideMark/>
          </w:tcPr>
          <w:p w14:paraId="4A2FCA4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8.94</w:t>
            </w:r>
          </w:p>
        </w:tc>
        <w:tc>
          <w:tcPr>
            <w:tcW w:w="1181" w:type="dxa"/>
            <w:noWrap/>
            <w:hideMark/>
          </w:tcPr>
          <w:p w14:paraId="266F30AD"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1.56</w:t>
            </w:r>
          </w:p>
        </w:tc>
        <w:tc>
          <w:tcPr>
            <w:tcW w:w="1237" w:type="dxa"/>
            <w:noWrap/>
            <w:hideMark/>
          </w:tcPr>
          <w:p w14:paraId="12AB298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2.00</w:t>
            </w:r>
          </w:p>
        </w:tc>
      </w:tr>
      <w:tr w:rsidR="005E4531" w14:paraId="35318C91" w14:textId="77777777" w:rsidTr="00320F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5289A04E"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Cu_NCB_0.5V_STDEV</w:t>
            </w:r>
          </w:p>
        </w:tc>
        <w:tc>
          <w:tcPr>
            <w:tcW w:w="1106" w:type="dxa"/>
            <w:noWrap/>
            <w:hideMark/>
          </w:tcPr>
          <w:p w14:paraId="04D7A95B"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16.09</w:t>
            </w:r>
          </w:p>
        </w:tc>
        <w:tc>
          <w:tcPr>
            <w:tcW w:w="1102" w:type="dxa"/>
            <w:noWrap/>
            <w:hideMark/>
          </w:tcPr>
          <w:p w14:paraId="6088B371"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207" w:type="dxa"/>
            <w:noWrap/>
            <w:hideMark/>
          </w:tcPr>
          <w:p w14:paraId="7758D668"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20.27</w:t>
            </w:r>
          </w:p>
        </w:tc>
        <w:tc>
          <w:tcPr>
            <w:tcW w:w="1181" w:type="dxa"/>
            <w:noWrap/>
            <w:hideMark/>
          </w:tcPr>
          <w:p w14:paraId="2626444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1.96</w:t>
            </w:r>
          </w:p>
        </w:tc>
        <w:tc>
          <w:tcPr>
            <w:tcW w:w="1237" w:type="dxa"/>
            <w:noWrap/>
            <w:hideMark/>
          </w:tcPr>
          <w:p w14:paraId="25151774"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2.50</w:t>
            </w:r>
          </w:p>
        </w:tc>
      </w:tr>
      <w:tr w:rsidR="005E4531" w14:paraId="739620AE" w14:textId="77777777" w:rsidTr="00320FDF">
        <w:trPr>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48EA5ED5"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Cu_NCB_0.6V_STDEV</w:t>
            </w:r>
          </w:p>
        </w:tc>
        <w:tc>
          <w:tcPr>
            <w:tcW w:w="1106" w:type="dxa"/>
            <w:noWrap/>
            <w:hideMark/>
          </w:tcPr>
          <w:p w14:paraId="6244E825"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11.42</w:t>
            </w:r>
          </w:p>
        </w:tc>
        <w:tc>
          <w:tcPr>
            <w:tcW w:w="1102" w:type="dxa"/>
            <w:noWrap/>
            <w:hideMark/>
          </w:tcPr>
          <w:p w14:paraId="088ABA5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207" w:type="dxa"/>
            <w:noWrap/>
            <w:hideMark/>
          </w:tcPr>
          <w:p w14:paraId="4D1A9E53"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21.54</w:t>
            </w:r>
          </w:p>
        </w:tc>
        <w:tc>
          <w:tcPr>
            <w:tcW w:w="1181" w:type="dxa"/>
            <w:noWrap/>
            <w:hideMark/>
          </w:tcPr>
          <w:p w14:paraId="1138BB6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1.95</w:t>
            </w:r>
          </w:p>
        </w:tc>
        <w:tc>
          <w:tcPr>
            <w:tcW w:w="1237" w:type="dxa"/>
            <w:noWrap/>
            <w:hideMark/>
          </w:tcPr>
          <w:p w14:paraId="4879614A"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2.87</w:t>
            </w:r>
          </w:p>
        </w:tc>
      </w:tr>
      <w:tr w:rsidR="005E4531" w14:paraId="26367BF7" w14:textId="77777777" w:rsidTr="00320FD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6170BA61"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Cu_NCB_0.7V_STDEV</w:t>
            </w:r>
          </w:p>
        </w:tc>
        <w:tc>
          <w:tcPr>
            <w:tcW w:w="1106" w:type="dxa"/>
            <w:noWrap/>
            <w:hideMark/>
          </w:tcPr>
          <w:p w14:paraId="3CAB0F27"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21.38</w:t>
            </w:r>
          </w:p>
        </w:tc>
        <w:tc>
          <w:tcPr>
            <w:tcW w:w="1102" w:type="dxa"/>
            <w:noWrap/>
            <w:hideMark/>
          </w:tcPr>
          <w:p w14:paraId="097124F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16.25</w:t>
            </w:r>
          </w:p>
        </w:tc>
        <w:tc>
          <w:tcPr>
            <w:tcW w:w="2207" w:type="dxa"/>
            <w:noWrap/>
            <w:hideMark/>
          </w:tcPr>
          <w:p w14:paraId="54A2AF87"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19.86</w:t>
            </w:r>
          </w:p>
        </w:tc>
        <w:tc>
          <w:tcPr>
            <w:tcW w:w="1181" w:type="dxa"/>
            <w:noWrap/>
            <w:hideMark/>
          </w:tcPr>
          <w:p w14:paraId="0034AB8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4.43</w:t>
            </w:r>
          </w:p>
        </w:tc>
        <w:tc>
          <w:tcPr>
            <w:tcW w:w="1237" w:type="dxa"/>
            <w:noWrap/>
            <w:hideMark/>
          </w:tcPr>
          <w:p w14:paraId="7FA6346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1.58</w:t>
            </w:r>
          </w:p>
        </w:tc>
      </w:tr>
      <w:tr w:rsidR="005E4531" w14:paraId="2A5ABEFB" w14:textId="77777777" w:rsidTr="00320FDF">
        <w:trPr>
          <w:trHeight w:val="285"/>
        </w:trPr>
        <w:tc>
          <w:tcPr>
            <w:cnfStyle w:val="001000000000" w:firstRow="0" w:lastRow="0" w:firstColumn="1" w:lastColumn="0" w:oddVBand="0" w:evenVBand="0" w:oddHBand="0" w:evenHBand="0" w:firstRowFirstColumn="0" w:firstRowLastColumn="0" w:lastRowFirstColumn="0" w:lastRowLastColumn="0"/>
            <w:tcW w:w="2193" w:type="dxa"/>
            <w:noWrap/>
            <w:hideMark/>
          </w:tcPr>
          <w:p w14:paraId="133E7B57"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Cu_NCB_0.8V_STDEV</w:t>
            </w:r>
          </w:p>
        </w:tc>
        <w:tc>
          <w:tcPr>
            <w:tcW w:w="1106" w:type="dxa"/>
            <w:noWrap/>
            <w:hideMark/>
          </w:tcPr>
          <w:p w14:paraId="5F0E6C74"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12.80</w:t>
            </w:r>
          </w:p>
        </w:tc>
        <w:tc>
          <w:tcPr>
            <w:tcW w:w="1102" w:type="dxa"/>
            <w:noWrap/>
            <w:hideMark/>
          </w:tcPr>
          <w:p w14:paraId="476392A7"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1.98</w:t>
            </w:r>
          </w:p>
        </w:tc>
        <w:tc>
          <w:tcPr>
            <w:tcW w:w="2207" w:type="dxa"/>
            <w:noWrap/>
            <w:hideMark/>
          </w:tcPr>
          <w:p w14:paraId="51FDFBD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4.30</w:t>
            </w:r>
          </w:p>
        </w:tc>
        <w:tc>
          <w:tcPr>
            <w:tcW w:w="1181" w:type="dxa"/>
            <w:noWrap/>
            <w:hideMark/>
          </w:tcPr>
          <w:p w14:paraId="17B25107"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0.21</w:t>
            </w:r>
          </w:p>
        </w:tc>
        <w:tc>
          <w:tcPr>
            <w:tcW w:w="1237" w:type="dxa"/>
            <w:noWrap/>
            <w:hideMark/>
          </w:tcPr>
          <w:p w14:paraId="2EDB33B0"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0.82</w:t>
            </w:r>
          </w:p>
        </w:tc>
      </w:tr>
    </w:tbl>
    <w:p w14:paraId="765D6711" w14:textId="77777777" w:rsidR="005E4531" w:rsidRDefault="005E4531" w:rsidP="00320FDF">
      <w:pPr>
        <w:spacing w:after="100" w:afterAutospacing="1" w:line="360" w:lineRule="auto"/>
        <w:jc w:val="both"/>
        <w:rPr>
          <w:rFonts w:ascii="Arial" w:hAnsi="Arial" w:cs="Arial"/>
          <w:b/>
          <w:lang w:val="en-US"/>
        </w:rPr>
      </w:pPr>
    </w:p>
    <w:p w14:paraId="7847E6BE"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Table S6. </w:t>
      </w:r>
      <w:r>
        <w:rPr>
          <w:rFonts w:ascii="Arial" w:hAnsi="Arial" w:cs="Arial"/>
          <w:lang w:val="en-US"/>
        </w:rPr>
        <w:t>Faradaic efficiencies of Cu-GO per potential and product.</w:t>
      </w:r>
    </w:p>
    <w:tbl>
      <w:tblPr>
        <w:tblStyle w:val="PlainTable2"/>
        <w:tblW w:w="8885" w:type="dxa"/>
        <w:tblLook w:val="04A0" w:firstRow="1" w:lastRow="0" w:firstColumn="1" w:lastColumn="0" w:noHBand="0" w:noVBand="1"/>
      </w:tblPr>
      <w:tblGrid>
        <w:gridCol w:w="2413"/>
        <w:gridCol w:w="905"/>
        <w:gridCol w:w="905"/>
        <w:gridCol w:w="1013"/>
        <w:gridCol w:w="1584"/>
        <w:gridCol w:w="1170"/>
        <w:gridCol w:w="1036"/>
      </w:tblGrid>
      <w:tr w:rsidR="005E4531" w14:paraId="59324CDD" w14:textId="77777777" w:rsidTr="00320FDF">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796BF2B1" w14:textId="77777777" w:rsidR="005E4531" w:rsidRDefault="005E4531" w:rsidP="00320FDF">
            <w:pPr>
              <w:spacing w:after="100" w:afterAutospacing="1" w:line="360" w:lineRule="auto"/>
              <w:jc w:val="both"/>
              <w:rPr>
                <w:rFonts w:ascii="Arial" w:hAnsi="Arial" w:cs="Arial"/>
                <w:sz w:val="24"/>
              </w:rPr>
            </w:pPr>
          </w:p>
        </w:tc>
        <w:tc>
          <w:tcPr>
            <w:tcW w:w="964" w:type="dxa"/>
            <w:noWrap/>
            <w:hideMark/>
          </w:tcPr>
          <w:p w14:paraId="3D4A7141"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w:t>
            </w:r>
            <w:r w:rsidRPr="009C7E3E">
              <w:rPr>
                <w:rFonts w:ascii="Arial" w:hAnsi="Arial"/>
                <w:sz w:val="24"/>
                <w:vertAlign w:val="subscript"/>
              </w:rPr>
              <w:t>2</w:t>
            </w:r>
          </w:p>
        </w:tc>
        <w:tc>
          <w:tcPr>
            <w:tcW w:w="2046" w:type="dxa"/>
            <w:gridSpan w:val="2"/>
            <w:noWrap/>
            <w:hideMark/>
          </w:tcPr>
          <w:p w14:paraId="6BE79550"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CO</w:t>
            </w:r>
          </w:p>
        </w:tc>
        <w:tc>
          <w:tcPr>
            <w:tcW w:w="1702" w:type="dxa"/>
            <w:noWrap/>
            <w:hideMark/>
          </w:tcPr>
          <w:p w14:paraId="2E5821F0"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CHO</w:t>
            </w:r>
          </w:p>
        </w:tc>
        <w:tc>
          <w:tcPr>
            <w:tcW w:w="1056" w:type="dxa"/>
            <w:noWrap/>
            <w:hideMark/>
          </w:tcPr>
          <w:p w14:paraId="061AC20B"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COO</w:t>
            </w:r>
            <w:r w:rsidRPr="009C7E3E">
              <w:rPr>
                <w:rFonts w:ascii="Arial" w:hAnsi="Arial"/>
                <w:sz w:val="24"/>
                <w:vertAlign w:val="superscript"/>
              </w:rPr>
              <w:t>-</w:t>
            </w:r>
          </w:p>
        </w:tc>
        <w:tc>
          <w:tcPr>
            <w:tcW w:w="1107" w:type="dxa"/>
            <w:noWrap/>
            <w:hideMark/>
          </w:tcPr>
          <w:p w14:paraId="4B92C8E8"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HCOO</w:t>
            </w:r>
            <w:r w:rsidRPr="009C7E3E">
              <w:rPr>
                <w:rFonts w:ascii="Arial" w:hAnsi="Arial"/>
                <w:sz w:val="24"/>
                <w:vertAlign w:val="superscript"/>
              </w:rPr>
              <w:t>-</w:t>
            </w:r>
          </w:p>
        </w:tc>
      </w:tr>
      <w:tr w:rsidR="005E4531" w14:paraId="1F572166" w14:textId="77777777" w:rsidTr="00320FD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79BB994B"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Cu_GO_0.5V</w:t>
            </w:r>
          </w:p>
        </w:tc>
        <w:tc>
          <w:tcPr>
            <w:tcW w:w="964" w:type="dxa"/>
            <w:noWrap/>
            <w:hideMark/>
          </w:tcPr>
          <w:p w14:paraId="2CF4B86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964" w:type="dxa"/>
            <w:noWrap/>
            <w:hideMark/>
          </w:tcPr>
          <w:p w14:paraId="43520488"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784" w:type="dxa"/>
            <w:gridSpan w:val="2"/>
            <w:noWrap/>
            <w:hideMark/>
          </w:tcPr>
          <w:p w14:paraId="3C849E16"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92.55</w:t>
            </w:r>
          </w:p>
        </w:tc>
        <w:tc>
          <w:tcPr>
            <w:tcW w:w="1056" w:type="dxa"/>
            <w:noWrap/>
            <w:hideMark/>
          </w:tcPr>
          <w:p w14:paraId="46B1932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9.18</w:t>
            </w:r>
          </w:p>
        </w:tc>
        <w:tc>
          <w:tcPr>
            <w:tcW w:w="1107" w:type="dxa"/>
            <w:noWrap/>
            <w:hideMark/>
          </w:tcPr>
          <w:p w14:paraId="2567EF61"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r>
      <w:tr w:rsidR="005E4531" w14:paraId="2D8231A4" w14:textId="77777777" w:rsidTr="00320FDF">
        <w:trPr>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6CA912A1"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Cu_GO_0.6V</w:t>
            </w:r>
          </w:p>
        </w:tc>
        <w:tc>
          <w:tcPr>
            <w:tcW w:w="964" w:type="dxa"/>
            <w:noWrap/>
            <w:hideMark/>
          </w:tcPr>
          <w:p w14:paraId="2D3C9CC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56.02</w:t>
            </w:r>
          </w:p>
        </w:tc>
        <w:tc>
          <w:tcPr>
            <w:tcW w:w="964" w:type="dxa"/>
            <w:noWrap/>
            <w:hideMark/>
          </w:tcPr>
          <w:p w14:paraId="0956721B"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784" w:type="dxa"/>
            <w:gridSpan w:val="2"/>
            <w:noWrap/>
            <w:hideMark/>
          </w:tcPr>
          <w:p w14:paraId="54642F0E"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31.84</w:t>
            </w:r>
          </w:p>
        </w:tc>
        <w:tc>
          <w:tcPr>
            <w:tcW w:w="1056" w:type="dxa"/>
            <w:noWrap/>
            <w:hideMark/>
          </w:tcPr>
          <w:p w14:paraId="226DFD3C"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5.08</w:t>
            </w:r>
          </w:p>
        </w:tc>
        <w:tc>
          <w:tcPr>
            <w:tcW w:w="1107" w:type="dxa"/>
            <w:noWrap/>
            <w:hideMark/>
          </w:tcPr>
          <w:p w14:paraId="7098B5C5"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1.69</w:t>
            </w:r>
          </w:p>
        </w:tc>
      </w:tr>
      <w:tr w:rsidR="005E4531" w14:paraId="08135A9D" w14:textId="77777777" w:rsidTr="00320FD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76B729C8"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Cu_GO_0.7V</w:t>
            </w:r>
          </w:p>
        </w:tc>
        <w:tc>
          <w:tcPr>
            <w:tcW w:w="964" w:type="dxa"/>
            <w:noWrap/>
            <w:hideMark/>
          </w:tcPr>
          <w:p w14:paraId="6BCAC94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27.98</w:t>
            </w:r>
          </w:p>
        </w:tc>
        <w:tc>
          <w:tcPr>
            <w:tcW w:w="964" w:type="dxa"/>
            <w:noWrap/>
            <w:hideMark/>
          </w:tcPr>
          <w:p w14:paraId="5D979628"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784" w:type="dxa"/>
            <w:gridSpan w:val="2"/>
            <w:noWrap/>
            <w:hideMark/>
          </w:tcPr>
          <w:p w14:paraId="1B686AC1"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48.46</w:t>
            </w:r>
          </w:p>
        </w:tc>
        <w:tc>
          <w:tcPr>
            <w:tcW w:w="1056" w:type="dxa"/>
            <w:noWrap/>
            <w:hideMark/>
          </w:tcPr>
          <w:p w14:paraId="0FD42903"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5.34</w:t>
            </w:r>
          </w:p>
        </w:tc>
        <w:tc>
          <w:tcPr>
            <w:tcW w:w="1107" w:type="dxa"/>
            <w:noWrap/>
            <w:hideMark/>
          </w:tcPr>
          <w:p w14:paraId="593602B9"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5.98</w:t>
            </w:r>
          </w:p>
        </w:tc>
      </w:tr>
      <w:tr w:rsidR="005E4531" w14:paraId="7C645657" w14:textId="77777777" w:rsidTr="00320FDF">
        <w:trPr>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6987DF9F"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Cu_GO_0.8V</w:t>
            </w:r>
          </w:p>
        </w:tc>
        <w:tc>
          <w:tcPr>
            <w:tcW w:w="964" w:type="dxa"/>
            <w:noWrap/>
            <w:hideMark/>
          </w:tcPr>
          <w:p w14:paraId="1C9AC58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82.60</w:t>
            </w:r>
          </w:p>
        </w:tc>
        <w:tc>
          <w:tcPr>
            <w:tcW w:w="964" w:type="dxa"/>
            <w:noWrap/>
            <w:hideMark/>
          </w:tcPr>
          <w:p w14:paraId="7897D18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784" w:type="dxa"/>
            <w:gridSpan w:val="2"/>
            <w:noWrap/>
            <w:hideMark/>
          </w:tcPr>
          <w:p w14:paraId="734E4F4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19.57</w:t>
            </w:r>
          </w:p>
        </w:tc>
        <w:tc>
          <w:tcPr>
            <w:tcW w:w="1056" w:type="dxa"/>
            <w:noWrap/>
            <w:hideMark/>
          </w:tcPr>
          <w:p w14:paraId="1E44672F"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2.81</w:t>
            </w:r>
          </w:p>
        </w:tc>
        <w:tc>
          <w:tcPr>
            <w:tcW w:w="1107" w:type="dxa"/>
            <w:noWrap/>
            <w:hideMark/>
          </w:tcPr>
          <w:p w14:paraId="41372A73"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3.75</w:t>
            </w:r>
          </w:p>
        </w:tc>
      </w:tr>
      <w:tr w:rsidR="005E4531" w14:paraId="6E90E694" w14:textId="77777777" w:rsidTr="00320FD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30513C45"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Cu_GO_0.9V</w:t>
            </w:r>
          </w:p>
        </w:tc>
        <w:tc>
          <w:tcPr>
            <w:tcW w:w="964" w:type="dxa"/>
            <w:noWrap/>
            <w:hideMark/>
          </w:tcPr>
          <w:p w14:paraId="3781F5D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60.46</w:t>
            </w:r>
          </w:p>
        </w:tc>
        <w:tc>
          <w:tcPr>
            <w:tcW w:w="964" w:type="dxa"/>
            <w:noWrap/>
            <w:hideMark/>
          </w:tcPr>
          <w:p w14:paraId="0FC1EE1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1.03</w:t>
            </w:r>
          </w:p>
        </w:tc>
        <w:tc>
          <w:tcPr>
            <w:tcW w:w="2784" w:type="dxa"/>
            <w:gridSpan w:val="2"/>
            <w:noWrap/>
            <w:hideMark/>
          </w:tcPr>
          <w:p w14:paraId="1DD8854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33.89</w:t>
            </w:r>
          </w:p>
        </w:tc>
        <w:tc>
          <w:tcPr>
            <w:tcW w:w="1056" w:type="dxa"/>
            <w:noWrap/>
            <w:hideMark/>
          </w:tcPr>
          <w:p w14:paraId="167EF913"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2.35</w:t>
            </w:r>
          </w:p>
        </w:tc>
        <w:tc>
          <w:tcPr>
            <w:tcW w:w="1107" w:type="dxa"/>
            <w:noWrap/>
            <w:hideMark/>
          </w:tcPr>
          <w:p w14:paraId="20260B6C"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3.74</w:t>
            </w:r>
          </w:p>
        </w:tc>
      </w:tr>
      <w:tr w:rsidR="005E4531" w14:paraId="79DB063E" w14:textId="77777777" w:rsidTr="00320FDF">
        <w:trPr>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47EAAC62"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Cu_GO_1.1V</w:t>
            </w:r>
          </w:p>
        </w:tc>
        <w:tc>
          <w:tcPr>
            <w:tcW w:w="964" w:type="dxa"/>
            <w:noWrap/>
            <w:hideMark/>
          </w:tcPr>
          <w:p w14:paraId="10E405BE"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88.58</w:t>
            </w:r>
          </w:p>
        </w:tc>
        <w:tc>
          <w:tcPr>
            <w:tcW w:w="964" w:type="dxa"/>
            <w:noWrap/>
            <w:hideMark/>
          </w:tcPr>
          <w:p w14:paraId="16BD1135"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2.50</w:t>
            </w:r>
          </w:p>
        </w:tc>
        <w:tc>
          <w:tcPr>
            <w:tcW w:w="2784" w:type="dxa"/>
            <w:gridSpan w:val="2"/>
            <w:noWrap/>
            <w:hideMark/>
          </w:tcPr>
          <w:p w14:paraId="6E49E72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3.20</w:t>
            </w:r>
          </w:p>
        </w:tc>
        <w:tc>
          <w:tcPr>
            <w:tcW w:w="1056" w:type="dxa"/>
            <w:noWrap/>
            <w:hideMark/>
          </w:tcPr>
          <w:p w14:paraId="2435DF9F"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0.52</w:t>
            </w:r>
          </w:p>
        </w:tc>
        <w:tc>
          <w:tcPr>
            <w:tcW w:w="1107" w:type="dxa"/>
            <w:noWrap/>
            <w:hideMark/>
          </w:tcPr>
          <w:p w14:paraId="41D0946E"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2.61</w:t>
            </w:r>
          </w:p>
        </w:tc>
      </w:tr>
      <w:tr w:rsidR="005E4531" w14:paraId="72CA8432" w14:textId="77777777" w:rsidTr="00320FD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628B60E6"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Cu_GO_0.5V_STDEV</w:t>
            </w:r>
          </w:p>
        </w:tc>
        <w:tc>
          <w:tcPr>
            <w:tcW w:w="964" w:type="dxa"/>
            <w:noWrap/>
            <w:hideMark/>
          </w:tcPr>
          <w:p w14:paraId="18113272"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964" w:type="dxa"/>
            <w:noWrap/>
            <w:hideMark/>
          </w:tcPr>
          <w:p w14:paraId="66C8FF8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784" w:type="dxa"/>
            <w:gridSpan w:val="2"/>
            <w:noWrap/>
            <w:hideMark/>
          </w:tcPr>
          <w:p w14:paraId="4800B0A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1.87</w:t>
            </w:r>
          </w:p>
        </w:tc>
        <w:tc>
          <w:tcPr>
            <w:tcW w:w="1056" w:type="dxa"/>
            <w:noWrap/>
            <w:hideMark/>
          </w:tcPr>
          <w:p w14:paraId="5D857D69"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0.02</w:t>
            </w:r>
          </w:p>
        </w:tc>
        <w:tc>
          <w:tcPr>
            <w:tcW w:w="1107" w:type="dxa"/>
            <w:noWrap/>
            <w:hideMark/>
          </w:tcPr>
          <w:p w14:paraId="65290C52"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r>
      <w:tr w:rsidR="005E4531" w14:paraId="0691CBD5" w14:textId="77777777" w:rsidTr="00320FDF">
        <w:trPr>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5E3E6D45"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lastRenderedPageBreak/>
              <w:t>Cu_GO_0.6V_STDEV</w:t>
            </w:r>
          </w:p>
        </w:tc>
        <w:tc>
          <w:tcPr>
            <w:tcW w:w="964" w:type="dxa"/>
            <w:noWrap/>
            <w:hideMark/>
          </w:tcPr>
          <w:p w14:paraId="1BF2DAB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2.12</w:t>
            </w:r>
          </w:p>
        </w:tc>
        <w:tc>
          <w:tcPr>
            <w:tcW w:w="964" w:type="dxa"/>
            <w:noWrap/>
            <w:hideMark/>
          </w:tcPr>
          <w:p w14:paraId="4EBC7DFC"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784" w:type="dxa"/>
            <w:gridSpan w:val="2"/>
            <w:noWrap/>
            <w:hideMark/>
          </w:tcPr>
          <w:p w14:paraId="303A038A"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1.16</w:t>
            </w:r>
          </w:p>
        </w:tc>
        <w:tc>
          <w:tcPr>
            <w:tcW w:w="1056" w:type="dxa"/>
            <w:noWrap/>
            <w:hideMark/>
          </w:tcPr>
          <w:p w14:paraId="3CA69A8D"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1.85</w:t>
            </w:r>
          </w:p>
        </w:tc>
        <w:tc>
          <w:tcPr>
            <w:tcW w:w="1107" w:type="dxa"/>
            <w:noWrap/>
            <w:hideMark/>
          </w:tcPr>
          <w:p w14:paraId="5E83EFC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0.60</w:t>
            </w:r>
          </w:p>
        </w:tc>
      </w:tr>
      <w:tr w:rsidR="005E4531" w14:paraId="53357FFD" w14:textId="77777777" w:rsidTr="00320FD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10" w:type="dxa"/>
            <w:noWrap/>
            <w:hideMark/>
          </w:tcPr>
          <w:p w14:paraId="22456281"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Cu_GO_0.7V_STDEV</w:t>
            </w:r>
          </w:p>
        </w:tc>
        <w:tc>
          <w:tcPr>
            <w:tcW w:w="964" w:type="dxa"/>
            <w:noWrap/>
            <w:hideMark/>
          </w:tcPr>
          <w:p w14:paraId="5AE0A436"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18.34</w:t>
            </w:r>
          </w:p>
        </w:tc>
        <w:tc>
          <w:tcPr>
            <w:tcW w:w="964" w:type="dxa"/>
            <w:noWrap/>
            <w:hideMark/>
          </w:tcPr>
          <w:p w14:paraId="7708920B"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784" w:type="dxa"/>
            <w:gridSpan w:val="2"/>
            <w:noWrap/>
            <w:hideMark/>
          </w:tcPr>
          <w:p w14:paraId="1ED79574"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26.81</w:t>
            </w:r>
          </w:p>
        </w:tc>
        <w:tc>
          <w:tcPr>
            <w:tcW w:w="1056" w:type="dxa"/>
            <w:noWrap/>
            <w:hideMark/>
          </w:tcPr>
          <w:p w14:paraId="4F8D348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3.47</w:t>
            </w:r>
          </w:p>
        </w:tc>
        <w:tc>
          <w:tcPr>
            <w:tcW w:w="1107" w:type="dxa"/>
            <w:noWrap/>
            <w:hideMark/>
          </w:tcPr>
          <w:p w14:paraId="7724A0B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2.76</w:t>
            </w:r>
          </w:p>
        </w:tc>
      </w:tr>
    </w:tbl>
    <w:p w14:paraId="467BF715" w14:textId="77777777" w:rsidR="005E4531" w:rsidRDefault="005E4531" w:rsidP="00320FDF">
      <w:pPr>
        <w:spacing w:after="100" w:afterAutospacing="1" w:line="360" w:lineRule="auto"/>
        <w:jc w:val="both"/>
        <w:rPr>
          <w:rFonts w:ascii="Arial" w:hAnsi="Arial" w:cs="Arial"/>
          <w:sz w:val="24"/>
          <w:lang w:val="en-US"/>
        </w:rPr>
      </w:pPr>
    </w:p>
    <w:p w14:paraId="1CC2C93B"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Table S7. </w:t>
      </w:r>
      <w:r>
        <w:rPr>
          <w:rFonts w:ascii="Arial" w:hAnsi="Arial" w:cs="Arial"/>
          <w:lang w:val="en-US"/>
        </w:rPr>
        <w:t>Faradaic efficiencies of Cu-Ag-NCB per potential and product.</w:t>
      </w:r>
    </w:p>
    <w:p w14:paraId="77AEA5C9" w14:textId="77777777" w:rsidR="005E4531" w:rsidRDefault="005E4531" w:rsidP="00320FDF">
      <w:pPr>
        <w:spacing w:after="100" w:afterAutospacing="1" w:line="360" w:lineRule="auto"/>
        <w:jc w:val="both"/>
        <w:rPr>
          <w:rFonts w:ascii="Arial" w:hAnsi="Arial" w:cs="Arial"/>
          <w:sz w:val="24"/>
          <w:lang w:val="en-US"/>
        </w:rPr>
      </w:pPr>
    </w:p>
    <w:tbl>
      <w:tblPr>
        <w:tblStyle w:val="PlainTable2"/>
        <w:tblW w:w="9491" w:type="dxa"/>
        <w:tblLook w:val="04A0" w:firstRow="1" w:lastRow="0" w:firstColumn="1" w:lastColumn="0" w:noHBand="0" w:noVBand="1"/>
      </w:tblPr>
      <w:tblGrid>
        <w:gridCol w:w="3071"/>
        <w:gridCol w:w="817"/>
        <w:gridCol w:w="817"/>
        <w:gridCol w:w="2593"/>
        <w:gridCol w:w="1252"/>
        <w:gridCol w:w="1032"/>
      </w:tblGrid>
      <w:tr w:rsidR="005E4531" w14:paraId="725CD446" w14:textId="77777777" w:rsidTr="00D9683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025" w:type="dxa"/>
            <w:noWrap/>
            <w:hideMark/>
          </w:tcPr>
          <w:p w14:paraId="021B098F" w14:textId="77777777" w:rsidR="005E4531" w:rsidRDefault="005E4531" w:rsidP="00320FDF">
            <w:pPr>
              <w:spacing w:after="100" w:afterAutospacing="1" w:line="360" w:lineRule="auto"/>
              <w:jc w:val="both"/>
              <w:rPr>
                <w:rFonts w:ascii="Arial" w:hAnsi="Arial" w:cs="Arial"/>
                <w:sz w:val="24"/>
              </w:rPr>
            </w:pPr>
          </w:p>
        </w:tc>
        <w:tc>
          <w:tcPr>
            <w:tcW w:w="804" w:type="dxa"/>
            <w:noWrap/>
            <w:hideMark/>
          </w:tcPr>
          <w:p w14:paraId="624A5809"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w:t>
            </w:r>
            <w:r w:rsidRPr="009C7E3E">
              <w:rPr>
                <w:rFonts w:ascii="Arial" w:hAnsi="Arial"/>
                <w:sz w:val="24"/>
                <w:vertAlign w:val="subscript"/>
              </w:rPr>
              <w:t>2</w:t>
            </w:r>
          </w:p>
        </w:tc>
        <w:tc>
          <w:tcPr>
            <w:tcW w:w="804" w:type="dxa"/>
            <w:noWrap/>
            <w:hideMark/>
          </w:tcPr>
          <w:p w14:paraId="59204E1A"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CO</w:t>
            </w:r>
          </w:p>
        </w:tc>
        <w:tc>
          <w:tcPr>
            <w:tcW w:w="2593" w:type="dxa"/>
            <w:noWrap/>
            <w:hideMark/>
          </w:tcPr>
          <w:p w14:paraId="47611D74"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CHO</w:t>
            </w:r>
          </w:p>
        </w:tc>
        <w:tc>
          <w:tcPr>
            <w:tcW w:w="1233" w:type="dxa"/>
            <w:noWrap/>
            <w:hideMark/>
          </w:tcPr>
          <w:p w14:paraId="73B3B518"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COO</w:t>
            </w:r>
            <w:r w:rsidRPr="009C7E3E">
              <w:rPr>
                <w:rFonts w:ascii="Arial" w:hAnsi="Arial"/>
                <w:sz w:val="24"/>
                <w:vertAlign w:val="superscript"/>
              </w:rPr>
              <w:t>-</w:t>
            </w:r>
          </w:p>
        </w:tc>
        <w:tc>
          <w:tcPr>
            <w:tcW w:w="1032" w:type="dxa"/>
            <w:noWrap/>
            <w:hideMark/>
          </w:tcPr>
          <w:p w14:paraId="50373E46"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HCOO</w:t>
            </w:r>
            <w:r w:rsidRPr="009C7E3E">
              <w:rPr>
                <w:rFonts w:ascii="Arial" w:hAnsi="Arial"/>
                <w:sz w:val="24"/>
                <w:vertAlign w:val="superscript"/>
              </w:rPr>
              <w:t>-</w:t>
            </w:r>
          </w:p>
        </w:tc>
      </w:tr>
      <w:tr w:rsidR="005E4531" w14:paraId="7EB73DAD" w14:textId="77777777" w:rsidTr="00D968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025" w:type="dxa"/>
            <w:noWrap/>
            <w:hideMark/>
          </w:tcPr>
          <w:p w14:paraId="6E488141"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CuAg_NCB_0.5V</w:t>
            </w:r>
          </w:p>
        </w:tc>
        <w:tc>
          <w:tcPr>
            <w:tcW w:w="804" w:type="dxa"/>
            <w:noWrap/>
            <w:hideMark/>
          </w:tcPr>
          <w:p w14:paraId="6E939651"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804" w:type="dxa"/>
            <w:noWrap/>
            <w:hideMark/>
          </w:tcPr>
          <w:p w14:paraId="2EFA9D6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593" w:type="dxa"/>
            <w:noWrap/>
            <w:hideMark/>
          </w:tcPr>
          <w:p w14:paraId="5F76767A"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88.42</w:t>
            </w:r>
          </w:p>
        </w:tc>
        <w:tc>
          <w:tcPr>
            <w:tcW w:w="1233" w:type="dxa"/>
            <w:noWrap/>
            <w:hideMark/>
          </w:tcPr>
          <w:p w14:paraId="5EAC0747"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11.34</w:t>
            </w:r>
          </w:p>
        </w:tc>
        <w:tc>
          <w:tcPr>
            <w:tcW w:w="1032" w:type="dxa"/>
            <w:noWrap/>
            <w:hideMark/>
          </w:tcPr>
          <w:p w14:paraId="08A00A49"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0.83</w:t>
            </w:r>
          </w:p>
        </w:tc>
      </w:tr>
      <w:tr w:rsidR="005E4531" w14:paraId="60ACE4C4" w14:textId="77777777" w:rsidTr="00D96832">
        <w:trPr>
          <w:trHeight w:val="281"/>
        </w:trPr>
        <w:tc>
          <w:tcPr>
            <w:cnfStyle w:val="001000000000" w:firstRow="0" w:lastRow="0" w:firstColumn="1" w:lastColumn="0" w:oddVBand="0" w:evenVBand="0" w:oddHBand="0" w:evenHBand="0" w:firstRowFirstColumn="0" w:firstRowLastColumn="0" w:lastRowFirstColumn="0" w:lastRowLastColumn="0"/>
            <w:tcW w:w="3025" w:type="dxa"/>
            <w:noWrap/>
            <w:hideMark/>
          </w:tcPr>
          <w:p w14:paraId="56C607AA"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CuAg_NCB_0.6V</w:t>
            </w:r>
          </w:p>
        </w:tc>
        <w:tc>
          <w:tcPr>
            <w:tcW w:w="804" w:type="dxa"/>
            <w:noWrap/>
            <w:hideMark/>
          </w:tcPr>
          <w:p w14:paraId="0620DB4E"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804" w:type="dxa"/>
            <w:noWrap/>
            <w:hideMark/>
          </w:tcPr>
          <w:p w14:paraId="3589EAF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593" w:type="dxa"/>
            <w:noWrap/>
            <w:hideMark/>
          </w:tcPr>
          <w:p w14:paraId="070714D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83.45</w:t>
            </w:r>
          </w:p>
        </w:tc>
        <w:tc>
          <w:tcPr>
            <w:tcW w:w="1233" w:type="dxa"/>
            <w:noWrap/>
            <w:hideMark/>
          </w:tcPr>
          <w:p w14:paraId="35B653AB"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18.25</w:t>
            </w:r>
          </w:p>
        </w:tc>
        <w:tc>
          <w:tcPr>
            <w:tcW w:w="1032" w:type="dxa"/>
            <w:noWrap/>
            <w:hideMark/>
          </w:tcPr>
          <w:p w14:paraId="2EB49460"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2.85</w:t>
            </w:r>
          </w:p>
        </w:tc>
      </w:tr>
      <w:tr w:rsidR="005E4531" w14:paraId="7802C119" w14:textId="77777777" w:rsidTr="00D968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025" w:type="dxa"/>
            <w:noWrap/>
            <w:hideMark/>
          </w:tcPr>
          <w:p w14:paraId="63D10E64"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CuAg_NCB_0.7V</w:t>
            </w:r>
          </w:p>
        </w:tc>
        <w:tc>
          <w:tcPr>
            <w:tcW w:w="804" w:type="dxa"/>
            <w:noWrap/>
            <w:hideMark/>
          </w:tcPr>
          <w:p w14:paraId="6621EE57"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15.98</w:t>
            </w:r>
          </w:p>
        </w:tc>
        <w:tc>
          <w:tcPr>
            <w:tcW w:w="804" w:type="dxa"/>
            <w:noWrap/>
            <w:hideMark/>
          </w:tcPr>
          <w:p w14:paraId="3EC15B8B"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54.36</w:t>
            </w:r>
          </w:p>
        </w:tc>
        <w:tc>
          <w:tcPr>
            <w:tcW w:w="2593" w:type="dxa"/>
            <w:noWrap/>
            <w:hideMark/>
          </w:tcPr>
          <w:p w14:paraId="1AE1B878"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29.26</w:t>
            </w:r>
          </w:p>
        </w:tc>
        <w:tc>
          <w:tcPr>
            <w:tcW w:w="1233" w:type="dxa"/>
            <w:noWrap/>
            <w:hideMark/>
          </w:tcPr>
          <w:p w14:paraId="606E8652"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4.32</w:t>
            </w:r>
          </w:p>
        </w:tc>
        <w:tc>
          <w:tcPr>
            <w:tcW w:w="1032" w:type="dxa"/>
            <w:noWrap/>
            <w:hideMark/>
          </w:tcPr>
          <w:p w14:paraId="0B23D082"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3.04</w:t>
            </w:r>
          </w:p>
        </w:tc>
      </w:tr>
      <w:tr w:rsidR="005E4531" w14:paraId="2BC58186" w14:textId="77777777" w:rsidTr="00D96832">
        <w:trPr>
          <w:trHeight w:val="274"/>
        </w:trPr>
        <w:tc>
          <w:tcPr>
            <w:cnfStyle w:val="001000000000" w:firstRow="0" w:lastRow="0" w:firstColumn="1" w:lastColumn="0" w:oddVBand="0" w:evenVBand="0" w:oddHBand="0" w:evenHBand="0" w:firstRowFirstColumn="0" w:firstRowLastColumn="0" w:lastRowFirstColumn="0" w:lastRowLastColumn="0"/>
            <w:tcW w:w="3025" w:type="dxa"/>
            <w:noWrap/>
            <w:hideMark/>
          </w:tcPr>
          <w:p w14:paraId="1CB6CCED"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CuAg_NCB_0.8V</w:t>
            </w:r>
          </w:p>
        </w:tc>
        <w:tc>
          <w:tcPr>
            <w:tcW w:w="804" w:type="dxa"/>
            <w:noWrap/>
            <w:hideMark/>
          </w:tcPr>
          <w:p w14:paraId="2BE068DB"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36.32</w:t>
            </w:r>
          </w:p>
        </w:tc>
        <w:tc>
          <w:tcPr>
            <w:tcW w:w="804" w:type="dxa"/>
            <w:noWrap/>
            <w:hideMark/>
          </w:tcPr>
          <w:p w14:paraId="5B235B5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39.58</w:t>
            </w:r>
          </w:p>
        </w:tc>
        <w:tc>
          <w:tcPr>
            <w:tcW w:w="2593" w:type="dxa"/>
            <w:noWrap/>
            <w:hideMark/>
          </w:tcPr>
          <w:p w14:paraId="76742B3D"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15.06</w:t>
            </w:r>
          </w:p>
        </w:tc>
        <w:tc>
          <w:tcPr>
            <w:tcW w:w="1233" w:type="dxa"/>
            <w:noWrap/>
            <w:hideMark/>
          </w:tcPr>
          <w:p w14:paraId="61ABAF0E"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1.92</w:t>
            </w:r>
          </w:p>
        </w:tc>
        <w:tc>
          <w:tcPr>
            <w:tcW w:w="1032" w:type="dxa"/>
            <w:noWrap/>
            <w:hideMark/>
          </w:tcPr>
          <w:p w14:paraId="12679B82"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5.44</w:t>
            </w:r>
          </w:p>
        </w:tc>
      </w:tr>
      <w:tr w:rsidR="005E4531" w14:paraId="050D7C41" w14:textId="77777777" w:rsidTr="00D968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025" w:type="dxa"/>
            <w:noWrap/>
            <w:hideMark/>
          </w:tcPr>
          <w:p w14:paraId="5306CD77"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CuAg_NCB_0.9V</w:t>
            </w:r>
          </w:p>
        </w:tc>
        <w:tc>
          <w:tcPr>
            <w:tcW w:w="804" w:type="dxa"/>
            <w:noWrap/>
            <w:hideMark/>
          </w:tcPr>
          <w:p w14:paraId="47053BA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19.28</w:t>
            </w:r>
          </w:p>
        </w:tc>
        <w:tc>
          <w:tcPr>
            <w:tcW w:w="804" w:type="dxa"/>
            <w:noWrap/>
            <w:hideMark/>
          </w:tcPr>
          <w:p w14:paraId="2ECD4A7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71.17</w:t>
            </w:r>
          </w:p>
        </w:tc>
        <w:tc>
          <w:tcPr>
            <w:tcW w:w="2593" w:type="dxa"/>
            <w:noWrap/>
            <w:hideMark/>
          </w:tcPr>
          <w:p w14:paraId="14AE4279"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11.34</w:t>
            </w:r>
          </w:p>
        </w:tc>
        <w:tc>
          <w:tcPr>
            <w:tcW w:w="1233" w:type="dxa"/>
            <w:noWrap/>
            <w:hideMark/>
          </w:tcPr>
          <w:p w14:paraId="7C38D8D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2.00</w:t>
            </w:r>
          </w:p>
        </w:tc>
        <w:tc>
          <w:tcPr>
            <w:tcW w:w="1032" w:type="dxa"/>
            <w:noWrap/>
            <w:hideMark/>
          </w:tcPr>
          <w:p w14:paraId="2BE4D6B4"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1.14</w:t>
            </w:r>
          </w:p>
        </w:tc>
      </w:tr>
      <w:tr w:rsidR="005E4531" w14:paraId="71DA014B" w14:textId="77777777" w:rsidTr="00D96832">
        <w:trPr>
          <w:trHeight w:val="281"/>
        </w:trPr>
        <w:tc>
          <w:tcPr>
            <w:cnfStyle w:val="001000000000" w:firstRow="0" w:lastRow="0" w:firstColumn="1" w:lastColumn="0" w:oddVBand="0" w:evenVBand="0" w:oddHBand="0" w:evenHBand="0" w:firstRowFirstColumn="0" w:firstRowLastColumn="0" w:lastRowFirstColumn="0" w:lastRowLastColumn="0"/>
            <w:tcW w:w="3025" w:type="dxa"/>
            <w:noWrap/>
            <w:hideMark/>
          </w:tcPr>
          <w:p w14:paraId="71647A50"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CuAg_NCB_1.1V</w:t>
            </w:r>
          </w:p>
        </w:tc>
        <w:tc>
          <w:tcPr>
            <w:tcW w:w="804" w:type="dxa"/>
            <w:noWrap/>
            <w:hideMark/>
          </w:tcPr>
          <w:p w14:paraId="36B551D0"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39.06</w:t>
            </w:r>
          </w:p>
        </w:tc>
        <w:tc>
          <w:tcPr>
            <w:tcW w:w="804" w:type="dxa"/>
            <w:noWrap/>
            <w:hideMark/>
          </w:tcPr>
          <w:p w14:paraId="6510710D"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49.72</w:t>
            </w:r>
          </w:p>
        </w:tc>
        <w:tc>
          <w:tcPr>
            <w:tcW w:w="2593" w:type="dxa"/>
            <w:noWrap/>
            <w:hideMark/>
          </w:tcPr>
          <w:p w14:paraId="42CDED6B"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1233" w:type="dxa"/>
            <w:noWrap/>
            <w:hideMark/>
          </w:tcPr>
          <w:p w14:paraId="7119F8B6"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1.21</w:t>
            </w:r>
          </w:p>
        </w:tc>
        <w:tc>
          <w:tcPr>
            <w:tcW w:w="1032" w:type="dxa"/>
            <w:noWrap/>
            <w:hideMark/>
          </w:tcPr>
          <w:p w14:paraId="0C674BF7"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8.99</w:t>
            </w:r>
          </w:p>
        </w:tc>
      </w:tr>
      <w:tr w:rsidR="005E4531" w14:paraId="01283931" w14:textId="77777777" w:rsidTr="00D9683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025" w:type="dxa"/>
            <w:noWrap/>
            <w:hideMark/>
          </w:tcPr>
          <w:p w14:paraId="53708DC9"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CuAg_NCB_0.5V_STDEV</w:t>
            </w:r>
          </w:p>
        </w:tc>
        <w:tc>
          <w:tcPr>
            <w:tcW w:w="804" w:type="dxa"/>
            <w:noWrap/>
            <w:hideMark/>
          </w:tcPr>
          <w:p w14:paraId="1FFC357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804" w:type="dxa"/>
            <w:noWrap/>
            <w:hideMark/>
          </w:tcPr>
          <w:p w14:paraId="299B9063"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593" w:type="dxa"/>
            <w:noWrap/>
            <w:hideMark/>
          </w:tcPr>
          <w:p w14:paraId="4FFEF95C"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0.97</w:t>
            </w:r>
          </w:p>
        </w:tc>
        <w:tc>
          <w:tcPr>
            <w:tcW w:w="1233" w:type="dxa"/>
            <w:noWrap/>
            <w:hideMark/>
          </w:tcPr>
          <w:p w14:paraId="03B11EA2"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0.40</w:t>
            </w:r>
          </w:p>
        </w:tc>
        <w:tc>
          <w:tcPr>
            <w:tcW w:w="1032" w:type="dxa"/>
            <w:noWrap/>
            <w:hideMark/>
          </w:tcPr>
          <w:p w14:paraId="3CF0E90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0.83</w:t>
            </w:r>
          </w:p>
        </w:tc>
      </w:tr>
      <w:tr w:rsidR="005E4531" w14:paraId="2EDC68C7" w14:textId="77777777" w:rsidTr="00D96832">
        <w:trPr>
          <w:trHeight w:val="281"/>
        </w:trPr>
        <w:tc>
          <w:tcPr>
            <w:cnfStyle w:val="001000000000" w:firstRow="0" w:lastRow="0" w:firstColumn="1" w:lastColumn="0" w:oddVBand="0" w:evenVBand="0" w:oddHBand="0" w:evenHBand="0" w:firstRowFirstColumn="0" w:firstRowLastColumn="0" w:lastRowFirstColumn="0" w:lastRowLastColumn="0"/>
            <w:tcW w:w="3025" w:type="dxa"/>
            <w:noWrap/>
            <w:hideMark/>
          </w:tcPr>
          <w:p w14:paraId="7F26AE24"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CuAg_NCB_0.6V_STDEV</w:t>
            </w:r>
          </w:p>
        </w:tc>
        <w:tc>
          <w:tcPr>
            <w:tcW w:w="804" w:type="dxa"/>
            <w:noWrap/>
            <w:hideMark/>
          </w:tcPr>
          <w:p w14:paraId="09F394C4"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804" w:type="dxa"/>
            <w:noWrap/>
            <w:hideMark/>
          </w:tcPr>
          <w:p w14:paraId="609EE19E"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593" w:type="dxa"/>
            <w:noWrap/>
            <w:hideMark/>
          </w:tcPr>
          <w:p w14:paraId="4A425000"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2.66</w:t>
            </w:r>
          </w:p>
        </w:tc>
        <w:tc>
          <w:tcPr>
            <w:tcW w:w="1233" w:type="dxa"/>
            <w:noWrap/>
            <w:hideMark/>
          </w:tcPr>
          <w:p w14:paraId="6D03F587"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3.99</w:t>
            </w:r>
          </w:p>
        </w:tc>
        <w:tc>
          <w:tcPr>
            <w:tcW w:w="1032" w:type="dxa"/>
            <w:noWrap/>
            <w:hideMark/>
          </w:tcPr>
          <w:p w14:paraId="4BEF1A9A"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0.81</w:t>
            </w:r>
          </w:p>
        </w:tc>
      </w:tr>
      <w:tr w:rsidR="005E4531" w14:paraId="786C1EAA" w14:textId="77777777" w:rsidTr="00D96832">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025" w:type="dxa"/>
            <w:noWrap/>
            <w:hideMark/>
          </w:tcPr>
          <w:p w14:paraId="58AC642C"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CuAg_NCB_0.7V_STDEV</w:t>
            </w:r>
          </w:p>
        </w:tc>
        <w:tc>
          <w:tcPr>
            <w:tcW w:w="804" w:type="dxa"/>
            <w:noWrap/>
            <w:hideMark/>
          </w:tcPr>
          <w:p w14:paraId="688BC991"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0.91</w:t>
            </w:r>
          </w:p>
        </w:tc>
        <w:tc>
          <w:tcPr>
            <w:tcW w:w="804" w:type="dxa"/>
            <w:noWrap/>
            <w:hideMark/>
          </w:tcPr>
          <w:p w14:paraId="55C0BADB"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1.12</w:t>
            </w:r>
          </w:p>
        </w:tc>
        <w:tc>
          <w:tcPr>
            <w:tcW w:w="2593" w:type="dxa"/>
            <w:noWrap/>
            <w:hideMark/>
          </w:tcPr>
          <w:p w14:paraId="5DCD5513"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3.16</w:t>
            </w:r>
          </w:p>
        </w:tc>
        <w:tc>
          <w:tcPr>
            <w:tcW w:w="1233" w:type="dxa"/>
            <w:noWrap/>
            <w:hideMark/>
          </w:tcPr>
          <w:p w14:paraId="29459ADC"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0.09</w:t>
            </w:r>
          </w:p>
        </w:tc>
        <w:tc>
          <w:tcPr>
            <w:tcW w:w="1032" w:type="dxa"/>
            <w:noWrap/>
            <w:hideMark/>
          </w:tcPr>
          <w:p w14:paraId="6E52C568"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0.44</w:t>
            </w:r>
          </w:p>
        </w:tc>
      </w:tr>
    </w:tbl>
    <w:p w14:paraId="66E15192" w14:textId="77777777" w:rsidR="005E4531" w:rsidRDefault="005E4531" w:rsidP="00320FDF">
      <w:pPr>
        <w:spacing w:after="100" w:afterAutospacing="1" w:line="360" w:lineRule="auto"/>
        <w:jc w:val="both"/>
        <w:rPr>
          <w:rFonts w:ascii="Arial" w:hAnsi="Arial" w:cs="Arial"/>
          <w:sz w:val="24"/>
          <w:lang w:val="en-US"/>
        </w:rPr>
      </w:pPr>
    </w:p>
    <w:p w14:paraId="6D034AF1" w14:textId="77777777"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Table S8. </w:t>
      </w:r>
      <w:r>
        <w:rPr>
          <w:rFonts w:ascii="Arial" w:hAnsi="Arial" w:cs="Arial"/>
          <w:lang w:val="en-US"/>
        </w:rPr>
        <w:t>Faradaic efficiencies of Cu-Ag-GO per potential and product.</w:t>
      </w:r>
    </w:p>
    <w:p w14:paraId="325EF7E3" w14:textId="77777777" w:rsidR="005E4531" w:rsidRDefault="005E4531" w:rsidP="00320FDF">
      <w:pPr>
        <w:spacing w:after="100" w:afterAutospacing="1" w:line="360" w:lineRule="auto"/>
        <w:jc w:val="both"/>
        <w:rPr>
          <w:rFonts w:ascii="Arial" w:hAnsi="Arial" w:cs="Arial"/>
          <w:sz w:val="24"/>
          <w:lang w:val="en-US"/>
        </w:rPr>
      </w:pPr>
    </w:p>
    <w:tbl>
      <w:tblPr>
        <w:tblStyle w:val="PlainTable2"/>
        <w:tblW w:w="9082" w:type="dxa"/>
        <w:tblLook w:val="04A0" w:firstRow="1" w:lastRow="0" w:firstColumn="1" w:lastColumn="0" w:noHBand="0" w:noVBand="1"/>
      </w:tblPr>
      <w:tblGrid>
        <w:gridCol w:w="2924"/>
        <w:gridCol w:w="511"/>
        <w:gridCol w:w="479"/>
        <w:gridCol w:w="684"/>
        <w:gridCol w:w="2628"/>
        <w:gridCol w:w="1252"/>
        <w:gridCol w:w="990"/>
      </w:tblGrid>
      <w:tr w:rsidR="005E4531" w14:paraId="3C1F71B4" w14:textId="77777777" w:rsidTr="00D96832">
        <w:trPr>
          <w:cnfStyle w:val="100000000000" w:firstRow="1" w:lastRow="0" w:firstColumn="0" w:lastColumn="0" w:oddVBand="0" w:evenVBand="0" w:oddHBand="0"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257" w:type="dxa"/>
            <w:gridSpan w:val="2"/>
            <w:noWrap/>
            <w:hideMark/>
          </w:tcPr>
          <w:p w14:paraId="00588E85" w14:textId="77777777" w:rsidR="005E4531" w:rsidRDefault="005E4531" w:rsidP="00320FDF">
            <w:pPr>
              <w:spacing w:after="100" w:afterAutospacing="1" w:line="360" w:lineRule="auto"/>
              <w:jc w:val="both"/>
              <w:rPr>
                <w:rFonts w:ascii="Arial" w:hAnsi="Arial" w:cs="Arial"/>
                <w:sz w:val="24"/>
              </w:rPr>
            </w:pPr>
          </w:p>
        </w:tc>
        <w:tc>
          <w:tcPr>
            <w:tcW w:w="444" w:type="dxa"/>
            <w:noWrap/>
            <w:hideMark/>
          </w:tcPr>
          <w:p w14:paraId="606029A1"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w:t>
            </w:r>
            <w:r w:rsidRPr="009C7E3E">
              <w:rPr>
                <w:rFonts w:ascii="Arial" w:hAnsi="Arial"/>
                <w:sz w:val="24"/>
                <w:vertAlign w:val="subscript"/>
              </w:rPr>
              <w:t>2</w:t>
            </w:r>
          </w:p>
        </w:tc>
        <w:tc>
          <w:tcPr>
            <w:tcW w:w="634" w:type="dxa"/>
            <w:noWrap/>
            <w:hideMark/>
          </w:tcPr>
          <w:p w14:paraId="6429F0DC"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CO</w:t>
            </w:r>
          </w:p>
        </w:tc>
        <w:tc>
          <w:tcPr>
            <w:tcW w:w="2628" w:type="dxa"/>
            <w:noWrap/>
            <w:hideMark/>
          </w:tcPr>
          <w:p w14:paraId="380A1B50"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CHO</w:t>
            </w:r>
          </w:p>
        </w:tc>
        <w:tc>
          <w:tcPr>
            <w:tcW w:w="1160" w:type="dxa"/>
            <w:noWrap/>
            <w:hideMark/>
          </w:tcPr>
          <w:p w14:paraId="76C69B69"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CH</w:t>
            </w:r>
            <w:r w:rsidRPr="009C7E3E">
              <w:rPr>
                <w:rFonts w:ascii="Arial" w:hAnsi="Arial"/>
                <w:sz w:val="24"/>
                <w:vertAlign w:val="subscript"/>
              </w:rPr>
              <w:t>3</w:t>
            </w:r>
            <w:r w:rsidRPr="009C7E3E">
              <w:rPr>
                <w:rFonts w:ascii="Arial" w:hAnsi="Arial"/>
                <w:sz w:val="24"/>
              </w:rPr>
              <w:t>COO</w:t>
            </w:r>
            <w:r w:rsidRPr="009C7E3E">
              <w:rPr>
                <w:rFonts w:ascii="Arial" w:hAnsi="Arial"/>
                <w:sz w:val="24"/>
                <w:vertAlign w:val="superscript"/>
              </w:rPr>
              <w:t>-</w:t>
            </w:r>
          </w:p>
        </w:tc>
        <w:tc>
          <w:tcPr>
            <w:tcW w:w="959" w:type="dxa"/>
            <w:noWrap/>
            <w:hideMark/>
          </w:tcPr>
          <w:p w14:paraId="3C44F2B2" w14:textId="77777777" w:rsidR="005E4531" w:rsidRDefault="006B323D" w:rsidP="00320FDF">
            <w:pPr>
              <w:spacing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HCOO</w:t>
            </w:r>
            <w:r w:rsidRPr="009C7E3E">
              <w:rPr>
                <w:rFonts w:ascii="Arial" w:hAnsi="Arial"/>
                <w:sz w:val="24"/>
                <w:vertAlign w:val="superscript"/>
              </w:rPr>
              <w:t>-</w:t>
            </w:r>
          </w:p>
        </w:tc>
      </w:tr>
      <w:tr w:rsidR="005E4531" w14:paraId="16B705C3" w14:textId="77777777" w:rsidTr="00D9683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1D59D478"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CuAg_GO_0.5V</w:t>
            </w:r>
          </w:p>
        </w:tc>
        <w:tc>
          <w:tcPr>
            <w:tcW w:w="990" w:type="dxa"/>
            <w:gridSpan w:val="2"/>
            <w:noWrap/>
            <w:hideMark/>
          </w:tcPr>
          <w:p w14:paraId="1A38BD6A"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634" w:type="dxa"/>
            <w:noWrap/>
            <w:hideMark/>
          </w:tcPr>
          <w:p w14:paraId="0DC7395E"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628" w:type="dxa"/>
            <w:noWrap/>
            <w:hideMark/>
          </w:tcPr>
          <w:p w14:paraId="2EF084EB"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68.48</w:t>
            </w:r>
          </w:p>
        </w:tc>
        <w:tc>
          <w:tcPr>
            <w:tcW w:w="1160" w:type="dxa"/>
            <w:noWrap/>
            <w:hideMark/>
          </w:tcPr>
          <w:p w14:paraId="5C2806E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4.56</w:t>
            </w:r>
          </w:p>
        </w:tc>
        <w:tc>
          <w:tcPr>
            <w:tcW w:w="959" w:type="dxa"/>
            <w:noWrap/>
            <w:hideMark/>
          </w:tcPr>
          <w:p w14:paraId="069ED752"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1.88</w:t>
            </w:r>
          </w:p>
        </w:tc>
      </w:tr>
      <w:tr w:rsidR="005E4531" w14:paraId="51552ED9" w14:textId="77777777" w:rsidTr="00D96832">
        <w:trPr>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0664BA53"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CuAg_GO_0.6V</w:t>
            </w:r>
          </w:p>
        </w:tc>
        <w:tc>
          <w:tcPr>
            <w:tcW w:w="990" w:type="dxa"/>
            <w:gridSpan w:val="2"/>
            <w:noWrap/>
            <w:hideMark/>
          </w:tcPr>
          <w:p w14:paraId="614CA345"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57.04</w:t>
            </w:r>
          </w:p>
        </w:tc>
        <w:tc>
          <w:tcPr>
            <w:tcW w:w="634" w:type="dxa"/>
            <w:noWrap/>
            <w:hideMark/>
          </w:tcPr>
          <w:p w14:paraId="542072D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628" w:type="dxa"/>
            <w:noWrap/>
            <w:hideMark/>
          </w:tcPr>
          <w:p w14:paraId="7BE2AE1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39.20</w:t>
            </w:r>
          </w:p>
        </w:tc>
        <w:tc>
          <w:tcPr>
            <w:tcW w:w="1160" w:type="dxa"/>
            <w:noWrap/>
            <w:hideMark/>
          </w:tcPr>
          <w:p w14:paraId="423CCE1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0.46</w:t>
            </w:r>
          </w:p>
        </w:tc>
        <w:tc>
          <w:tcPr>
            <w:tcW w:w="959" w:type="dxa"/>
            <w:noWrap/>
            <w:hideMark/>
          </w:tcPr>
          <w:p w14:paraId="31BA40D0"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1.10</w:t>
            </w:r>
          </w:p>
        </w:tc>
      </w:tr>
      <w:tr w:rsidR="005E4531" w14:paraId="476B5600" w14:textId="77777777" w:rsidTr="00D9683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4BF31904"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CuAg_GO_0.7V</w:t>
            </w:r>
          </w:p>
        </w:tc>
        <w:tc>
          <w:tcPr>
            <w:tcW w:w="990" w:type="dxa"/>
            <w:gridSpan w:val="2"/>
            <w:noWrap/>
            <w:hideMark/>
          </w:tcPr>
          <w:p w14:paraId="481394A8"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23.21</w:t>
            </w:r>
          </w:p>
        </w:tc>
        <w:tc>
          <w:tcPr>
            <w:tcW w:w="634" w:type="dxa"/>
            <w:noWrap/>
            <w:hideMark/>
          </w:tcPr>
          <w:p w14:paraId="323AC19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628" w:type="dxa"/>
            <w:noWrap/>
            <w:hideMark/>
          </w:tcPr>
          <w:p w14:paraId="13212EB9"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72.03</w:t>
            </w:r>
          </w:p>
        </w:tc>
        <w:tc>
          <w:tcPr>
            <w:tcW w:w="1160" w:type="dxa"/>
            <w:noWrap/>
            <w:hideMark/>
          </w:tcPr>
          <w:p w14:paraId="7B0A2E85"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7.21</w:t>
            </w:r>
          </w:p>
        </w:tc>
        <w:tc>
          <w:tcPr>
            <w:tcW w:w="959" w:type="dxa"/>
            <w:noWrap/>
            <w:hideMark/>
          </w:tcPr>
          <w:p w14:paraId="50A790D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4.04</w:t>
            </w:r>
          </w:p>
        </w:tc>
      </w:tr>
      <w:tr w:rsidR="005E4531" w14:paraId="66B7369B" w14:textId="77777777" w:rsidTr="00D96832">
        <w:trPr>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7BCF210D"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CuAg_GO_0.8V</w:t>
            </w:r>
          </w:p>
        </w:tc>
        <w:tc>
          <w:tcPr>
            <w:tcW w:w="990" w:type="dxa"/>
            <w:gridSpan w:val="2"/>
            <w:noWrap/>
            <w:hideMark/>
          </w:tcPr>
          <w:p w14:paraId="5433F4DF"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72.54</w:t>
            </w:r>
          </w:p>
        </w:tc>
        <w:tc>
          <w:tcPr>
            <w:tcW w:w="634" w:type="dxa"/>
            <w:noWrap/>
            <w:hideMark/>
          </w:tcPr>
          <w:p w14:paraId="6845E04F"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628" w:type="dxa"/>
            <w:noWrap/>
            <w:hideMark/>
          </w:tcPr>
          <w:p w14:paraId="5BBB139C"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13.52</w:t>
            </w:r>
          </w:p>
        </w:tc>
        <w:tc>
          <w:tcPr>
            <w:tcW w:w="1160" w:type="dxa"/>
            <w:noWrap/>
            <w:hideMark/>
          </w:tcPr>
          <w:p w14:paraId="32EC2A8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4.06</w:t>
            </w:r>
          </w:p>
        </w:tc>
        <w:tc>
          <w:tcPr>
            <w:tcW w:w="959" w:type="dxa"/>
            <w:noWrap/>
            <w:hideMark/>
          </w:tcPr>
          <w:p w14:paraId="292760BF"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5.51</w:t>
            </w:r>
          </w:p>
        </w:tc>
      </w:tr>
      <w:tr w:rsidR="005E4531" w14:paraId="4C3952B1" w14:textId="77777777" w:rsidTr="00D9683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1DB6D37E"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lastRenderedPageBreak/>
              <w:t>CuAg_GO_0.9V</w:t>
            </w:r>
          </w:p>
        </w:tc>
        <w:tc>
          <w:tcPr>
            <w:tcW w:w="990" w:type="dxa"/>
            <w:gridSpan w:val="2"/>
            <w:noWrap/>
            <w:hideMark/>
          </w:tcPr>
          <w:p w14:paraId="09DC53EE"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70.59</w:t>
            </w:r>
          </w:p>
        </w:tc>
        <w:tc>
          <w:tcPr>
            <w:tcW w:w="634" w:type="dxa"/>
            <w:noWrap/>
            <w:hideMark/>
          </w:tcPr>
          <w:p w14:paraId="648C8C0E"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1.98</w:t>
            </w:r>
          </w:p>
        </w:tc>
        <w:tc>
          <w:tcPr>
            <w:tcW w:w="2628" w:type="dxa"/>
            <w:noWrap/>
            <w:hideMark/>
          </w:tcPr>
          <w:p w14:paraId="7EE5D092"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19.05</w:t>
            </w:r>
          </w:p>
        </w:tc>
        <w:tc>
          <w:tcPr>
            <w:tcW w:w="1160" w:type="dxa"/>
            <w:noWrap/>
            <w:hideMark/>
          </w:tcPr>
          <w:p w14:paraId="517F68EC"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5.95</w:t>
            </w:r>
          </w:p>
        </w:tc>
        <w:tc>
          <w:tcPr>
            <w:tcW w:w="959" w:type="dxa"/>
            <w:noWrap/>
            <w:hideMark/>
          </w:tcPr>
          <w:p w14:paraId="1FE9178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2.21</w:t>
            </w:r>
          </w:p>
        </w:tc>
      </w:tr>
      <w:tr w:rsidR="005E4531" w14:paraId="3271C72E" w14:textId="77777777" w:rsidTr="00D96832">
        <w:trPr>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4E261B4E"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CuAg_GO_1.1V</w:t>
            </w:r>
          </w:p>
        </w:tc>
        <w:tc>
          <w:tcPr>
            <w:tcW w:w="990" w:type="dxa"/>
            <w:gridSpan w:val="2"/>
            <w:noWrap/>
            <w:hideMark/>
          </w:tcPr>
          <w:p w14:paraId="26F2525C"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88.88</w:t>
            </w:r>
          </w:p>
        </w:tc>
        <w:tc>
          <w:tcPr>
            <w:tcW w:w="634" w:type="dxa"/>
            <w:noWrap/>
            <w:hideMark/>
          </w:tcPr>
          <w:p w14:paraId="394E50CA"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0.25</w:t>
            </w:r>
          </w:p>
        </w:tc>
        <w:tc>
          <w:tcPr>
            <w:tcW w:w="2628" w:type="dxa"/>
            <w:noWrap/>
            <w:hideMark/>
          </w:tcPr>
          <w:p w14:paraId="0C7E2629"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7.35</w:t>
            </w:r>
          </w:p>
        </w:tc>
        <w:tc>
          <w:tcPr>
            <w:tcW w:w="1160" w:type="dxa"/>
            <w:noWrap/>
            <w:hideMark/>
          </w:tcPr>
          <w:p w14:paraId="5E8A9F07"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0.68</w:t>
            </w:r>
          </w:p>
        </w:tc>
        <w:tc>
          <w:tcPr>
            <w:tcW w:w="959" w:type="dxa"/>
            <w:noWrap/>
            <w:hideMark/>
          </w:tcPr>
          <w:p w14:paraId="0703A8DC"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2.09</w:t>
            </w:r>
          </w:p>
        </w:tc>
      </w:tr>
      <w:tr w:rsidR="005E4531" w14:paraId="04CAB27A" w14:textId="77777777" w:rsidTr="00D9683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51F2FF95"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CuAg_GO_0.5V_STDEV</w:t>
            </w:r>
          </w:p>
        </w:tc>
        <w:tc>
          <w:tcPr>
            <w:tcW w:w="990" w:type="dxa"/>
            <w:gridSpan w:val="2"/>
            <w:noWrap/>
            <w:hideMark/>
          </w:tcPr>
          <w:p w14:paraId="7243E918"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634" w:type="dxa"/>
            <w:noWrap/>
            <w:hideMark/>
          </w:tcPr>
          <w:p w14:paraId="3252222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628" w:type="dxa"/>
            <w:noWrap/>
            <w:hideMark/>
          </w:tcPr>
          <w:p w14:paraId="13F3E864"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4.95</w:t>
            </w:r>
          </w:p>
        </w:tc>
        <w:tc>
          <w:tcPr>
            <w:tcW w:w="1160" w:type="dxa"/>
            <w:noWrap/>
            <w:hideMark/>
          </w:tcPr>
          <w:p w14:paraId="0F26F1B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0.80</w:t>
            </w:r>
          </w:p>
        </w:tc>
        <w:tc>
          <w:tcPr>
            <w:tcW w:w="959" w:type="dxa"/>
            <w:noWrap/>
            <w:hideMark/>
          </w:tcPr>
          <w:p w14:paraId="641495FB"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1.62</w:t>
            </w:r>
          </w:p>
        </w:tc>
      </w:tr>
      <w:tr w:rsidR="005E4531" w14:paraId="4A57A07E" w14:textId="77777777" w:rsidTr="00D96832">
        <w:trPr>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6F2DA232"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CuAg_GO_0.6V_STDEV</w:t>
            </w:r>
          </w:p>
        </w:tc>
        <w:tc>
          <w:tcPr>
            <w:tcW w:w="990" w:type="dxa"/>
            <w:gridSpan w:val="2"/>
            <w:noWrap/>
            <w:hideMark/>
          </w:tcPr>
          <w:p w14:paraId="44B45AFD"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0.25</w:t>
            </w:r>
          </w:p>
        </w:tc>
        <w:tc>
          <w:tcPr>
            <w:tcW w:w="634" w:type="dxa"/>
            <w:noWrap/>
            <w:hideMark/>
          </w:tcPr>
          <w:p w14:paraId="56137B7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0.00</w:t>
            </w:r>
          </w:p>
        </w:tc>
        <w:tc>
          <w:tcPr>
            <w:tcW w:w="2628" w:type="dxa"/>
            <w:noWrap/>
            <w:hideMark/>
          </w:tcPr>
          <w:p w14:paraId="44738E98"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1.97</w:t>
            </w:r>
          </w:p>
        </w:tc>
        <w:tc>
          <w:tcPr>
            <w:tcW w:w="1160" w:type="dxa"/>
            <w:noWrap/>
            <w:hideMark/>
          </w:tcPr>
          <w:p w14:paraId="20323051"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0.23</w:t>
            </w:r>
          </w:p>
        </w:tc>
        <w:tc>
          <w:tcPr>
            <w:tcW w:w="959" w:type="dxa"/>
            <w:noWrap/>
            <w:hideMark/>
          </w:tcPr>
          <w:p w14:paraId="407457C3" w14:textId="77777777" w:rsidR="005E4531" w:rsidRDefault="006B323D" w:rsidP="00320FDF">
            <w:pPr>
              <w:spacing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7E3E">
              <w:rPr>
                <w:rFonts w:ascii="Arial" w:hAnsi="Arial"/>
                <w:sz w:val="24"/>
              </w:rPr>
              <w:t>0.88</w:t>
            </w:r>
          </w:p>
        </w:tc>
      </w:tr>
      <w:tr w:rsidR="005E4531" w14:paraId="1BF33C37" w14:textId="77777777" w:rsidTr="00D96832">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711" w:type="dxa"/>
            <w:noWrap/>
            <w:hideMark/>
          </w:tcPr>
          <w:p w14:paraId="1EB4D4A6" w14:textId="77777777" w:rsidR="005E4531" w:rsidRDefault="006B323D" w:rsidP="00320FDF">
            <w:pPr>
              <w:spacing w:after="100" w:afterAutospacing="1" w:line="360" w:lineRule="auto"/>
              <w:jc w:val="both"/>
              <w:rPr>
                <w:rFonts w:ascii="Arial" w:hAnsi="Arial" w:cs="Arial"/>
                <w:sz w:val="24"/>
              </w:rPr>
            </w:pPr>
            <w:r w:rsidRPr="009C7E3E">
              <w:rPr>
                <w:rFonts w:ascii="Arial" w:hAnsi="Arial"/>
                <w:sz w:val="24"/>
              </w:rPr>
              <w:t>CuAg_GO_0.7V_STDEV</w:t>
            </w:r>
          </w:p>
        </w:tc>
        <w:tc>
          <w:tcPr>
            <w:tcW w:w="990" w:type="dxa"/>
            <w:gridSpan w:val="2"/>
            <w:noWrap/>
            <w:hideMark/>
          </w:tcPr>
          <w:p w14:paraId="1A4E93B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3.75</w:t>
            </w:r>
          </w:p>
        </w:tc>
        <w:tc>
          <w:tcPr>
            <w:tcW w:w="634" w:type="dxa"/>
            <w:noWrap/>
            <w:hideMark/>
          </w:tcPr>
          <w:p w14:paraId="53866C5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0.00</w:t>
            </w:r>
          </w:p>
        </w:tc>
        <w:tc>
          <w:tcPr>
            <w:tcW w:w="2628" w:type="dxa"/>
            <w:noWrap/>
            <w:hideMark/>
          </w:tcPr>
          <w:p w14:paraId="66F60ACF"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4.40</w:t>
            </w:r>
          </w:p>
        </w:tc>
        <w:tc>
          <w:tcPr>
            <w:tcW w:w="1160" w:type="dxa"/>
            <w:noWrap/>
            <w:hideMark/>
          </w:tcPr>
          <w:p w14:paraId="08098790"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7.84</w:t>
            </w:r>
          </w:p>
        </w:tc>
        <w:tc>
          <w:tcPr>
            <w:tcW w:w="959" w:type="dxa"/>
            <w:noWrap/>
            <w:hideMark/>
          </w:tcPr>
          <w:p w14:paraId="70A2430D" w14:textId="77777777" w:rsidR="005E4531" w:rsidRDefault="006B323D" w:rsidP="00320FDF">
            <w:pPr>
              <w:spacing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7E3E">
              <w:rPr>
                <w:rFonts w:ascii="Arial" w:hAnsi="Arial"/>
                <w:sz w:val="24"/>
              </w:rPr>
              <w:t>2.30</w:t>
            </w:r>
          </w:p>
        </w:tc>
      </w:tr>
    </w:tbl>
    <w:p w14:paraId="5D59D26F" w14:textId="77777777" w:rsidR="005E4531" w:rsidRDefault="005E4531" w:rsidP="00320FDF">
      <w:pPr>
        <w:spacing w:after="100" w:afterAutospacing="1" w:line="360" w:lineRule="auto"/>
        <w:jc w:val="both"/>
        <w:rPr>
          <w:rFonts w:ascii="Arial" w:hAnsi="Arial" w:cs="Arial"/>
          <w:sz w:val="24"/>
          <w:lang w:val="en-US"/>
        </w:rPr>
      </w:pPr>
    </w:p>
    <w:p w14:paraId="12E00366" w14:textId="48E49B4C" w:rsidR="00266643" w:rsidRPr="00FF5897" w:rsidRDefault="00BD3B93" w:rsidP="00FD4D0D">
      <w:pPr>
        <w:spacing w:after="100" w:afterAutospacing="1" w:line="360" w:lineRule="auto"/>
        <w:jc w:val="both"/>
        <w:rPr>
          <w:rFonts w:ascii="Arial" w:hAnsi="Arial" w:cs="Arial"/>
          <w:lang w:val="en-US"/>
        </w:rPr>
      </w:pPr>
      <w:r>
        <w:rPr>
          <w:rFonts w:ascii="Arial" w:hAnsi="Arial" w:cs="Arial"/>
          <w:noProof/>
          <w:lang w:val="en-US"/>
        </w:rPr>
        <w:drawing>
          <wp:inline distT="0" distB="0" distL="0" distR="0" wp14:anchorId="05267D8B" wp14:editId="52DC6D16">
            <wp:extent cx="5731510" cy="4400550"/>
            <wp:effectExtent l="0" t="0" r="2540" b="0"/>
            <wp:docPr id="178211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17202" name="Picture 178211720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4400550"/>
                    </a:xfrm>
                    <a:prstGeom prst="rect">
                      <a:avLst/>
                    </a:prstGeom>
                  </pic:spPr>
                </pic:pic>
              </a:graphicData>
            </a:graphic>
          </wp:inline>
        </w:drawing>
      </w:r>
    </w:p>
    <w:p w14:paraId="22788020" w14:textId="7A3F1844" w:rsidR="005E4531" w:rsidRDefault="006B323D" w:rsidP="00320FDF">
      <w:pPr>
        <w:spacing w:after="100" w:afterAutospacing="1" w:line="360" w:lineRule="auto"/>
        <w:jc w:val="both"/>
        <w:rPr>
          <w:rFonts w:ascii="Arial" w:hAnsi="Arial" w:cs="Arial"/>
          <w:lang w:val="en-US"/>
        </w:rPr>
      </w:pPr>
      <w:r>
        <w:rPr>
          <w:rFonts w:ascii="Arial" w:hAnsi="Arial" w:cs="Arial"/>
          <w:b/>
          <w:lang w:val="en-US"/>
        </w:rPr>
        <w:t>Figure S2</w:t>
      </w:r>
      <w:r w:rsidR="00B725E8">
        <w:rPr>
          <w:rFonts w:ascii="Arial" w:hAnsi="Arial" w:cs="Arial"/>
          <w:b/>
          <w:lang w:val="en-US"/>
        </w:rPr>
        <w:t>6</w:t>
      </w:r>
      <w:r>
        <w:rPr>
          <w:rFonts w:ascii="Arial" w:hAnsi="Arial" w:cs="Arial"/>
          <w:b/>
          <w:lang w:val="en-US"/>
        </w:rPr>
        <w:t>.</w:t>
      </w:r>
      <w:r>
        <w:rPr>
          <w:rFonts w:ascii="Arial" w:hAnsi="Arial" w:cs="Arial"/>
          <w:lang w:val="en-US"/>
        </w:rPr>
        <w:t xml:space="preserve"> Geometrical current densities as a function of potential for the screened Cu-(ag)-NCB/GO GDL catalysts at low overpotential. </w:t>
      </w:r>
    </w:p>
    <w:p w14:paraId="42E3A561" w14:textId="50207570" w:rsidR="006A7A1C" w:rsidRDefault="000176A6" w:rsidP="00FD4D0D">
      <w:pPr>
        <w:spacing w:after="100" w:afterAutospacing="1" w:line="360" w:lineRule="auto"/>
        <w:jc w:val="both"/>
        <w:rPr>
          <w:rFonts w:ascii="Arial" w:hAnsi="Arial" w:cs="Arial"/>
          <w:lang w:val="en-US"/>
        </w:rPr>
      </w:pPr>
      <w:r>
        <w:rPr>
          <w:rFonts w:ascii="Arial" w:hAnsi="Arial" w:cs="Arial"/>
          <w:noProof/>
          <w:lang w:val="en-US"/>
        </w:rPr>
        <w:lastRenderedPageBreak/>
        <w:drawing>
          <wp:inline distT="0" distB="0" distL="0" distR="0" wp14:anchorId="0846324B" wp14:editId="5E53D2A2">
            <wp:extent cx="5731510" cy="3280410"/>
            <wp:effectExtent l="0" t="0" r="2540" b="0"/>
            <wp:docPr id="1750249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49696" name="Picture 175024969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3280410"/>
                    </a:xfrm>
                    <a:prstGeom prst="rect">
                      <a:avLst/>
                    </a:prstGeom>
                  </pic:spPr>
                </pic:pic>
              </a:graphicData>
            </a:graphic>
          </wp:inline>
        </w:drawing>
      </w:r>
    </w:p>
    <w:p w14:paraId="1BB27218" w14:textId="0A1B9B30" w:rsidR="00D97B3E" w:rsidRPr="00ED3A5A" w:rsidRDefault="00D97B3E" w:rsidP="00D97B3E">
      <w:pPr>
        <w:pStyle w:val="Caption"/>
        <w:jc w:val="both"/>
        <w:rPr>
          <w:rFonts w:ascii="Arial" w:hAnsi="Arial" w:cs="Arial"/>
          <w:i w:val="0"/>
        </w:rPr>
      </w:pPr>
      <w:r w:rsidRPr="00D97B3E">
        <w:rPr>
          <w:rFonts w:ascii="Arial" w:hAnsi="Arial" w:cs="Arial"/>
          <w:b/>
          <w:bCs/>
          <w:i w:val="0"/>
        </w:rPr>
        <w:t>Figure S</w:t>
      </w:r>
      <w:r w:rsidR="00050637">
        <w:rPr>
          <w:rFonts w:ascii="Arial" w:hAnsi="Arial" w:cs="Arial"/>
          <w:b/>
          <w:bCs/>
          <w:i w:val="0"/>
        </w:rPr>
        <w:t>27</w:t>
      </w:r>
      <w:r w:rsidRPr="00D97B3E">
        <w:rPr>
          <w:rFonts w:ascii="Arial" w:hAnsi="Arial" w:cs="Arial"/>
          <w:b/>
          <w:bCs/>
          <w:i w:val="0"/>
        </w:rPr>
        <w:t>.</w:t>
      </w:r>
      <w:r>
        <w:rPr>
          <w:rFonts w:ascii="Arial" w:hAnsi="Arial" w:cs="Arial"/>
          <w:i w:val="0"/>
        </w:rPr>
        <w:t xml:space="preserve"> </w:t>
      </w:r>
      <w:r w:rsidRPr="00ED3A5A">
        <w:rPr>
          <w:rFonts w:ascii="Arial" w:hAnsi="Arial" w:cs="Arial"/>
          <w:i w:val="0"/>
        </w:rPr>
        <w:t xml:space="preserve">Reused Cu-NCB catalyst offered a stable and comparable current density (-148 </w:t>
      </w:r>
      <w:proofErr w:type="spellStart"/>
      <w:r w:rsidRPr="00ED3A5A">
        <w:rPr>
          <w:rFonts w:ascii="Arial" w:hAnsi="Arial" w:cs="Arial"/>
          <w:i w:val="0"/>
        </w:rPr>
        <w:t>uA</w:t>
      </w:r>
      <w:proofErr w:type="spellEnd"/>
      <w:r w:rsidRPr="00ED3A5A">
        <w:rPr>
          <w:rFonts w:ascii="Arial" w:hAnsi="Arial" w:cs="Arial"/>
          <w:i w:val="0"/>
        </w:rPr>
        <w:t xml:space="preserve"> cm</w:t>
      </w:r>
      <w:r w:rsidRPr="006315EF">
        <w:rPr>
          <w:rFonts w:ascii="Arial" w:hAnsi="Arial" w:cs="Arial"/>
          <w:i w:val="0"/>
          <w:vertAlign w:val="superscript"/>
        </w:rPr>
        <w:t>-2</w:t>
      </w:r>
      <w:r w:rsidRPr="00ED3A5A">
        <w:rPr>
          <w:rFonts w:ascii="Arial" w:hAnsi="Arial" w:cs="Arial"/>
          <w:i w:val="0"/>
        </w:rPr>
        <w:t xml:space="preserve">) and acetaldehyde FE (41%) as observed for the first 3 </w:t>
      </w:r>
      <w:proofErr w:type="spellStart"/>
      <w:r w:rsidRPr="00ED3A5A">
        <w:rPr>
          <w:rFonts w:ascii="Arial" w:hAnsi="Arial" w:cs="Arial"/>
          <w:i w:val="0"/>
        </w:rPr>
        <w:t>hrs</w:t>
      </w:r>
      <w:proofErr w:type="spellEnd"/>
      <w:r w:rsidRPr="00ED3A5A">
        <w:rPr>
          <w:rFonts w:ascii="Arial" w:hAnsi="Arial" w:cs="Arial"/>
          <w:i w:val="0"/>
        </w:rPr>
        <w:t xml:space="preserve"> (-193±45 µA cm</w:t>
      </w:r>
      <w:r w:rsidRPr="006315EF">
        <w:rPr>
          <w:rFonts w:ascii="Arial" w:hAnsi="Arial" w:cs="Arial"/>
          <w:i w:val="0"/>
          <w:vertAlign w:val="superscript"/>
        </w:rPr>
        <w:t>-2</w:t>
      </w:r>
      <w:r w:rsidRPr="00ED3A5A">
        <w:rPr>
          <w:rFonts w:ascii="Arial" w:hAnsi="Arial" w:cs="Arial"/>
          <w:i w:val="0"/>
        </w:rPr>
        <w:t xml:space="preserve"> and 43±22%, respectively).  After 27 </w:t>
      </w:r>
      <w:proofErr w:type="spellStart"/>
      <w:r w:rsidRPr="00ED3A5A">
        <w:rPr>
          <w:rFonts w:ascii="Arial" w:hAnsi="Arial" w:cs="Arial"/>
          <w:i w:val="0"/>
        </w:rPr>
        <w:t>hrs</w:t>
      </w:r>
      <w:proofErr w:type="spellEnd"/>
      <w:r w:rsidRPr="00ED3A5A">
        <w:rPr>
          <w:rFonts w:ascii="Arial" w:hAnsi="Arial" w:cs="Arial"/>
          <w:i w:val="0"/>
        </w:rPr>
        <w:t xml:space="preserve">, the acetaldehyde FE had dropped to 12%, and the total FE to 51%. Loss of acetaldehyde to the gas phase (b.p. 20.2 °C) explains </w:t>
      </w:r>
      <w:r w:rsidRPr="00307404">
        <w:rPr>
          <w:rFonts w:ascii="Arial" w:hAnsi="Arial" w:cs="Arial"/>
          <w:i w:val="0"/>
        </w:rPr>
        <w:t>this difference</w:t>
      </w:r>
      <w:r w:rsidR="00307404" w:rsidRPr="00307404">
        <w:rPr>
          <w:rFonts w:ascii="Arial" w:hAnsi="Arial" w:cs="Arial"/>
          <w:i w:val="0"/>
        </w:rPr>
        <w:t>, similar to what we previously reported in ethanol electrosynthesis.</w:t>
      </w:r>
      <w:r w:rsidR="00307404" w:rsidRPr="00307404">
        <w:rPr>
          <w:rFonts w:ascii="Arial" w:hAnsi="Arial" w:cs="Arial"/>
          <w:i w:val="0"/>
        </w:rPr>
        <w:fldChar w:fldCharType="begin"/>
      </w:r>
      <w:r w:rsidR="004F6613">
        <w:rPr>
          <w:rFonts w:ascii="Arial" w:hAnsi="Arial" w:cs="Arial"/>
          <w:i w:val="0"/>
        </w:rPr>
        <w:instrText xml:space="preserve"> ADDIN ZOTERO_ITEM CSL_CITATION {"citationID":"A0uN5iTJ","properties":{"formattedCitation":"\\super 24\\nosupersub{}","plainCitation":"24","noteIndex":0},"citationItems":[{"id":1537,"uris":["http://zotero.org/users/4941048/items/5M65CRPP"],"itemData":{"id":1537,"type":"article-journal","abstract":"We reveal that a significant amount (&gt;30%) of the liquid products from electrochemical CO2 reduction (CO2RR) in a flow reactor can cross the gas diffusion electrode (GDE) and anion exchange membrane (AEM). Crossover of volatile products through the GDE occurs mainly by evaporation, and the migration rate increases linearly with current density and CO2 flow rate. Non-volatile products prefer to cross the AEM through electromigration, and the migration rate is affected by the current density and the flow rate of the catholyte. These results highlight the importance of considering product crossover in CO2RR to adequately assess the catalytic performance.","container-title":"Journal of Catalysis","DOI":"10.1016/j.jcat.2020.03.013","ISSN":"0021-9517","journalAbbreviation":"Journal of Catalysis","language":"en","page":"140-145","source":"ScienceDirect","title":"Crossover of liquid products from electrochemical CO2 reduction through gas diffusion electrode and anion exchange membrane","volume":"385","author":[{"family":"Zhang","given":"Jie"},{"family":"Luo","given":"Wen"},{"family":"Züttel","given":"Andreas"}],"issued":{"date-parts":[["2020",5,1]]}}}],"schema":"https://github.com/citation-style-language/schema/raw/master/csl-citation.json"} </w:instrText>
      </w:r>
      <w:r w:rsidR="00307404" w:rsidRPr="00307404">
        <w:rPr>
          <w:rFonts w:ascii="Arial" w:hAnsi="Arial" w:cs="Arial"/>
          <w:i w:val="0"/>
        </w:rPr>
        <w:fldChar w:fldCharType="separate"/>
      </w:r>
      <w:r w:rsidR="004F6613" w:rsidRPr="004F6613">
        <w:rPr>
          <w:rFonts w:ascii="Arial" w:hAnsi="Arial" w:cs="Arial"/>
          <w:vertAlign w:val="superscript"/>
        </w:rPr>
        <w:t>24</w:t>
      </w:r>
      <w:r w:rsidR="00307404" w:rsidRPr="00307404">
        <w:rPr>
          <w:rFonts w:ascii="Arial" w:hAnsi="Arial" w:cs="Arial"/>
          <w:i w:val="0"/>
        </w:rPr>
        <w:fldChar w:fldCharType="end"/>
      </w:r>
      <w:r w:rsidR="00307404" w:rsidRPr="00307404">
        <w:rPr>
          <w:rFonts w:ascii="Arial" w:hAnsi="Arial" w:cs="Arial"/>
          <w:i w:val="0"/>
        </w:rPr>
        <w:t xml:space="preserve"> This stresses the need for different cell design for low boiling point liquid products.</w:t>
      </w:r>
    </w:p>
    <w:p w14:paraId="0B2C15B3" w14:textId="77777777" w:rsidR="000176A6" w:rsidRDefault="000176A6" w:rsidP="00FD4D0D">
      <w:pPr>
        <w:spacing w:after="100" w:afterAutospacing="1" w:line="360" w:lineRule="auto"/>
        <w:jc w:val="both"/>
        <w:rPr>
          <w:rFonts w:ascii="Arial" w:hAnsi="Arial" w:cs="Arial"/>
          <w:lang w:val="en-US"/>
        </w:rPr>
      </w:pPr>
    </w:p>
    <w:p w14:paraId="03D80FAA" w14:textId="77777777" w:rsidR="005E4531" w:rsidRDefault="006B323D" w:rsidP="00320FDF">
      <w:pPr>
        <w:spacing w:after="100" w:afterAutospacing="1" w:line="360" w:lineRule="auto"/>
        <w:jc w:val="both"/>
        <w:rPr>
          <w:rFonts w:ascii="Arial" w:hAnsi="Arial" w:cs="Arial"/>
          <w:lang w:val="en-US"/>
        </w:rPr>
      </w:pPr>
      <w:r>
        <w:rPr>
          <w:rFonts w:ascii="Arial" w:hAnsi="Arial" w:cs="Arial"/>
          <w:b/>
          <w:bCs/>
          <w:lang w:val="en-US"/>
        </w:rPr>
        <w:t>Table S9.</w:t>
      </w:r>
      <w:r>
        <w:rPr>
          <w:rFonts w:ascii="Arial" w:hAnsi="Arial" w:cs="Arial"/>
          <w:lang w:val="en-US"/>
        </w:rPr>
        <w:t xml:space="preserve"> Cu mass loading pre and post catalysis as determined by ICP-MS.</w:t>
      </w:r>
    </w:p>
    <w:tbl>
      <w:tblPr>
        <w:tblStyle w:val="PlainTable2"/>
        <w:tblW w:w="9016" w:type="dxa"/>
        <w:tblLook w:val="04A0" w:firstRow="1" w:lastRow="0" w:firstColumn="1" w:lastColumn="0" w:noHBand="0" w:noVBand="1"/>
      </w:tblPr>
      <w:tblGrid>
        <w:gridCol w:w="3005"/>
        <w:gridCol w:w="3005"/>
        <w:gridCol w:w="3006"/>
      </w:tblGrid>
      <w:tr w:rsidR="005E4531" w14:paraId="4468F579" w14:textId="77777777" w:rsidTr="00320FD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12DD9D8A" w14:textId="77777777" w:rsidR="005E4531" w:rsidRPr="00320FDF" w:rsidRDefault="006B323D" w:rsidP="009C7E3E">
            <w:pPr>
              <w:jc w:val="both"/>
              <w:rPr>
                <w:rFonts w:ascii="Calibri" w:hAnsi="Calibri"/>
                <w:color w:val="000000"/>
              </w:rPr>
            </w:pPr>
            <w:r w:rsidRPr="00320FDF">
              <w:rPr>
                <w:rFonts w:ascii="Calibri" w:hAnsi="Calibri"/>
                <w:color w:val="000000"/>
              </w:rPr>
              <w:t>PRE Cu-NCB [</w:t>
            </w:r>
            <w:proofErr w:type="spellStart"/>
            <w:r w:rsidRPr="00320FDF">
              <w:rPr>
                <w:rFonts w:ascii="Calibri" w:hAnsi="Calibri"/>
                <w:color w:val="000000"/>
              </w:rPr>
              <w:t>ng</w:t>
            </w:r>
            <w:r w:rsidRPr="00320FDF">
              <w:rPr>
                <w:rFonts w:ascii="Calibri" w:hAnsi="Calibri"/>
                <w:color w:val="000000"/>
                <w:vertAlign w:val="subscript"/>
              </w:rPr>
              <w:t>Cu</w:t>
            </w:r>
            <w:proofErr w:type="spellEnd"/>
            <w:r w:rsidRPr="00320FDF">
              <w:rPr>
                <w:rFonts w:ascii="Calibri" w:hAnsi="Calibri"/>
                <w:color w:val="000000"/>
              </w:rPr>
              <w:t xml:space="preserve"> cm</w:t>
            </w:r>
            <w:r w:rsidRPr="00320FDF">
              <w:rPr>
                <w:rFonts w:ascii="Calibri" w:hAnsi="Calibri"/>
                <w:color w:val="000000"/>
                <w:vertAlign w:val="superscript"/>
              </w:rPr>
              <w:t>-2</w:t>
            </w:r>
            <w:r w:rsidRPr="00320FDF">
              <w:rPr>
                <w:rFonts w:ascii="Calibri" w:hAnsi="Calibri"/>
                <w:color w:val="000000"/>
              </w:rPr>
              <w:t>]</w:t>
            </w:r>
          </w:p>
        </w:tc>
        <w:tc>
          <w:tcPr>
            <w:tcW w:w="3005" w:type="dxa"/>
            <w:noWrap/>
            <w:hideMark/>
          </w:tcPr>
          <w:p w14:paraId="5AF17420" w14:textId="77777777" w:rsidR="005E4531" w:rsidRPr="00320FDF"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PRE Cu-GO  [</w:t>
            </w:r>
            <w:proofErr w:type="spellStart"/>
            <w:r w:rsidRPr="00320FDF">
              <w:rPr>
                <w:rFonts w:ascii="Calibri" w:hAnsi="Calibri"/>
                <w:color w:val="000000"/>
              </w:rPr>
              <w:t>ng</w:t>
            </w:r>
            <w:r w:rsidRPr="00320FDF">
              <w:rPr>
                <w:rFonts w:ascii="Calibri" w:hAnsi="Calibri"/>
                <w:color w:val="000000"/>
                <w:vertAlign w:val="subscript"/>
              </w:rPr>
              <w:t>Cu</w:t>
            </w:r>
            <w:proofErr w:type="spellEnd"/>
            <w:r w:rsidRPr="00320FDF">
              <w:rPr>
                <w:rFonts w:ascii="Calibri" w:hAnsi="Calibri"/>
                <w:color w:val="000000"/>
              </w:rPr>
              <w:t xml:space="preserve"> cm</w:t>
            </w:r>
            <w:r w:rsidRPr="00320FDF">
              <w:rPr>
                <w:rFonts w:ascii="Calibri" w:hAnsi="Calibri"/>
                <w:color w:val="000000"/>
                <w:vertAlign w:val="superscript"/>
              </w:rPr>
              <w:t>-2</w:t>
            </w:r>
            <w:r w:rsidRPr="00320FDF">
              <w:rPr>
                <w:rFonts w:ascii="Calibri" w:hAnsi="Calibri"/>
                <w:color w:val="000000"/>
              </w:rPr>
              <w:t>]</w:t>
            </w:r>
          </w:p>
        </w:tc>
        <w:tc>
          <w:tcPr>
            <w:tcW w:w="3006" w:type="dxa"/>
            <w:noWrap/>
            <w:hideMark/>
          </w:tcPr>
          <w:p w14:paraId="7C00C3EA" w14:textId="77777777" w:rsidR="005E4531" w:rsidRPr="00320FDF"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POST Cu-NCB  [</w:t>
            </w:r>
            <w:proofErr w:type="spellStart"/>
            <w:r w:rsidRPr="00320FDF">
              <w:rPr>
                <w:rFonts w:ascii="Calibri" w:hAnsi="Calibri"/>
                <w:color w:val="000000"/>
              </w:rPr>
              <w:t>ng</w:t>
            </w:r>
            <w:r w:rsidRPr="00320FDF">
              <w:rPr>
                <w:rFonts w:ascii="Calibri" w:hAnsi="Calibri"/>
                <w:color w:val="000000"/>
                <w:vertAlign w:val="subscript"/>
              </w:rPr>
              <w:t>Cu</w:t>
            </w:r>
            <w:proofErr w:type="spellEnd"/>
            <w:r w:rsidRPr="00320FDF">
              <w:rPr>
                <w:rFonts w:ascii="Calibri" w:hAnsi="Calibri"/>
                <w:color w:val="000000"/>
              </w:rPr>
              <w:t xml:space="preserve"> cm</w:t>
            </w:r>
            <w:r w:rsidRPr="00320FDF">
              <w:rPr>
                <w:rFonts w:ascii="Calibri" w:hAnsi="Calibri"/>
                <w:color w:val="000000"/>
                <w:vertAlign w:val="superscript"/>
              </w:rPr>
              <w:t>-2</w:t>
            </w:r>
            <w:r w:rsidRPr="00320FDF">
              <w:rPr>
                <w:rFonts w:ascii="Calibri" w:hAnsi="Calibri"/>
                <w:color w:val="000000"/>
              </w:rPr>
              <w:t>]</w:t>
            </w:r>
          </w:p>
        </w:tc>
      </w:tr>
      <w:tr w:rsidR="005E4531" w14:paraId="765C8518" w14:textId="77777777" w:rsidTr="00320F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099DFA67" w14:textId="77777777" w:rsidR="005E4531" w:rsidRPr="00320FDF" w:rsidRDefault="006B323D" w:rsidP="009C7E3E">
            <w:pPr>
              <w:jc w:val="both"/>
              <w:rPr>
                <w:rFonts w:ascii="Calibri" w:hAnsi="Calibri"/>
                <w:color w:val="000000"/>
              </w:rPr>
            </w:pPr>
            <w:r w:rsidRPr="00320FDF">
              <w:rPr>
                <w:rFonts w:ascii="Calibri" w:hAnsi="Calibri"/>
                <w:color w:val="000000"/>
              </w:rPr>
              <w:t>307</w:t>
            </w:r>
          </w:p>
        </w:tc>
        <w:tc>
          <w:tcPr>
            <w:tcW w:w="3005" w:type="dxa"/>
            <w:noWrap/>
            <w:hideMark/>
          </w:tcPr>
          <w:p w14:paraId="0C9BF3EC"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285</w:t>
            </w:r>
          </w:p>
        </w:tc>
        <w:tc>
          <w:tcPr>
            <w:tcW w:w="3006" w:type="dxa"/>
            <w:noWrap/>
            <w:hideMark/>
          </w:tcPr>
          <w:p w14:paraId="55E9688B"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429</w:t>
            </w:r>
          </w:p>
        </w:tc>
      </w:tr>
      <w:tr w:rsidR="005E4531" w14:paraId="0339AA7F" w14:textId="77777777" w:rsidTr="00320FDF">
        <w:trPr>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566AD970" w14:textId="77777777" w:rsidR="005E4531" w:rsidRPr="00320FDF" w:rsidRDefault="006B323D" w:rsidP="009C7E3E">
            <w:pPr>
              <w:jc w:val="both"/>
              <w:rPr>
                <w:rFonts w:ascii="Calibri" w:hAnsi="Calibri"/>
                <w:color w:val="000000"/>
              </w:rPr>
            </w:pPr>
            <w:r w:rsidRPr="00320FDF">
              <w:rPr>
                <w:rFonts w:ascii="Calibri" w:hAnsi="Calibri"/>
                <w:color w:val="000000"/>
              </w:rPr>
              <w:t>below LOD</w:t>
            </w:r>
          </w:p>
        </w:tc>
        <w:tc>
          <w:tcPr>
            <w:tcW w:w="3005" w:type="dxa"/>
            <w:noWrap/>
            <w:hideMark/>
          </w:tcPr>
          <w:p w14:paraId="5C2470EE" w14:textId="77777777" w:rsidR="005E4531" w:rsidRPr="00320FDF"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548</w:t>
            </w:r>
          </w:p>
        </w:tc>
        <w:tc>
          <w:tcPr>
            <w:tcW w:w="3006" w:type="dxa"/>
            <w:noWrap/>
            <w:hideMark/>
          </w:tcPr>
          <w:p w14:paraId="7D0D5318" w14:textId="77777777" w:rsidR="005E4531" w:rsidRPr="00320FDF"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183</w:t>
            </w:r>
          </w:p>
        </w:tc>
      </w:tr>
      <w:tr w:rsidR="005E4531" w14:paraId="31401F56" w14:textId="77777777" w:rsidTr="00320F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564E7778" w14:textId="77777777" w:rsidR="005E4531" w:rsidRPr="00320FDF" w:rsidRDefault="006B323D" w:rsidP="009C7E3E">
            <w:pPr>
              <w:jc w:val="both"/>
              <w:rPr>
                <w:rFonts w:ascii="Calibri" w:hAnsi="Calibri"/>
                <w:color w:val="000000"/>
              </w:rPr>
            </w:pPr>
            <w:r w:rsidRPr="00320FDF">
              <w:rPr>
                <w:rFonts w:ascii="Calibri" w:hAnsi="Calibri"/>
                <w:color w:val="000000"/>
              </w:rPr>
              <w:t>below LOD</w:t>
            </w:r>
          </w:p>
        </w:tc>
        <w:tc>
          <w:tcPr>
            <w:tcW w:w="3005" w:type="dxa"/>
            <w:noWrap/>
            <w:hideMark/>
          </w:tcPr>
          <w:p w14:paraId="1B4A0C51"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359</w:t>
            </w:r>
          </w:p>
        </w:tc>
        <w:tc>
          <w:tcPr>
            <w:tcW w:w="3006" w:type="dxa"/>
            <w:noWrap/>
            <w:hideMark/>
          </w:tcPr>
          <w:p w14:paraId="02C7421E"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379</w:t>
            </w:r>
          </w:p>
        </w:tc>
      </w:tr>
      <w:tr w:rsidR="005E4531" w14:paraId="20B1C34E" w14:textId="77777777" w:rsidTr="00320FDF">
        <w:trPr>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03FF070E" w14:textId="77777777" w:rsidR="005E4531" w:rsidRPr="00320FDF" w:rsidRDefault="005E4531" w:rsidP="009C7E3E">
            <w:pPr>
              <w:jc w:val="both"/>
              <w:rPr>
                <w:rFonts w:ascii="Calibri" w:hAnsi="Calibri"/>
                <w:color w:val="000000"/>
              </w:rPr>
            </w:pPr>
          </w:p>
        </w:tc>
        <w:tc>
          <w:tcPr>
            <w:tcW w:w="3005" w:type="dxa"/>
            <w:noWrap/>
            <w:hideMark/>
          </w:tcPr>
          <w:p w14:paraId="69BE6246" w14:textId="77777777" w:rsidR="005E4531" w:rsidRPr="00320FDF"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AVERAGE PRE</w:t>
            </w:r>
          </w:p>
        </w:tc>
        <w:tc>
          <w:tcPr>
            <w:tcW w:w="3006" w:type="dxa"/>
            <w:noWrap/>
            <w:hideMark/>
          </w:tcPr>
          <w:p w14:paraId="47CD0E7E" w14:textId="77777777" w:rsidR="005E4531" w:rsidRPr="00320FDF"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STDEV PRE</w:t>
            </w:r>
          </w:p>
        </w:tc>
      </w:tr>
      <w:tr w:rsidR="005E4531" w14:paraId="24F5EB79" w14:textId="77777777" w:rsidTr="00320F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5E9E3E68" w14:textId="77777777" w:rsidR="005E4531" w:rsidRPr="00320FDF" w:rsidRDefault="005E4531" w:rsidP="009C7E3E">
            <w:pPr>
              <w:jc w:val="both"/>
              <w:rPr>
                <w:rFonts w:ascii="Calibri" w:hAnsi="Calibri"/>
                <w:color w:val="000000"/>
              </w:rPr>
            </w:pPr>
          </w:p>
        </w:tc>
        <w:tc>
          <w:tcPr>
            <w:tcW w:w="3005" w:type="dxa"/>
            <w:noWrap/>
            <w:hideMark/>
          </w:tcPr>
          <w:p w14:paraId="77CD0906"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397</w:t>
            </w:r>
          </w:p>
        </w:tc>
        <w:tc>
          <w:tcPr>
            <w:tcW w:w="3006" w:type="dxa"/>
            <w:noWrap/>
            <w:hideMark/>
          </w:tcPr>
          <w:p w14:paraId="0FE024F1"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111</w:t>
            </w:r>
          </w:p>
        </w:tc>
      </w:tr>
      <w:tr w:rsidR="005E4531" w14:paraId="42A2744C" w14:textId="77777777" w:rsidTr="00320FDF">
        <w:trPr>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09574419" w14:textId="77777777" w:rsidR="005E4531" w:rsidRPr="00320FDF" w:rsidRDefault="005E4531" w:rsidP="009C7E3E">
            <w:pPr>
              <w:jc w:val="both"/>
              <w:rPr>
                <w:rFonts w:ascii="Calibri" w:hAnsi="Calibri"/>
                <w:color w:val="000000"/>
              </w:rPr>
            </w:pPr>
          </w:p>
        </w:tc>
        <w:tc>
          <w:tcPr>
            <w:tcW w:w="3005" w:type="dxa"/>
            <w:noWrap/>
            <w:hideMark/>
          </w:tcPr>
          <w:p w14:paraId="73DC1CF7" w14:textId="77777777" w:rsidR="005E4531" w:rsidRPr="00320FDF"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AVERAGE POST</w:t>
            </w:r>
          </w:p>
        </w:tc>
        <w:tc>
          <w:tcPr>
            <w:tcW w:w="3006" w:type="dxa"/>
            <w:noWrap/>
            <w:hideMark/>
          </w:tcPr>
          <w:p w14:paraId="5E501E2C" w14:textId="77777777" w:rsidR="005E4531" w:rsidRPr="00320FDF"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320FDF">
              <w:rPr>
                <w:rFonts w:ascii="Calibri" w:hAnsi="Calibri"/>
                <w:color w:val="000000"/>
              </w:rPr>
              <w:t>STDEV POST</w:t>
            </w:r>
          </w:p>
        </w:tc>
      </w:tr>
      <w:tr w:rsidR="005E4531" w14:paraId="5AD6770C" w14:textId="77777777" w:rsidTr="00320FD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005" w:type="dxa"/>
            <w:noWrap/>
            <w:hideMark/>
          </w:tcPr>
          <w:p w14:paraId="6D545A2E" w14:textId="77777777" w:rsidR="005E4531" w:rsidRPr="00320FDF" w:rsidRDefault="005E4531" w:rsidP="009C7E3E">
            <w:pPr>
              <w:jc w:val="both"/>
              <w:rPr>
                <w:rFonts w:ascii="Calibri" w:hAnsi="Calibri"/>
                <w:color w:val="000000"/>
              </w:rPr>
            </w:pPr>
          </w:p>
        </w:tc>
        <w:tc>
          <w:tcPr>
            <w:tcW w:w="3005" w:type="dxa"/>
            <w:noWrap/>
            <w:hideMark/>
          </w:tcPr>
          <w:p w14:paraId="581476FE"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330</w:t>
            </w:r>
          </w:p>
        </w:tc>
        <w:tc>
          <w:tcPr>
            <w:tcW w:w="3006" w:type="dxa"/>
            <w:noWrap/>
            <w:hideMark/>
          </w:tcPr>
          <w:p w14:paraId="2425D7D9" w14:textId="77777777" w:rsidR="005E4531" w:rsidRPr="00320FDF"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320FDF">
              <w:rPr>
                <w:rFonts w:ascii="Calibri" w:hAnsi="Calibri"/>
                <w:color w:val="000000"/>
              </w:rPr>
              <w:t>106</w:t>
            </w:r>
          </w:p>
        </w:tc>
      </w:tr>
    </w:tbl>
    <w:p w14:paraId="70A1F1AE" w14:textId="77777777" w:rsidR="005E4531" w:rsidRDefault="005E4531" w:rsidP="00320FDF">
      <w:pPr>
        <w:spacing w:after="100" w:afterAutospacing="1" w:line="360" w:lineRule="auto"/>
        <w:jc w:val="both"/>
        <w:rPr>
          <w:rFonts w:ascii="Arial" w:hAnsi="Arial" w:cs="Arial"/>
          <w:lang w:val="en-US"/>
        </w:rPr>
      </w:pPr>
    </w:p>
    <w:p w14:paraId="10C10504" w14:textId="09088568" w:rsidR="005E4531" w:rsidRDefault="006B323D" w:rsidP="00320FDF">
      <w:pPr>
        <w:spacing w:after="100" w:afterAutospacing="1" w:line="360" w:lineRule="auto"/>
        <w:jc w:val="both"/>
        <w:rPr>
          <w:rFonts w:ascii="Arial" w:hAnsi="Arial" w:cs="Arial"/>
          <w:sz w:val="28"/>
          <w:lang w:val="en-US"/>
        </w:rPr>
      </w:pPr>
      <w:r>
        <w:rPr>
          <w:rFonts w:ascii="Arial" w:hAnsi="Arial" w:cs="Arial"/>
          <w:sz w:val="28"/>
          <w:lang w:val="en-US"/>
        </w:rPr>
        <w:lastRenderedPageBreak/>
        <w:t xml:space="preserve">Note </w:t>
      </w:r>
      <w:r w:rsidR="006A7A1C" w:rsidRPr="00FF5897">
        <w:rPr>
          <w:rFonts w:ascii="Arial" w:hAnsi="Arial" w:cs="Arial"/>
          <w:sz w:val="28"/>
          <w:lang w:val="en-US"/>
        </w:rPr>
        <w:t>S</w:t>
      </w:r>
      <w:r w:rsidR="006A7A1C">
        <w:rPr>
          <w:rFonts w:ascii="Arial" w:hAnsi="Arial" w:cs="Arial"/>
          <w:sz w:val="28"/>
          <w:lang w:val="en-US"/>
        </w:rPr>
        <w:t>8</w:t>
      </w:r>
      <w:r>
        <w:rPr>
          <w:rFonts w:ascii="Arial" w:hAnsi="Arial" w:cs="Arial"/>
          <w:sz w:val="28"/>
          <w:lang w:val="en-US"/>
        </w:rPr>
        <w:t>.7 In Situ XAS experiment</w:t>
      </w:r>
    </w:p>
    <w:p w14:paraId="57EA25F2" w14:textId="2F0B2C43" w:rsidR="005E4531" w:rsidRDefault="006B323D" w:rsidP="00320FDF">
      <w:pPr>
        <w:spacing w:after="100" w:afterAutospacing="1" w:line="360" w:lineRule="auto"/>
        <w:jc w:val="both"/>
        <w:rPr>
          <w:rFonts w:ascii="Arial" w:hAnsi="Arial" w:cs="Arial"/>
          <w:lang w:val="en-US"/>
        </w:rPr>
      </w:pPr>
      <w:r>
        <w:rPr>
          <w:rFonts w:ascii="Arial" w:hAnsi="Arial" w:cs="Arial"/>
          <w:b/>
          <w:lang w:val="en-US"/>
        </w:rPr>
        <w:t xml:space="preserve">Table S10. </w:t>
      </w:r>
      <w:r>
        <w:rPr>
          <w:rFonts w:ascii="Arial" w:hAnsi="Arial" w:cs="Arial"/>
          <w:lang w:val="en-US"/>
        </w:rPr>
        <w:t xml:space="preserve">Airbrush experiment of the </w:t>
      </w:r>
      <w:proofErr w:type="spellStart"/>
      <w:r>
        <w:rPr>
          <w:rFonts w:ascii="Arial" w:hAnsi="Arial" w:cs="Arial"/>
          <w:lang w:val="en-US"/>
        </w:rPr>
        <w:t>CuO</w:t>
      </w:r>
      <w:proofErr w:type="spellEnd"/>
      <w:r>
        <w:rPr>
          <w:rFonts w:ascii="Arial" w:hAnsi="Arial" w:cs="Arial"/>
          <w:lang w:val="en-US"/>
        </w:rPr>
        <w:t>-NCB catalyst on Kapton foil.</w:t>
      </w:r>
    </w:p>
    <w:p w14:paraId="4CBE974B" w14:textId="77777777" w:rsidR="005E4531" w:rsidRDefault="005E4531" w:rsidP="00320FDF">
      <w:pPr>
        <w:spacing w:after="100" w:afterAutospacing="1" w:line="360" w:lineRule="auto"/>
        <w:jc w:val="both"/>
        <w:rPr>
          <w:rFonts w:ascii="Arial" w:hAnsi="Arial" w:cs="Arial"/>
          <w:sz w:val="28"/>
          <w:lang w:val="en-US"/>
        </w:rPr>
      </w:pPr>
    </w:p>
    <w:tbl>
      <w:tblPr>
        <w:tblStyle w:val="PlainTable2"/>
        <w:tblW w:w="8748" w:type="dxa"/>
        <w:tblLook w:val="04A0" w:firstRow="1" w:lastRow="0" w:firstColumn="1" w:lastColumn="0" w:noHBand="0" w:noVBand="1"/>
      </w:tblPr>
      <w:tblGrid>
        <w:gridCol w:w="3778"/>
        <w:gridCol w:w="2485"/>
        <w:gridCol w:w="2485"/>
      </w:tblGrid>
      <w:tr w:rsidR="005E4531" w14:paraId="37966955" w14:textId="77777777" w:rsidTr="00D96832">
        <w:trPr>
          <w:cnfStyle w:val="100000000000" w:firstRow="1" w:lastRow="0"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3778" w:type="dxa"/>
            <w:noWrap/>
            <w:hideMark/>
          </w:tcPr>
          <w:p w14:paraId="46BF050B" w14:textId="77777777" w:rsidR="005E4531" w:rsidRDefault="006B323D" w:rsidP="009C7E3E">
            <w:pPr>
              <w:jc w:val="both"/>
              <w:rPr>
                <w:rFonts w:ascii="Arial" w:eastAsia="Times New Roman" w:hAnsi="Arial" w:cs="Arial"/>
                <w:sz w:val="24"/>
                <w:szCs w:val="24"/>
              </w:rPr>
            </w:pPr>
            <w:r w:rsidRPr="00320FDF">
              <w:rPr>
                <w:rFonts w:ascii="Arial" w:hAnsi="Arial"/>
                <w:sz w:val="24"/>
              </w:rPr>
              <w:t>Electrode</w:t>
            </w:r>
          </w:p>
        </w:tc>
        <w:tc>
          <w:tcPr>
            <w:tcW w:w="2485" w:type="dxa"/>
            <w:noWrap/>
            <w:hideMark/>
          </w:tcPr>
          <w:p w14:paraId="293146F2" w14:textId="2EDD9618"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20FDF">
              <w:rPr>
                <w:rFonts w:ascii="Arial" w:hAnsi="Arial"/>
                <w:color w:val="000000"/>
              </w:rPr>
              <w:t>Mass loading [</w:t>
            </w:r>
            <w:r w:rsidR="00AF6834">
              <w:rPr>
                <w:rFonts w:ascii="Arial" w:hAnsi="Arial"/>
                <w:color w:val="000000"/>
              </w:rPr>
              <w:t>m</w:t>
            </w:r>
            <w:r w:rsidRPr="00320FDF">
              <w:rPr>
                <w:rFonts w:ascii="Arial" w:hAnsi="Arial"/>
                <w:color w:val="000000"/>
              </w:rPr>
              <w:t>g</w:t>
            </w:r>
            <w:r w:rsidR="00425E97">
              <w:rPr>
                <w:rFonts w:ascii="Arial" w:hAnsi="Arial"/>
                <w:color w:val="000000"/>
              </w:rPr>
              <w:t>/cm</w:t>
            </w:r>
            <w:r w:rsidR="00425E97" w:rsidRPr="00425E97">
              <w:rPr>
                <w:rFonts w:ascii="Arial" w:hAnsi="Arial"/>
                <w:color w:val="000000"/>
                <w:vertAlign w:val="superscript"/>
              </w:rPr>
              <w:t>2</w:t>
            </w:r>
            <w:r w:rsidRPr="00320FDF">
              <w:rPr>
                <w:rFonts w:ascii="Arial" w:hAnsi="Arial"/>
                <w:color w:val="000000"/>
              </w:rPr>
              <w:t>]</w:t>
            </w:r>
          </w:p>
        </w:tc>
        <w:tc>
          <w:tcPr>
            <w:tcW w:w="2485" w:type="dxa"/>
            <w:noWrap/>
            <w:hideMark/>
          </w:tcPr>
          <w:p w14:paraId="627B847C"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20FDF">
              <w:rPr>
                <w:rFonts w:ascii="Arial" w:hAnsi="Arial"/>
                <w:color w:val="000000"/>
              </w:rPr>
              <w:t>SD (3 independent measurements)</w:t>
            </w:r>
          </w:p>
        </w:tc>
      </w:tr>
      <w:tr w:rsidR="005E4531" w14:paraId="53CCB8C1" w14:textId="77777777" w:rsidTr="00D96832">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3778" w:type="dxa"/>
            <w:noWrap/>
            <w:hideMark/>
          </w:tcPr>
          <w:p w14:paraId="2053A504" w14:textId="77777777" w:rsidR="005E4531" w:rsidRDefault="006B323D" w:rsidP="009C7E3E">
            <w:pPr>
              <w:jc w:val="both"/>
              <w:rPr>
                <w:rFonts w:ascii="Arial" w:eastAsia="Times New Roman" w:hAnsi="Arial" w:cs="Arial"/>
                <w:color w:val="000000"/>
              </w:rPr>
            </w:pPr>
            <w:r>
              <w:rPr>
                <w:rFonts w:ascii="Arial" w:eastAsia="Times New Roman" w:hAnsi="Arial" w:cs="Arial"/>
                <w:color w:val="000000"/>
              </w:rPr>
              <w:t>Cu-NCB-1x-N1</w:t>
            </w:r>
          </w:p>
        </w:tc>
        <w:tc>
          <w:tcPr>
            <w:tcW w:w="2485" w:type="dxa"/>
            <w:noWrap/>
            <w:hideMark/>
          </w:tcPr>
          <w:p w14:paraId="43EE5AB4" w14:textId="4DD5FF23" w:rsidR="005E4531"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20FDF">
              <w:rPr>
                <w:rFonts w:ascii="Arial" w:hAnsi="Arial"/>
                <w:color w:val="000000"/>
              </w:rPr>
              <w:t>0.</w:t>
            </w:r>
            <w:r w:rsidR="004A3321">
              <w:rPr>
                <w:rFonts w:ascii="Arial" w:hAnsi="Arial"/>
                <w:color w:val="000000"/>
              </w:rPr>
              <w:t>33</w:t>
            </w:r>
          </w:p>
        </w:tc>
        <w:tc>
          <w:tcPr>
            <w:tcW w:w="2485" w:type="dxa"/>
            <w:noWrap/>
            <w:hideMark/>
          </w:tcPr>
          <w:p w14:paraId="2A1A7379" w14:textId="77777777" w:rsidR="005E4531"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0.03</w:t>
            </w:r>
          </w:p>
        </w:tc>
      </w:tr>
      <w:tr w:rsidR="005E4531" w14:paraId="54318FAB" w14:textId="77777777" w:rsidTr="00D96832">
        <w:trPr>
          <w:trHeight w:val="758"/>
        </w:trPr>
        <w:tc>
          <w:tcPr>
            <w:cnfStyle w:val="001000000000" w:firstRow="0" w:lastRow="0" w:firstColumn="1" w:lastColumn="0" w:oddVBand="0" w:evenVBand="0" w:oddHBand="0" w:evenHBand="0" w:firstRowFirstColumn="0" w:firstRowLastColumn="0" w:lastRowFirstColumn="0" w:lastRowLastColumn="0"/>
            <w:tcW w:w="3778" w:type="dxa"/>
            <w:noWrap/>
            <w:hideMark/>
          </w:tcPr>
          <w:p w14:paraId="6FD8AF1C" w14:textId="77777777" w:rsidR="005E4531" w:rsidRDefault="006B323D" w:rsidP="009C7E3E">
            <w:pPr>
              <w:jc w:val="both"/>
              <w:rPr>
                <w:rFonts w:ascii="Arial" w:eastAsia="Times New Roman" w:hAnsi="Arial" w:cs="Arial"/>
                <w:color w:val="000000"/>
              </w:rPr>
            </w:pPr>
            <w:r>
              <w:rPr>
                <w:rFonts w:ascii="Arial" w:eastAsia="Times New Roman" w:hAnsi="Arial" w:cs="Arial"/>
                <w:color w:val="000000"/>
              </w:rPr>
              <w:t>Cu-NCB-1x-N2</w:t>
            </w:r>
          </w:p>
        </w:tc>
        <w:tc>
          <w:tcPr>
            <w:tcW w:w="2485" w:type="dxa"/>
            <w:noWrap/>
            <w:hideMark/>
          </w:tcPr>
          <w:p w14:paraId="66C2ADB2" w14:textId="33F86AF3"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320FDF">
              <w:rPr>
                <w:rFonts w:ascii="Arial" w:hAnsi="Arial"/>
                <w:color w:val="000000"/>
              </w:rPr>
              <w:t>0.3</w:t>
            </w:r>
            <w:r w:rsidR="00BE54FE">
              <w:rPr>
                <w:rFonts w:ascii="Arial" w:hAnsi="Arial"/>
                <w:color w:val="000000"/>
              </w:rPr>
              <w:t>8</w:t>
            </w:r>
          </w:p>
        </w:tc>
        <w:tc>
          <w:tcPr>
            <w:tcW w:w="2485" w:type="dxa"/>
            <w:noWrap/>
            <w:hideMark/>
          </w:tcPr>
          <w:p w14:paraId="558E6E7D"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0.04</w:t>
            </w:r>
          </w:p>
        </w:tc>
      </w:tr>
      <w:tr w:rsidR="005E4531" w14:paraId="5ADF60B8" w14:textId="77777777" w:rsidTr="00D96832">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3778" w:type="dxa"/>
            <w:noWrap/>
            <w:hideMark/>
          </w:tcPr>
          <w:p w14:paraId="0C61804C" w14:textId="77777777" w:rsidR="005E4531" w:rsidRDefault="006B323D" w:rsidP="009C7E3E">
            <w:pPr>
              <w:jc w:val="both"/>
              <w:rPr>
                <w:rFonts w:ascii="Arial" w:eastAsia="Times New Roman" w:hAnsi="Arial" w:cs="Arial"/>
                <w:color w:val="000000"/>
              </w:rPr>
            </w:pPr>
            <w:r>
              <w:rPr>
                <w:rFonts w:ascii="Arial" w:eastAsia="Times New Roman" w:hAnsi="Arial" w:cs="Arial"/>
                <w:color w:val="000000"/>
              </w:rPr>
              <w:t>Cu-NCB-1x-N3</w:t>
            </w:r>
          </w:p>
        </w:tc>
        <w:tc>
          <w:tcPr>
            <w:tcW w:w="2485" w:type="dxa"/>
            <w:noWrap/>
            <w:hideMark/>
          </w:tcPr>
          <w:p w14:paraId="138389AD" w14:textId="419186DE" w:rsidR="005E4531" w:rsidRPr="00BE54FE"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0.</w:t>
            </w:r>
            <w:r w:rsidR="00BE54FE">
              <w:rPr>
                <w:rFonts w:ascii="Arial" w:eastAsia="Times New Roman" w:hAnsi="Arial" w:cs="Arial"/>
                <w:color w:val="000000"/>
              </w:rPr>
              <w:t>41</w:t>
            </w:r>
          </w:p>
        </w:tc>
        <w:tc>
          <w:tcPr>
            <w:tcW w:w="2485" w:type="dxa"/>
            <w:noWrap/>
            <w:hideMark/>
          </w:tcPr>
          <w:p w14:paraId="38456FD0" w14:textId="77777777" w:rsidR="005E4531"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20FDF">
              <w:rPr>
                <w:rFonts w:ascii="Arial" w:hAnsi="Arial"/>
                <w:color w:val="000000"/>
              </w:rPr>
              <w:t>0.03</w:t>
            </w:r>
          </w:p>
        </w:tc>
      </w:tr>
      <w:tr w:rsidR="005E4531" w14:paraId="755A4DBE" w14:textId="77777777" w:rsidTr="00D96832">
        <w:trPr>
          <w:trHeight w:val="758"/>
        </w:trPr>
        <w:tc>
          <w:tcPr>
            <w:cnfStyle w:val="001000000000" w:firstRow="0" w:lastRow="0" w:firstColumn="1" w:lastColumn="0" w:oddVBand="0" w:evenVBand="0" w:oddHBand="0" w:evenHBand="0" w:firstRowFirstColumn="0" w:firstRowLastColumn="0" w:lastRowFirstColumn="0" w:lastRowLastColumn="0"/>
            <w:tcW w:w="3778" w:type="dxa"/>
            <w:noWrap/>
            <w:hideMark/>
          </w:tcPr>
          <w:p w14:paraId="468E4ABC" w14:textId="77777777" w:rsidR="005E4531" w:rsidRDefault="006B323D" w:rsidP="009C7E3E">
            <w:pPr>
              <w:jc w:val="both"/>
              <w:rPr>
                <w:rFonts w:ascii="Arial" w:eastAsia="Times New Roman" w:hAnsi="Arial" w:cs="Arial"/>
                <w:color w:val="000000"/>
              </w:rPr>
            </w:pPr>
            <w:r>
              <w:rPr>
                <w:rFonts w:ascii="Arial" w:eastAsia="Times New Roman" w:hAnsi="Arial" w:cs="Arial"/>
                <w:color w:val="000000"/>
              </w:rPr>
              <w:t>Cu-NCB-1x-N4</w:t>
            </w:r>
          </w:p>
        </w:tc>
        <w:tc>
          <w:tcPr>
            <w:tcW w:w="2485" w:type="dxa"/>
            <w:noWrap/>
            <w:hideMark/>
          </w:tcPr>
          <w:p w14:paraId="5BD5EA9B" w14:textId="3925A1D7" w:rsidR="005E4531" w:rsidRPr="00BE54FE"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0.3</w:t>
            </w:r>
            <w:r w:rsidR="00BE54FE">
              <w:rPr>
                <w:rFonts w:ascii="Arial" w:eastAsia="Times New Roman" w:hAnsi="Arial" w:cs="Arial"/>
                <w:color w:val="000000"/>
              </w:rPr>
              <w:t>9</w:t>
            </w:r>
          </w:p>
        </w:tc>
        <w:tc>
          <w:tcPr>
            <w:tcW w:w="2485" w:type="dxa"/>
            <w:noWrap/>
            <w:hideMark/>
          </w:tcPr>
          <w:p w14:paraId="3896341F"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0.01</w:t>
            </w:r>
          </w:p>
        </w:tc>
      </w:tr>
      <w:tr w:rsidR="005E4531" w14:paraId="3A7552A7" w14:textId="77777777" w:rsidTr="00D96832">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3778" w:type="dxa"/>
            <w:noWrap/>
            <w:hideMark/>
          </w:tcPr>
          <w:p w14:paraId="246572FA" w14:textId="77777777" w:rsidR="005E4531" w:rsidRDefault="006B323D" w:rsidP="009C7E3E">
            <w:pPr>
              <w:jc w:val="both"/>
              <w:rPr>
                <w:rFonts w:ascii="Arial" w:eastAsia="Times New Roman" w:hAnsi="Arial" w:cs="Arial"/>
                <w:color w:val="000000"/>
              </w:rPr>
            </w:pPr>
            <w:r>
              <w:rPr>
                <w:rFonts w:ascii="Arial" w:eastAsia="Times New Roman" w:hAnsi="Arial" w:cs="Arial"/>
                <w:color w:val="000000"/>
              </w:rPr>
              <w:t>Cu-NCB-1x-N5</w:t>
            </w:r>
          </w:p>
        </w:tc>
        <w:tc>
          <w:tcPr>
            <w:tcW w:w="2485" w:type="dxa"/>
            <w:noWrap/>
            <w:hideMark/>
          </w:tcPr>
          <w:p w14:paraId="62F8AB86" w14:textId="325247F1" w:rsidR="005E4531"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20FDF">
              <w:rPr>
                <w:rFonts w:ascii="Arial" w:hAnsi="Arial"/>
                <w:color w:val="000000"/>
              </w:rPr>
              <w:t>0.</w:t>
            </w:r>
            <w:r w:rsidR="00D80BE9">
              <w:rPr>
                <w:rFonts w:ascii="Arial" w:hAnsi="Arial"/>
                <w:color w:val="000000"/>
              </w:rPr>
              <w:t>35</w:t>
            </w:r>
          </w:p>
        </w:tc>
        <w:tc>
          <w:tcPr>
            <w:tcW w:w="2485" w:type="dxa"/>
            <w:noWrap/>
            <w:hideMark/>
          </w:tcPr>
          <w:p w14:paraId="78D91130" w14:textId="77777777" w:rsidR="005E4531" w:rsidRDefault="006B323D" w:rsidP="009C7E3E">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320FDF">
              <w:rPr>
                <w:rFonts w:ascii="Arial" w:hAnsi="Arial"/>
                <w:color w:val="000000"/>
              </w:rPr>
              <w:t>0.06</w:t>
            </w:r>
          </w:p>
        </w:tc>
      </w:tr>
      <w:tr w:rsidR="005E4531" w14:paraId="788043C0" w14:textId="77777777" w:rsidTr="00D96832">
        <w:trPr>
          <w:trHeight w:val="758"/>
        </w:trPr>
        <w:tc>
          <w:tcPr>
            <w:cnfStyle w:val="001000000000" w:firstRow="0" w:lastRow="0" w:firstColumn="1" w:lastColumn="0" w:oddVBand="0" w:evenVBand="0" w:oddHBand="0" w:evenHBand="0" w:firstRowFirstColumn="0" w:firstRowLastColumn="0" w:lastRowFirstColumn="0" w:lastRowLastColumn="0"/>
            <w:tcW w:w="3778" w:type="dxa"/>
            <w:noWrap/>
            <w:hideMark/>
          </w:tcPr>
          <w:p w14:paraId="41F0A004" w14:textId="77777777" w:rsidR="005E4531" w:rsidRDefault="006B323D" w:rsidP="009C7E3E">
            <w:pPr>
              <w:jc w:val="both"/>
              <w:rPr>
                <w:rFonts w:ascii="Arial" w:eastAsia="Times New Roman" w:hAnsi="Arial" w:cs="Arial"/>
                <w:color w:val="000000"/>
              </w:rPr>
            </w:pPr>
            <w:r>
              <w:rPr>
                <w:rFonts w:ascii="Arial" w:eastAsia="Times New Roman" w:hAnsi="Arial" w:cs="Arial"/>
                <w:color w:val="000000"/>
              </w:rPr>
              <w:t>Average</w:t>
            </w:r>
          </w:p>
        </w:tc>
        <w:tc>
          <w:tcPr>
            <w:tcW w:w="2485" w:type="dxa"/>
            <w:noWrap/>
            <w:hideMark/>
          </w:tcPr>
          <w:p w14:paraId="4737A101" w14:textId="4D692E66" w:rsidR="005E4531" w:rsidRPr="00D80BE9"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0.</w:t>
            </w:r>
            <w:r w:rsidR="00D80BE9">
              <w:rPr>
                <w:rFonts w:ascii="Arial" w:eastAsia="Times New Roman" w:hAnsi="Arial" w:cs="Arial"/>
                <w:color w:val="000000"/>
              </w:rPr>
              <w:t>3</w:t>
            </w:r>
            <w:r w:rsidR="006857A8">
              <w:rPr>
                <w:rFonts w:ascii="Arial" w:eastAsia="Times New Roman" w:hAnsi="Arial" w:cs="Arial"/>
                <w:color w:val="000000"/>
              </w:rPr>
              <w:t>7</w:t>
            </w:r>
            <w:r w:rsidR="00617B0A">
              <w:rPr>
                <w:rFonts w:ascii="Arial" w:eastAsia="Times New Roman" w:hAnsi="Arial" w:cs="Arial"/>
                <w:color w:val="000000"/>
              </w:rPr>
              <w:t xml:space="preserve"> (0.29</w:t>
            </w:r>
            <w:r w:rsidR="00C0355B">
              <w:rPr>
                <w:rFonts w:ascii="Arial" w:eastAsia="Times New Roman" w:hAnsi="Arial" w:cs="Arial"/>
                <w:color w:val="000000"/>
              </w:rPr>
              <w:t xml:space="preserve"> mg</w:t>
            </w:r>
            <w:r w:rsidR="008379F3">
              <w:rPr>
                <w:rFonts w:ascii="Arial" w:eastAsia="Times New Roman" w:hAnsi="Arial" w:cs="Arial"/>
                <w:color w:val="000000"/>
              </w:rPr>
              <w:t>/cathode)</w:t>
            </w:r>
          </w:p>
        </w:tc>
        <w:tc>
          <w:tcPr>
            <w:tcW w:w="2485" w:type="dxa"/>
            <w:noWrap/>
            <w:hideMark/>
          </w:tcPr>
          <w:p w14:paraId="3C287E40"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0.02</w:t>
            </w:r>
          </w:p>
        </w:tc>
      </w:tr>
    </w:tbl>
    <w:p w14:paraId="577301E7" w14:textId="77777777" w:rsidR="005325EA" w:rsidRDefault="005325EA" w:rsidP="00FD4D0D">
      <w:pPr>
        <w:spacing w:after="100" w:afterAutospacing="1" w:line="360" w:lineRule="auto"/>
        <w:jc w:val="both"/>
        <w:rPr>
          <w:rFonts w:ascii="Arial" w:hAnsi="Arial" w:cs="Arial"/>
          <w:b/>
          <w:bCs/>
          <w:sz w:val="28"/>
          <w:szCs w:val="28"/>
        </w:rPr>
      </w:pPr>
    </w:p>
    <w:p w14:paraId="769FDD60" w14:textId="1E8AB9F2" w:rsidR="005325EA" w:rsidRDefault="005325EA" w:rsidP="00FD4D0D">
      <w:pPr>
        <w:spacing w:after="100" w:afterAutospacing="1" w:line="360" w:lineRule="auto"/>
        <w:jc w:val="both"/>
        <w:rPr>
          <w:rFonts w:ascii="Arial" w:hAnsi="Arial" w:cs="Arial"/>
          <w:b/>
          <w:bCs/>
          <w:sz w:val="28"/>
          <w:szCs w:val="28"/>
        </w:rPr>
      </w:pPr>
      <w:r>
        <w:rPr>
          <w:rFonts w:ascii="Arial" w:hAnsi="Arial" w:cs="Arial"/>
          <w:b/>
          <w:bCs/>
          <w:noProof/>
          <w:sz w:val="28"/>
          <w:szCs w:val="28"/>
        </w:rPr>
        <w:lastRenderedPageBreak/>
        <w:drawing>
          <wp:inline distT="0" distB="0" distL="0" distR="0" wp14:anchorId="4B0C4890" wp14:editId="25DD1B15">
            <wp:extent cx="5731510" cy="4689475"/>
            <wp:effectExtent l="0" t="0" r="2540" b="0"/>
            <wp:docPr id="1582705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05189" name="Picture 1582705189"/>
                    <pic:cNvPicPr/>
                  </pic:nvPicPr>
                  <pic:blipFill>
                    <a:blip r:embed="rId38">
                      <a:extLst>
                        <a:ext uri="{28A0092B-C50C-407E-A947-70E740481C1C}">
                          <a14:useLocalDpi xmlns:a14="http://schemas.microsoft.com/office/drawing/2010/main" val="0"/>
                        </a:ext>
                      </a:extLst>
                    </a:blip>
                    <a:stretch>
                      <a:fillRect/>
                    </a:stretch>
                  </pic:blipFill>
                  <pic:spPr>
                    <a:xfrm>
                      <a:off x="0" y="0"/>
                      <a:ext cx="5731510" cy="4689475"/>
                    </a:xfrm>
                    <a:prstGeom prst="rect">
                      <a:avLst/>
                    </a:prstGeom>
                  </pic:spPr>
                </pic:pic>
              </a:graphicData>
            </a:graphic>
          </wp:inline>
        </w:drawing>
      </w:r>
    </w:p>
    <w:p w14:paraId="2F8A16C1" w14:textId="32248796" w:rsidR="00E7279D" w:rsidRPr="00E7279D" w:rsidRDefault="00E7279D" w:rsidP="00FD4D0D">
      <w:pPr>
        <w:spacing w:after="100" w:afterAutospacing="1" w:line="360" w:lineRule="auto"/>
        <w:jc w:val="both"/>
        <w:rPr>
          <w:rFonts w:ascii="Arial" w:hAnsi="Arial" w:cs="Arial"/>
          <w:b/>
          <w:bCs/>
          <w:sz w:val="28"/>
          <w:szCs w:val="28"/>
          <w:lang w:val="en-US"/>
        </w:rPr>
      </w:pPr>
      <w:r>
        <w:rPr>
          <w:rFonts w:ascii="Arial" w:hAnsi="Arial" w:cs="Arial"/>
          <w:b/>
          <w:bCs/>
          <w:sz w:val="28"/>
          <w:szCs w:val="28"/>
          <w:lang w:val="en-US"/>
        </w:rPr>
        <w:t>Figure S2</w:t>
      </w:r>
      <w:r w:rsidR="00432001">
        <w:rPr>
          <w:rFonts w:ascii="Arial" w:hAnsi="Arial" w:cs="Arial"/>
          <w:b/>
          <w:bCs/>
          <w:sz w:val="28"/>
          <w:szCs w:val="28"/>
          <w:lang w:val="en-US"/>
        </w:rPr>
        <w:t>8</w:t>
      </w:r>
      <w:r>
        <w:rPr>
          <w:rFonts w:ascii="Arial" w:hAnsi="Arial" w:cs="Arial"/>
          <w:b/>
          <w:bCs/>
          <w:sz w:val="28"/>
          <w:szCs w:val="28"/>
          <w:lang w:val="en-US"/>
        </w:rPr>
        <w:t xml:space="preserve">. </w:t>
      </w:r>
      <w:r w:rsidRPr="00E7279D">
        <w:rPr>
          <w:rFonts w:ascii="Arial" w:hAnsi="Arial" w:cs="Arial"/>
          <w:sz w:val="28"/>
          <w:szCs w:val="28"/>
          <w:lang w:val="en-US"/>
        </w:rPr>
        <w:t>Comparison of metallic FCC and BCC clusters.</w:t>
      </w:r>
      <w:r>
        <w:rPr>
          <w:rFonts w:ascii="Arial" w:hAnsi="Arial" w:cs="Arial"/>
          <w:b/>
          <w:bCs/>
          <w:sz w:val="28"/>
          <w:szCs w:val="28"/>
          <w:lang w:val="en-US"/>
        </w:rPr>
        <w:t xml:space="preserve"> </w:t>
      </w:r>
    </w:p>
    <w:p w14:paraId="36A3E508" w14:textId="0BB0D3C3" w:rsidR="00E405BE" w:rsidRDefault="00E405BE" w:rsidP="00FD4D0D">
      <w:pPr>
        <w:spacing w:after="100" w:afterAutospacing="1" w:line="360" w:lineRule="auto"/>
        <w:jc w:val="both"/>
        <w:rPr>
          <w:rFonts w:ascii="Arial" w:hAnsi="Arial" w:cs="Arial"/>
          <w:b/>
          <w:bCs/>
          <w:sz w:val="28"/>
          <w:szCs w:val="28"/>
        </w:rPr>
      </w:pPr>
      <w:r>
        <w:rPr>
          <w:noProof/>
        </w:rPr>
        <w:lastRenderedPageBreak/>
        <w:drawing>
          <wp:inline distT="0" distB="0" distL="0" distR="0" wp14:anchorId="48963521" wp14:editId="458108EE">
            <wp:extent cx="5731510" cy="8435975"/>
            <wp:effectExtent l="0" t="0" r="2540" b="3175"/>
            <wp:docPr id="949971692" name="Picture 949971692"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9">
                      <a:extLst>
                        <a:ext uri="{28A0092B-C50C-407E-A947-70E740481C1C}">
                          <a14:useLocalDpi xmlns:a14="http://schemas.microsoft.com/office/drawing/2010/main" val="0"/>
                        </a:ext>
                      </a:extLst>
                    </a:blip>
                    <a:stretch>
                      <a:fillRect/>
                    </a:stretch>
                  </pic:blipFill>
                  <pic:spPr>
                    <a:xfrm>
                      <a:off x="0" y="0"/>
                      <a:ext cx="5731510" cy="8435975"/>
                    </a:xfrm>
                    <a:prstGeom prst="rect">
                      <a:avLst/>
                    </a:prstGeom>
                  </pic:spPr>
                </pic:pic>
              </a:graphicData>
            </a:graphic>
          </wp:inline>
        </w:drawing>
      </w:r>
    </w:p>
    <w:p w14:paraId="118F5090" w14:textId="77777777" w:rsidR="003C34BF" w:rsidRDefault="006B323D">
      <w:pPr>
        <w:spacing w:line="360" w:lineRule="auto"/>
        <w:jc w:val="both"/>
        <w:rPr>
          <w:rFonts w:ascii="Arial" w:hAnsi="Arial" w:cs="Arial"/>
          <w:sz w:val="24"/>
          <w:szCs w:val="24"/>
          <w:lang w:val="en-US"/>
        </w:rPr>
      </w:pPr>
      <w:r>
        <w:rPr>
          <w:rFonts w:ascii="Arial" w:hAnsi="Arial" w:cs="Arial"/>
          <w:b/>
          <w:bCs/>
          <w:sz w:val="28"/>
          <w:szCs w:val="28"/>
          <w:lang w:val="en-US"/>
        </w:rPr>
        <w:lastRenderedPageBreak/>
        <w:t>Figure S2</w:t>
      </w:r>
      <w:r w:rsidR="00883254">
        <w:rPr>
          <w:rFonts w:ascii="Arial" w:hAnsi="Arial" w:cs="Arial"/>
          <w:b/>
          <w:bCs/>
          <w:sz w:val="28"/>
          <w:szCs w:val="28"/>
          <w:lang w:val="en-US"/>
        </w:rPr>
        <w:t>9</w:t>
      </w:r>
      <w:r>
        <w:rPr>
          <w:rFonts w:ascii="Arial" w:hAnsi="Arial" w:cs="Arial"/>
          <w:b/>
          <w:bCs/>
          <w:sz w:val="28"/>
          <w:szCs w:val="28"/>
          <w:lang w:val="en-US"/>
        </w:rPr>
        <w:t xml:space="preserve">. </w:t>
      </w:r>
      <w:r>
        <w:rPr>
          <w:rFonts w:ascii="Arial" w:hAnsi="Arial" w:cs="Arial"/>
          <w:sz w:val="24"/>
          <w:szCs w:val="24"/>
          <w:lang w:val="en-US"/>
        </w:rPr>
        <w:t>Comparison of simulated XANES spectra for Cu</w:t>
      </w:r>
      <w:r>
        <w:rPr>
          <w:rFonts w:ascii="Arial" w:hAnsi="Arial" w:cs="Arial"/>
          <w:sz w:val="24"/>
          <w:szCs w:val="24"/>
          <w:vertAlign w:val="subscript"/>
          <w:lang w:val="en-US"/>
        </w:rPr>
        <w:t>43</w:t>
      </w:r>
      <w:r>
        <w:rPr>
          <w:rFonts w:ascii="Arial" w:hAnsi="Arial" w:cs="Arial"/>
          <w:sz w:val="24"/>
          <w:szCs w:val="24"/>
          <w:lang w:val="en-US"/>
        </w:rPr>
        <w:t xml:space="preserve"> (A), Cu</w:t>
      </w:r>
      <w:r>
        <w:rPr>
          <w:rFonts w:ascii="Arial" w:hAnsi="Arial" w:cs="Arial"/>
          <w:sz w:val="24"/>
          <w:szCs w:val="24"/>
          <w:vertAlign w:val="subscript"/>
          <w:lang w:val="en-US"/>
        </w:rPr>
        <w:t>55</w:t>
      </w:r>
      <w:r>
        <w:rPr>
          <w:rFonts w:ascii="Arial" w:hAnsi="Arial" w:cs="Arial"/>
          <w:sz w:val="24"/>
          <w:szCs w:val="24"/>
          <w:lang w:val="en-US"/>
        </w:rPr>
        <w:t xml:space="preserve"> (B), and Cu</w:t>
      </w:r>
      <w:r>
        <w:rPr>
          <w:rFonts w:ascii="Arial" w:hAnsi="Arial" w:cs="Arial"/>
          <w:sz w:val="24"/>
          <w:szCs w:val="24"/>
          <w:vertAlign w:val="subscript"/>
          <w:lang w:val="en-US"/>
        </w:rPr>
        <w:t>135</w:t>
      </w:r>
      <w:r>
        <w:rPr>
          <w:rFonts w:ascii="Arial" w:hAnsi="Arial" w:cs="Arial"/>
          <w:sz w:val="24"/>
          <w:szCs w:val="24"/>
          <w:lang w:val="en-US"/>
        </w:rPr>
        <w:t xml:space="preserve"> (C) clusters of varying oxidation state. Comparisons to bulk Cu </w:t>
      </w:r>
      <w:proofErr w:type="spellStart"/>
      <w:r>
        <w:rPr>
          <w:rFonts w:ascii="Arial" w:hAnsi="Arial" w:cs="Arial"/>
          <w:sz w:val="24"/>
          <w:szCs w:val="24"/>
          <w:lang w:val="en-US"/>
        </w:rPr>
        <w:t>fcc</w:t>
      </w:r>
      <w:proofErr w:type="spellEnd"/>
      <w:r>
        <w:rPr>
          <w:rFonts w:ascii="Arial" w:hAnsi="Arial" w:cs="Arial"/>
          <w:sz w:val="24"/>
          <w:szCs w:val="24"/>
          <w:lang w:val="en-US"/>
        </w:rPr>
        <w:t>, Cu(I) oxide and Cu(II) oxide are made in each plot.</w:t>
      </w:r>
    </w:p>
    <w:p w14:paraId="48F48535" w14:textId="60D975F6" w:rsidR="005E4531" w:rsidRDefault="006B323D">
      <w:pPr>
        <w:spacing w:line="360" w:lineRule="auto"/>
        <w:jc w:val="both"/>
        <w:rPr>
          <w:rFonts w:ascii="Arial" w:hAnsi="Arial" w:cs="Arial"/>
          <w:sz w:val="24"/>
          <w:szCs w:val="24"/>
        </w:rPr>
      </w:pPr>
      <w:r>
        <w:rPr>
          <w:rFonts w:ascii="Arial" w:hAnsi="Arial" w:cs="Arial"/>
          <w:b/>
          <w:bCs/>
          <w:sz w:val="24"/>
          <w:szCs w:val="24"/>
        </w:rPr>
        <w:t>Table S</w:t>
      </w:r>
      <w:r>
        <w:rPr>
          <w:rFonts w:ascii="Arial" w:hAnsi="Arial" w:cs="Arial"/>
          <w:b/>
          <w:bCs/>
          <w:sz w:val="24"/>
          <w:szCs w:val="24"/>
          <w:lang w:val="en-US"/>
        </w:rPr>
        <w:t>11</w:t>
      </w:r>
      <w:r>
        <w:rPr>
          <w:rFonts w:ascii="Arial" w:hAnsi="Arial" w:cs="Arial"/>
          <w:b/>
          <w:bCs/>
          <w:sz w:val="24"/>
          <w:szCs w:val="24"/>
        </w:rPr>
        <w:t xml:space="preserve">. </w:t>
      </w:r>
      <w:r>
        <w:rPr>
          <w:rFonts w:ascii="Arial" w:hAnsi="Arial" w:cs="Arial"/>
          <w:sz w:val="24"/>
          <w:szCs w:val="24"/>
        </w:rPr>
        <w:t xml:space="preserve">Extended X-ray absorption fine structure (EXAFS) fitting parameters of the </w:t>
      </w:r>
      <w:r>
        <w:rPr>
          <w:rFonts w:ascii="Arial" w:hAnsi="Arial" w:cs="Arial"/>
          <w:sz w:val="24"/>
          <w:szCs w:val="24"/>
          <w:lang w:val="en-US"/>
        </w:rPr>
        <w:t>Cu-NCB catalyst at -300 mV vs RHE</w:t>
      </w:r>
      <w:r>
        <w:rPr>
          <w:rFonts w:ascii="Arial" w:hAnsi="Arial" w:cs="Arial"/>
          <w:sz w:val="24"/>
          <w:szCs w:val="24"/>
        </w:rPr>
        <w:t>.</w:t>
      </w:r>
    </w:p>
    <w:tbl>
      <w:tblPr>
        <w:tblW w:w="9073" w:type="dxa"/>
        <w:tblLayout w:type="fixed"/>
        <w:tblCellMar>
          <w:left w:w="0" w:type="dxa"/>
          <w:right w:w="0" w:type="dxa"/>
        </w:tblCellMar>
        <w:tblLook w:val="0420" w:firstRow="1" w:lastRow="0" w:firstColumn="0" w:lastColumn="0" w:noHBand="0" w:noVBand="1"/>
      </w:tblPr>
      <w:tblGrid>
        <w:gridCol w:w="1460"/>
        <w:gridCol w:w="1210"/>
        <w:gridCol w:w="1472"/>
        <w:gridCol w:w="1207"/>
        <w:gridCol w:w="1241"/>
        <w:gridCol w:w="781"/>
        <w:gridCol w:w="1014"/>
        <w:gridCol w:w="688"/>
      </w:tblGrid>
      <w:tr w:rsidR="00D96832" w14:paraId="6D004943" w14:textId="69D98848" w:rsidTr="00D96832">
        <w:trPr>
          <w:trHeight w:val="1015"/>
        </w:trPr>
        <w:tc>
          <w:tcPr>
            <w:tcW w:w="146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67A71D84" w14:textId="77777777" w:rsidR="00D96832" w:rsidRDefault="00D96832" w:rsidP="007C5764">
            <w:pPr>
              <w:spacing w:line="360" w:lineRule="auto"/>
              <w:jc w:val="both"/>
              <w:rPr>
                <w:rFonts w:ascii="Arial" w:hAnsi="Arial" w:cs="Arial"/>
                <w:sz w:val="24"/>
                <w:szCs w:val="24"/>
              </w:rPr>
            </w:pPr>
            <w:r>
              <w:rPr>
                <w:rFonts w:ascii="Arial" w:hAnsi="Arial" w:cs="Arial"/>
                <w:b/>
                <w:bCs/>
                <w:sz w:val="24"/>
                <w:szCs w:val="24"/>
              </w:rPr>
              <w:t>Coordination shell</w:t>
            </w:r>
          </w:p>
        </w:tc>
        <w:tc>
          <w:tcPr>
            <w:tcW w:w="121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12433F0" w14:textId="59DB5439" w:rsidR="00D96832" w:rsidRDefault="00D96832" w:rsidP="007C5764">
            <w:pPr>
              <w:spacing w:line="360" w:lineRule="auto"/>
              <w:jc w:val="both"/>
              <w:rPr>
                <w:rFonts w:ascii="Arial" w:hAnsi="Arial" w:cs="Arial"/>
                <w:sz w:val="24"/>
                <w:szCs w:val="24"/>
              </w:rPr>
            </w:pPr>
            <w:r>
              <w:rPr>
                <w:rFonts w:ascii="Arial" w:hAnsi="Arial" w:cs="Arial"/>
                <w:b/>
                <w:bCs/>
                <w:sz w:val="24"/>
                <w:szCs w:val="24"/>
                <w:vertAlign w:val="superscript"/>
              </w:rPr>
              <w:t>a</w:t>
            </w:r>
            <w:r>
              <w:rPr>
                <w:rFonts w:ascii="Arial" w:hAnsi="Arial" w:cs="Arial"/>
                <w:b/>
                <w:bCs/>
                <w:sz w:val="24"/>
                <w:szCs w:val="24"/>
              </w:rPr>
              <w:t>S</w:t>
            </w:r>
            <w:r>
              <w:rPr>
                <w:rFonts w:ascii="Arial" w:hAnsi="Arial" w:cs="Arial"/>
                <w:b/>
                <w:bCs/>
                <w:sz w:val="24"/>
                <w:szCs w:val="24"/>
                <w:vertAlign w:val="superscript"/>
              </w:rPr>
              <w:t>2</w:t>
            </w:r>
            <w:r>
              <w:rPr>
                <w:rFonts w:ascii="Arial" w:hAnsi="Arial" w:cs="Arial"/>
                <w:b/>
                <w:bCs/>
                <w:sz w:val="24"/>
                <w:szCs w:val="24"/>
                <w:vertAlign w:val="subscript"/>
              </w:rPr>
              <w:t>0,</w:t>
            </w:r>
            <w:r>
              <w:rPr>
                <w:rFonts w:ascii="Arial" w:hAnsi="Arial" w:cs="Arial"/>
                <w:b/>
                <w:bCs/>
                <w:sz w:val="24"/>
                <w:szCs w:val="24"/>
                <w:vertAlign w:val="subscript"/>
                <w:lang w:val="en-US"/>
              </w:rPr>
              <w:t>Cu</w:t>
            </w:r>
            <w:r>
              <w:rPr>
                <w:rFonts w:ascii="Arial" w:hAnsi="Arial" w:cs="Arial"/>
                <w:b/>
                <w:bCs/>
                <w:sz w:val="24"/>
                <w:szCs w:val="24"/>
                <w:vertAlign w:val="superscript"/>
              </w:rPr>
              <w:t xml:space="preserve"> </w:t>
            </w:r>
          </w:p>
        </w:tc>
        <w:tc>
          <w:tcPr>
            <w:tcW w:w="1472"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34E92FA4" w14:textId="77777777" w:rsidR="00D96832" w:rsidRDefault="00D96832" w:rsidP="007C5764">
            <w:pPr>
              <w:spacing w:line="360" w:lineRule="auto"/>
              <w:jc w:val="both"/>
              <w:rPr>
                <w:rFonts w:ascii="Arial" w:hAnsi="Arial" w:cs="Arial"/>
                <w:sz w:val="24"/>
                <w:szCs w:val="24"/>
              </w:rPr>
            </w:pPr>
            <w:r>
              <w:rPr>
                <w:rFonts w:ascii="Arial" w:hAnsi="Arial" w:cs="Arial"/>
                <w:b/>
                <w:bCs/>
                <w:sz w:val="24"/>
                <w:szCs w:val="24"/>
              </w:rPr>
              <w:t>Coordination number</w:t>
            </w:r>
          </w:p>
        </w:tc>
        <w:tc>
          <w:tcPr>
            <w:tcW w:w="1207"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70D57BEB" w14:textId="77777777" w:rsidR="00D96832" w:rsidRDefault="00D96832" w:rsidP="007C5764">
            <w:pPr>
              <w:spacing w:line="360" w:lineRule="auto"/>
              <w:jc w:val="both"/>
              <w:rPr>
                <w:rFonts w:ascii="Arial" w:hAnsi="Arial" w:cs="Arial"/>
                <w:sz w:val="24"/>
                <w:szCs w:val="24"/>
              </w:rPr>
            </w:pPr>
            <w:r>
              <w:rPr>
                <w:rFonts w:ascii="Arial" w:hAnsi="Arial" w:cs="Arial"/>
                <w:b/>
                <w:bCs/>
                <w:sz w:val="24"/>
                <w:szCs w:val="24"/>
                <w:vertAlign w:val="superscript"/>
              </w:rPr>
              <w:t>b</w:t>
            </w:r>
            <w:r>
              <w:rPr>
                <w:rFonts w:ascii="Arial" w:hAnsi="Arial" w:cs="Arial"/>
                <w:b/>
                <w:bCs/>
                <w:sz w:val="24"/>
                <w:szCs w:val="24"/>
                <w:lang w:val="el-GR"/>
              </w:rPr>
              <w:t>Δ</w:t>
            </w:r>
            <w:proofErr w:type="spellStart"/>
            <w:r>
              <w:rPr>
                <w:rFonts w:ascii="Arial" w:hAnsi="Arial" w:cs="Arial"/>
                <w:b/>
                <w:bCs/>
                <w:sz w:val="24"/>
                <w:szCs w:val="24"/>
              </w:rPr>
              <w:t>E</w:t>
            </w:r>
            <w:r>
              <w:rPr>
                <w:rFonts w:ascii="Arial" w:hAnsi="Arial" w:cs="Arial"/>
                <w:b/>
                <w:bCs/>
                <w:sz w:val="24"/>
                <w:szCs w:val="24"/>
                <w:vertAlign w:val="subscript"/>
              </w:rPr>
              <w:t>o</w:t>
            </w:r>
            <w:proofErr w:type="spellEnd"/>
            <w:r>
              <w:rPr>
                <w:rFonts w:ascii="Arial" w:hAnsi="Arial" w:cs="Arial"/>
                <w:b/>
                <w:bCs/>
                <w:sz w:val="24"/>
                <w:szCs w:val="24"/>
                <w:vertAlign w:val="subscript"/>
              </w:rPr>
              <w:t xml:space="preserve"> </w:t>
            </w:r>
            <w:r>
              <w:rPr>
                <w:rFonts w:ascii="Arial" w:hAnsi="Arial" w:cs="Arial"/>
                <w:b/>
                <w:bCs/>
                <w:sz w:val="24"/>
                <w:szCs w:val="24"/>
              </w:rPr>
              <w:t>[eV]</w:t>
            </w:r>
          </w:p>
        </w:tc>
        <w:tc>
          <w:tcPr>
            <w:tcW w:w="1241"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48FFE24D" w14:textId="77777777" w:rsidR="00D96832" w:rsidRDefault="00D96832" w:rsidP="007C5764">
            <w:pPr>
              <w:spacing w:line="360" w:lineRule="auto"/>
              <w:jc w:val="both"/>
              <w:rPr>
                <w:rFonts w:ascii="Arial" w:hAnsi="Arial" w:cs="Arial"/>
                <w:sz w:val="24"/>
                <w:szCs w:val="24"/>
              </w:rPr>
            </w:pPr>
            <w:r>
              <w:rPr>
                <w:rFonts w:ascii="Arial" w:hAnsi="Arial" w:cs="Arial"/>
                <w:b/>
                <w:bCs/>
                <w:sz w:val="24"/>
                <w:szCs w:val="24"/>
                <w:vertAlign w:val="superscript"/>
              </w:rPr>
              <w:t>c</w:t>
            </w:r>
            <w:r>
              <w:rPr>
                <w:rFonts w:ascii="Arial" w:hAnsi="Arial" w:cs="Arial"/>
                <w:b/>
                <w:bCs/>
                <w:sz w:val="24"/>
                <w:szCs w:val="24"/>
                <w:lang w:val="el-GR"/>
              </w:rPr>
              <w:t>Δ</w:t>
            </w:r>
            <w:r>
              <w:rPr>
                <w:rFonts w:ascii="Arial" w:hAnsi="Arial" w:cs="Arial"/>
                <w:b/>
                <w:bCs/>
                <w:sz w:val="24"/>
                <w:szCs w:val="24"/>
              </w:rPr>
              <w:t>R [</w:t>
            </w:r>
            <w:r>
              <w:rPr>
                <w:rFonts w:ascii="Arial" w:hAnsi="Arial" w:cs="Arial"/>
                <w:sz w:val="24"/>
                <w:szCs w:val="24"/>
              </w:rPr>
              <w:t>Å</w:t>
            </w:r>
            <w:r>
              <w:rPr>
                <w:rFonts w:ascii="Arial" w:hAnsi="Arial" w:cs="Arial"/>
                <w:b/>
                <w:bCs/>
                <w:sz w:val="24"/>
                <w:szCs w:val="24"/>
              </w:rPr>
              <w:t>]</w:t>
            </w:r>
          </w:p>
        </w:tc>
        <w:tc>
          <w:tcPr>
            <w:tcW w:w="781"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B998E99" w14:textId="77777777" w:rsidR="00D96832" w:rsidRDefault="00D96832" w:rsidP="007C5764">
            <w:pPr>
              <w:spacing w:line="360" w:lineRule="auto"/>
              <w:jc w:val="both"/>
              <w:rPr>
                <w:rFonts w:ascii="Arial" w:hAnsi="Arial" w:cs="Arial"/>
                <w:sz w:val="24"/>
                <w:szCs w:val="24"/>
              </w:rPr>
            </w:pPr>
            <w:r>
              <w:rPr>
                <w:rFonts w:ascii="Arial" w:hAnsi="Arial" w:cs="Arial"/>
                <w:b/>
                <w:bCs/>
                <w:sz w:val="24"/>
                <w:szCs w:val="24"/>
                <w:vertAlign w:val="superscript"/>
              </w:rPr>
              <w:t>d</w:t>
            </w:r>
            <w:r>
              <w:rPr>
                <w:rFonts w:ascii="Arial" w:hAnsi="Arial" w:cs="Arial"/>
                <w:b/>
                <w:bCs/>
                <w:sz w:val="24"/>
                <w:szCs w:val="24"/>
              </w:rPr>
              <w:t>σ</w:t>
            </w:r>
            <w:r>
              <w:rPr>
                <w:rFonts w:ascii="Arial" w:hAnsi="Arial" w:cs="Arial"/>
                <w:b/>
                <w:bCs/>
                <w:sz w:val="24"/>
                <w:szCs w:val="24"/>
                <w:vertAlign w:val="superscript"/>
              </w:rPr>
              <w:t>2</w:t>
            </w:r>
            <w:r>
              <w:rPr>
                <w:rFonts w:ascii="Arial" w:hAnsi="Arial" w:cs="Arial"/>
                <w:b/>
                <w:bCs/>
                <w:sz w:val="24"/>
                <w:szCs w:val="24"/>
              </w:rPr>
              <w:t xml:space="preserve"> [</w:t>
            </w:r>
            <w:r>
              <w:rPr>
                <w:rFonts w:ascii="Arial" w:hAnsi="Arial" w:cs="Arial"/>
                <w:sz w:val="24"/>
                <w:szCs w:val="24"/>
              </w:rPr>
              <w:t>Å</w:t>
            </w:r>
            <w:r>
              <w:rPr>
                <w:rFonts w:ascii="Arial" w:hAnsi="Arial" w:cs="Arial"/>
                <w:sz w:val="24"/>
                <w:szCs w:val="24"/>
                <w:vertAlign w:val="superscript"/>
              </w:rPr>
              <w:t>2</w:t>
            </w:r>
            <w:r>
              <w:rPr>
                <w:rFonts w:ascii="Arial" w:hAnsi="Arial" w:cs="Arial"/>
                <w:b/>
                <w:bCs/>
                <w:sz w:val="24"/>
                <w:szCs w:val="24"/>
              </w:rPr>
              <w:t>]</w:t>
            </w:r>
          </w:p>
        </w:tc>
        <w:tc>
          <w:tcPr>
            <w:tcW w:w="1014" w:type="dxa"/>
            <w:tcBorders>
              <w:top w:val="single" w:sz="8" w:space="0" w:color="A5A5A5"/>
              <w:left w:val="nil"/>
              <w:bottom w:val="single" w:sz="8" w:space="0" w:color="A5A5A5"/>
              <w:right w:val="nil"/>
            </w:tcBorders>
          </w:tcPr>
          <w:p w14:paraId="6E855897" w14:textId="310651E5" w:rsidR="00D96832" w:rsidRDefault="00D96832" w:rsidP="007C5764">
            <w:pPr>
              <w:spacing w:line="360" w:lineRule="auto"/>
              <w:jc w:val="both"/>
              <w:rPr>
                <w:rFonts w:ascii="Arial" w:hAnsi="Arial" w:cs="Arial"/>
                <w:b/>
                <w:bCs/>
                <w:sz w:val="24"/>
                <w:szCs w:val="24"/>
                <w:vertAlign w:val="superscript"/>
              </w:rPr>
            </w:pPr>
            <w:r w:rsidRPr="008A3D0C">
              <w:rPr>
                <w:rFonts w:ascii="Arial" w:hAnsi="Arial" w:cs="Arial"/>
                <w:b/>
                <w:bCs/>
                <w:sz w:val="24"/>
                <w:szCs w:val="24"/>
              </w:rPr>
              <w:t>R-factor</w:t>
            </w:r>
          </w:p>
        </w:tc>
        <w:tc>
          <w:tcPr>
            <w:tcW w:w="688" w:type="dxa"/>
            <w:tcBorders>
              <w:top w:val="single" w:sz="8" w:space="0" w:color="A5A5A5"/>
              <w:left w:val="nil"/>
              <w:bottom w:val="single" w:sz="8" w:space="0" w:color="A5A5A5"/>
              <w:right w:val="nil"/>
            </w:tcBorders>
          </w:tcPr>
          <w:p w14:paraId="594E1C2E" w14:textId="06E3DC41" w:rsidR="00D96832" w:rsidRDefault="00D96832" w:rsidP="007C5764">
            <w:pPr>
              <w:spacing w:line="360" w:lineRule="auto"/>
              <w:jc w:val="both"/>
              <w:rPr>
                <w:rFonts w:ascii="Arial" w:hAnsi="Arial" w:cs="Arial"/>
                <w:b/>
                <w:bCs/>
                <w:sz w:val="24"/>
                <w:szCs w:val="24"/>
                <w:vertAlign w:val="superscript"/>
              </w:rPr>
            </w:pPr>
          </w:p>
        </w:tc>
      </w:tr>
      <w:tr w:rsidR="00D96832" w14:paraId="52B9B9DB" w14:textId="6EF56A95" w:rsidTr="00D96832">
        <w:trPr>
          <w:trHeight w:val="1015"/>
        </w:trPr>
        <w:tc>
          <w:tcPr>
            <w:tcW w:w="1460"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3F078CB2" w14:textId="77777777" w:rsidR="00D96832" w:rsidRDefault="00D96832" w:rsidP="007C5764">
            <w:pPr>
              <w:spacing w:line="360" w:lineRule="auto"/>
              <w:jc w:val="both"/>
              <w:rPr>
                <w:rFonts w:ascii="Arial" w:hAnsi="Arial" w:cs="Arial"/>
                <w:sz w:val="24"/>
                <w:szCs w:val="24"/>
                <w:lang w:val="en-US"/>
              </w:rPr>
            </w:pPr>
            <w:r>
              <w:rPr>
                <w:rFonts w:ascii="Arial" w:hAnsi="Arial" w:cs="Arial"/>
                <w:sz w:val="24"/>
                <w:szCs w:val="24"/>
                <w:lang w:val="en-US"/>
              </w:rPr>
              <w:t>Cu</w:t>
            </w:r>
            <w:r>
              <w:rPr>
                <w:rFonts w:ascii="Arial" w:hAnsi="Arial" w:cs="Arial"/>
                <w:sz w:val="24"/>
                <w:szCs w:val="24"/>
              </w:rPr>
              <w:t>-</w:t>
            </w:r>
            <w:r>
              <w:rPr>
                <w:rFonts w:ascii="Arial" w:hAnsi="Arial" w:cs="Arial"/>
                <w:sz w:val="24"/>
                <w:szCs w:val="24"/>
                <w:lang w:val="en-US"/>
              </w:rPr>
              <w:t>Cu</w:t>
            </w:r>
          </w:p>
        </w:tc>
        <w:tc>
          <w:tcPr>
            <w:tcW w:w="1210"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1FAD5E29" w14:textId="22C32C7D" w:rsidR="00D96832" w:rsidRPr="00BB4ED1" w:rsidRDefault="00D96832" w:rsidP="007C5764">
            <w:pPr>
              <w:spacing w:line="360" w:lineRule="auto"/>
              <w:jc w:val="both"/>
              <w:rPr>
                <w:rFonts w:ascii="Arial" w:hAnsi="Arial" w:cs="Arial"/>
                <w:sz w:val="24"/>
                <w:szCs w:val="24"/>
                <w:lang w:val="en-US"/>
              </w:rPr>
            </w:pPr>
            <w:r>
              <w:rPr>
                <w:rFonts w:ascii="Arial" w:hAnsi="Arial" w:cs="Arial"/>
                <w:sz w:val="24"/>
                <w:szCs w:val="24"/>
              </w:rPr>
              <w:t>0.8503  ± 0.</w:t>
            </w:r>
            <w:r>
              <w:rPr>
                <w:rFonts w:ascii="Arial" w:hAnsi="Arial" w:cs="Arial"/>
                <w:sz w:val="24"/>
                <w:szCs w:val="24"/>
                <w:lang w:val="en-US"/>
              </w:rPr>
              <w:t>089</w:t>
            </w:r>
          </w:p>
        </w:tc>
        <w:tc>
          <w:tcPr>
            <w:tcW w:w="1472"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59020809" w14:textId="218200EC" w:rsidR="00D96832" w:rsidRDefault="00D96832" w:rsidP="007C5764">
            <w:pPr>
              <w:spacing w:line="360" w:lineRule="auto"/>
              <w:jc w:val="both"/>
              <w:rPr>
                <w:rFonts w:ascii="Arial" w:hAnsi="Arial" w:cs="Arial"/>
                <w:sz w:val="24"/>
                <w:szCs w:val="24"/>
                <w:lang w:val="en-US"/>
              </w:rPr>
            </w:pPr>
            <w:r>
              <w:rPr>
                <w:rFonts w:ascii="Arial" w:hAnsi="Arial" w:cs="Arial"/>
                <w:sz w:val="24"/>
                <w:szCs w:val="24"/>
                <w:lang w:val="en-US"/>
              </w:rPr>
              <w:t>7.5</w:t>
            </w:r>
            <w:r>
              <w:rPr>
                <w:rFonts w:ascii="Arial" w:hAnsi="Arial" w:cs="Arial"/>
                <w:sz w:val="24"/>
                <w:szCs w:val="24"/>
              </w:rPr>
              <w:t xml:space="preserve">  ± 2.2</w:t>
            </w:r>
          </w:p>
        </w:tc>
        <w:tc>
          <w:tcPr>
            <w:tcW w:w="1207"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3DFB2380" w14:textId="72162EAC" w:rsidR="00D96832" w:rsidRDefault="00D96832" w:rsidP="007C5764">
            <w:pPr>
              <w:spacing w:line="360" w:lineRule="auto"/>
              <w:jc w:val="both"/>
              <w:rPr>
                <w:rFonts w:ascii="Arial" w:hAnsi="Arial" w:cs="Arial"/>
                <w:sz w:val="24"/>
                <w:szCs w:val="24"/>
                <w:lang w:val="en-US"/>
              </w:rPr>
            </w:pPr>
            <w:r>
              <w:rPr>
                <w:rFonts w:ascii="Arial" w:hAnsi="Arial" w:cs="Arial"/>
                <w:sz w:val="24"/>
                <w:szCs w:val="24"/>
                <w:lang w:val="en-US"/>
              </w:rPr>
              <w:t>-7.3</w:t>
            </w:r>
            <w:r>
              <w:rPr>
                <w:rFonts w:ascii="Arial" w:hAnsi="Arial" w:cs="Arial"/>
                <w:sz w:val="24"/>
                <w:szCs w:val="24"/>
              </w:rPr>
              <w:t xml:space="preserve"> ± 3.3</w:t>
            </w:r>
          </w:p>
        </w:tc>
        <w:tc>
          <w:tcPr>
            <w:tcW w:w="124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668DC45B" w14:textId="0A2FACBE" w:rsidR="00D96832" w:rsidRDefault="00D96832" w:rsidP="007C5764">
            <w:pPr>
              <w:spacing w:line="360" w:lineRule="auto"/>
              <w:jc w:val="both"/>
              <w:rPr>
                <w:rFonts w:ascii="Arial" w:hAnsi="Arial" w:cs="Arial"/>
                <w:sz w:val="24"/>
                <w:szCs w:val="24"/>
                <w:lang w:val="en-US"/>
              </w:rPr>
            </w:pPr>
            <w:r>
              <w:rPr>
                <w:rFonts w:ascii="Arial" w:hAnsi="Arial" w:cs="Arial"/>
                <w:sz w:val="24"/>
                <w:szCs w:val="24"/>
                <w:lang w:val="en-US"/>
              </w:rPr>
              <w:t>-</w:t>
            </w:r>
            <w:r>
              <w:rPr>
                <w:rFonts w:ascii="Arial" w:hAnsi="Arial" w:cs="Arial"/>
                <w:sz w:val="24"/>
                <w:szCs w:val="24"/>
              </w:rPr>
              <w:t>0.</w:t>
            </w:r>
            <w:r>
              <w:rPr>
                <w:rFonts w:ascii="Arial" w:hAnsi="Arial" w:cs="Arial"/>
                <w:sz w:val="24"/>
                <w:szCs w:val="24"/>
                <w:lang w:val="en-US"/>
              </w:rPr>
              <w:t>104</w:t>
            </w:r>
            <w:r>
              <w:rPr>
                <w:rFonts w:ascii="Arial" w:hAnsi="Arial" w:cs="Arial"/>
                <w:sz w:val="24"/>
                <w:szCs w:val="24"/>
              </w:rPr>
              <w:t xml:space="preserve"> ± 0.019</w:t>
            </w:r>
          </w:p>
        </w:tc>
        <w:tc>
          <w:tcPr>
            <w:tcW w:w="78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67B2D59C" w14:textId="1C5591E4" w:rsidR="00D96832" w:rsidRDefault="00D96832" w:rsidP="007C5764">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120</w:t>
            </w:r>
            <w:r>
              <w:rPr>
                <w:rFonts w:ascii="Arial" w:hAnsi="Arial" w:cs="Arial"/>
                <w:sz w:val="24"/>
                <w:szCs w:val="24"/>
              </w:rPr>
              <w:t xml:space="preserve">  ± 0.002</w:t>
            </w:r>
            <w:r>
              <w:rPr>
                <w:rFonts w:ascii="Arial" w:hAnsi="Arial" w:cs="Arial"/>
                <w:sz w:val="24"/>
                <w:szCs w:val="24"/>
                <w:lang w:val="en-US"/>
              </w:rPr>
              <w:t>6</w:t>
            </w:r>
          </w:p>
        </w:tc>
        <w:tc>
          <w:tcPr>
            <w:tcW w:w="1014" w:type="dxa"/>
            <w:tcBorders>
              <w:top w:val="single" w:sz="8" w:space="0" w:color="A5A5A5"/>
              <w:left w:val="nil"/>
              <w:bottom w:val="nil"/>
              <w:right w:val="nil"/>
            </w:tcBorders>
            <w:shd w:val="clear" w:color="auto" w:fill="F0F0F0"/>
          </w:tcPr>
          <w:p w14:paraId="28E3E91E" w14:textId="215AFBCC" w:rsidR="00D96832" w:rsidRDefault="00D96832" w:rsidP="007C5764">
            <w:pPr>
              <w:spacing w:line="360" w:lineRule="auto"/>
              <w:jc w:val="both"/>
              <w:rPr>
                <w:rFonts w:ascii="Arial" w:hAnsi="Arial" w:cs="Arial"/>
                <w:sz w:val="24"/>
                <w:szCs w:val="24"/>
              </w:rPr>
            </w:pPr>
            <w:r>
              <w:rPr>
                <w:rFonts w:ascii="Arial" w:hAnsi="Arial" w:cs="Arial"/>
                <w:sz w:val="24"/>
                <w:szCs w:val="24"/>
              </w:rPr>
              <w:t>0.0</w:t>
            </w:r>
            <w:r>
              <w:rPr>
                <w:rFonts w:ascii="Arial" w:hAnsi="Arial" w:cs="Arial"/>
                <w:sz w:val="24"/>
                <w:szCs w:val="24"/>
                <w:lang w:val="en-US"/>
              </w:rPr>
              <w:t>30</w:t>
            </w:r>
          </w:p>
        </w:tc>
        <w:tc>
          <w:tcPr>
            <w:tcW w:w="688" w:type="dxa"/>
            <w:tcBorders>
              <w:top w:val="single" w:sz="8" w:space="0" w:color="A5A5A5"/>
              <w:left w:val="nil"/>
              <w:bottom w:val="nil"/>
              <w:right w:val="nil"/>
            </w:tcBorders>
            <w:shd w:val="clear" w:color="auto" w:fill="F0F0F0"/>
          </w:tcPr>
          <w:p w14:paraId="5806C7DE" w14:textId="3799F8A0" w:rsidR="00D96832" w:rsidRDefault="00D96832" w:rsidP="007C5764">
            <w:pPr>
              <w:spacing w:line="360" w:lineRule="auto"/>
              <w:jc w:val="both"/>
              <w:rPr>
                <w:rFonts w:ascii="Arial" w:hAnsi="Arial" w:cs="Arial"/>
                <w:sz w:val="24"/>
                <w:szCs w:val="24"/>
              </w:rPr>
            </w:pPr>
          </w:p>
        </w:tc>
      </w:tr>
    </w:tbl>
    <w:p w14:paraId="3A1BEDE3" w14:textId="4CA903FD" w:rsidR="005E4531" w:rsidRDefault="006B323D">
      <w:pPr>
        <w:pStyle w:val="Caption"/>
        <w:jc w:val="both"/>
        <w:rPr>
          <w:rFonts w:ascii="Arial" w:hAnsi="Arial" w:cs="Arial"/>
          <w:i w:val="0"/>
          <w:iCs w:val="0"/>
        </w:rPr>
      </w:pPr>
      <w:r>
        <w:rPr>
          <w:rFonts w:ascii="Arial" w:hAnsi="Arial" w:cs="Arial"/>
          <w:i w:val="0"/>
          <w:iCs w:val="0"/>
        </w:rPr>
        <w:t>Fourier-transform parameters: k =3.0-9.</w:t>
      </w:r>
      <w:r w:rsidR="003E1456">
        <w:rPr>
          <w:rFonts w:ascii="Arial" w:hAnsi="Arial" w:cs="Arial"/>
          <w:i w:val="0"/>
          <w:iCs w:val="0"/>
        </w:rPr>
        <w:t>5</w:t>
      </w:r>
      <w:r>
        <w:rPr>
          <w:rFonts w:ascii="Arial" w:hAnsi="Arial" w:cs="Arial"/>
          <w:i w:val="0"/>
          <w:iCs w:val="0"/>
        </w:rPr>
        <w:t xml:space="preserve"> Å</w:t>
      </w:r>
      <w:r w:rsidRPr="003E1456">
        <w:rPr>
          <w:rFonts w:ascii="Arial" w:hAnsi="Arial" w:cs="Arial"/>
          <w:i w:val="0"/>
          <w:iCs w:val="0"/>
          <w:vertAlign w:val="superscript"/>
        </w:rPr>
        <w:t>-1,</w:t>
      </w:r>
      <w:r>
        <w:rPr>
          <w:rFonts w:ascii="Arial" w:hAnsi="Arial" w:cs="Arial"/>
          <w:i w:val="0"/>
          <w:iCs w:val="0"/>
        </w:rPr>
        <w:t xml:space="preserve"> R = 1.0-</w:t>
      </w:r>
      <w:r w:rsidR="003E1456">
        <w:rPr>
          <w:rFonts w:ascii="Arial" w:hAnsi="Arial" w:cs="Arial"/>
          <w:i w:val="0"/>
          <w:iCs w:val="0"/>
        </w:rPr>
        <w:t>3.0</w:t>
      </w:r>
      <w:r>
        <w:rPr>
          <w:rFonts w:ascii="Arial" w:hAnsi="Arial" w:cs="Arial"/>
          <w:i w:val="0"/>
          <w:iCs w:val="0"/>
        </w:rPr>
        <w:t xml:space="preserve"> Å. </w:t>
      </w:r>
      <w:proofErr w:type="spellStart"/>
      <w:r>
        <w:rPr>
          <w:rFonts w:ascii="Arial" w:hAnsi="Arial" w:cs="Arial"/>
          <w:i w:val="0"/>
          <w:iCs w:val="0"/>
          <w:vertAlign w:val="superscript"/>
        </w:rPr>
        <w:t>a</w:t>
      </w:r>
      <w:r>
        <w:rPr>
          <w:rFonts w:ascii="Arial" w:hAnsi="Arial" w:cs="Arial"/>
          <w:i w:val="0"/>
          <w:iCs w:val="0"/>
        </w:rPr>
        <w:t>Amplitude</w:t>
      </w:r>
      <w:proofErr w:type="spellEnd"/>
      <w:r>
        <w:rPr>
          <w:rFonts w:ascii="Arial" w:hAnsi="Arial" w:cs="Arial"/>
          <w:i w:val="0"/>
          <w:iCs w:val="0"/>
        </w:rPr>
        <w:t xml:space="preserve"> attenuation factor (obtained by fitting a Cu foil reference), </w:t>
      </w:r>
      <w:proofErr w:type="spellStart"/>
      <w:r>
        <w:rPr>
          <w:rFonts w:ascii="Arial" w:hAnsi="Arial" w:cs="Arial"/>
          <w:i w:val="0"/>
          <w:iCs w:val="0"/>
          <w:vertAlign w:val="superscript"/>
        </w:rPr>
        <w:t>b</w:t>
      </w:r>
      <w:r>
        <w:rPr>
          <w:rFonts w:ascii="Arial" w:hAnsi="Arial" w:cs="Arial"/>
          <w:i w:val="0"/>
          <w:iCs w:val="0"/>
        </w:rPr>
        <w:t>Energy</w:t>
      </w:r>
      <w:proofErr w:type="spellEnd"/>
      <w:r>
        <w:rPr>
          <w:rFonts w:ascii="Arial" w:hAnsi="Arial" w:cs="Arial"/>
          <w:i w:val="0"/>
          <w:iCs w:val="0"/>
        </w:rPr>
        <w:t xml:space="preserve"> shift, </w:t>
      </w:r>
      <w:proofErr w:type="spellStart"/>
      <w:r>
        <w:rPr>
          <w:rFonts w:ascii="Arial" w:hAnsi="Arial" w:cs="Arial"/>
          <w:i w:val="0"/>
          <w:iCs w:val="0"/>
          <w:vertAlign w:val="superscript"/>
        </w:rPr>
        <w:t>c</w:t>
      </w:r>
      <w:r>
        <w:rPr>
          <w:rFonts w:ascii="Arial" w:hAnsi="Arial" w:cs="Arial"/>
          <w:i w:val="0"/>
          <w:iCs w:val="0"/>
        </w:rPr>
        <w:t>Change</w:t>
      </w:r>
      <w:proofErr w:type="spellEnd"/>
      <w:r>
        <w:rPr>
          <w:rFonts w:ascii="Arial" w:hAnsi="Arial" w:cs="Arial"/>
          <w:i w:val="0"/>
          <w:iCs w:val="0"/>
        </w:rPr>
        <w:t xml:space="preserve"> in coordination distance with respect to reference (Cu</w:t>
      </w:r>
      <w:r w:rsidR="00555749">
        <w:rPr>
          <w:rFonts w:ascii="Arial" w:hAnsi="Arial" w:cs="Arial"/>
          <w:i w:val="0"/>
          <w:iCs w:val="0"/>
        </w:rPr>
        <w:t>)</w:t>
      </w:r>
      <w:r>
        <w:rPr>
          <w:rFonts w:ascii="Arial" w:hAnsi="Arial" w:cs="Arial"/>
          <w:i w:val="0"/>
          <w:iCs w:val="0"/>
        </w:rPr>
        <w:t xml:space="preserve">: </w:t>
      </w:r>
      <w:r w:rsidR="00555749">
        <w:rPr>
          <w:rFonts w:ascii="Arial" w:hAnsi="Arial" w:cs="Arial"/>
          <w:i w:val="0"/>
          <w:iCs w:val="0"/>
        </w:rPr>
        <w:t>2.561</w:t>
      </w:r>
      <w:r>
        <w:rPr>
          <w:rFonts w:ascii="Arial" w:hAnsi="Arial" w:cs="Arial"/>
          <w:i w:val="0"/>
          <w:iCs w:val="0"/>
        </w:rPr>
        <w:t xml:space="preserve"> Å, </w:t>
      </w:r>
      <w:proofErr w:type="spellStart"/>
      <w:r>
        <w:rPr>
          <w:rFonts w:ascii="Arial" w:hAnsi="Arial" w:cs="Arial"/>
          <w:i w:val="0"/>
          <w:iCs w:val="0"/>
          <w:vertAlign w:val="superscript"/>
        </w:rPr>
        <w:t>d</w:t>
      </w:r>
      <w:r>
        <w:rPr>
          <w:rFonts w:ascii="Arial" w:hAnsi="Arial" w:cs="Arial"/>
          <w:i w:val="0"/>
          <w:iCs w:val="0"/>
        </w:rPr>
        <w:t>Debye</w:t>
      </w:r>
      <w:proofErr w:type="spellEnd"/>
      <w:r>
        <w:rPr>
          <w:rFonts w:ascii="Arial" w:hAnsi="Arial" w:cs="Arial"/>
          <w:i w:val="0"/>
          <w:iCs w:val="0"/>
        </w:rPr>
        <w:t>-Waller factor.</w:t>
      </w:r>
    </w:p>
    <w:p w14:paraId="5C81E372" w14:textId="77777777" w:rsidR="005E4531" w:rsidRDefault="005E4531">
      <w:pPr>
        <w:pStyle w:val="Caption"/>
        <w:jc w:val="both"/>
        <w:rPr>
          <w:rFonts w:ascii="Arial" w:hAnsi="Arial" w:cs="Arial"/>
        </w:rPr>
      </w:pPr>
    </w:p>
    <w:p w14:paraId="0240796B" w14:textId="6A6A40BF" w:rsidR="00044FE9" w:rsidRDefault="00814AAE" w:rsidP="00BB5211">
      <w:pPr>
        <w:spacing w:line="360" w:lineRule="auto"/>
        <w:jc w:val="center"/>
        <w:rPr>
          <w:rFonts w:ascii="Arial" w:hAnsi="Arial" w:cs="Arial"/>
          <w:b/>
          <w:sz w:val="24"/>
          <w:szCs w:val="24"/>
        </w:rPr>
      </w:pPr>
      <w:r>
        <w:rPr>
          <w:rFonts w:ascii="Arial" w:hAnsi="Arial" w:cs="Arial"/>
          <w:b/>
          <w:noProof/>
          <w:sz w:val="24"/>
          <w:szCs w:val="24"/>
        </w:rPr>
        <w:lastRenderedPageBreak/>
        <w:drawing>
          <wp:inline distT="0" distB="0" distL="0" distR="0" wp14:anchorId="0942BEB3" wp14:editId="45E60705">
            <wp:extent cx="5731510" cy="8437880"/>
            <wp:effectExtent l="0" t="0" r="2540" b="1270"/>
            <wp:docPr id="531062939" name="Picture 5"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62939" name="Picture 5" descr="A graph of a function&#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8437880"/>
                    </a:xfrm>
                    <a:prstGeom prst="rect">
                      <a:avLst/>
                    </a:prstGeom>
                  </pic:spPr>
                </pic:pic>
              </a:graphicData>
            </a:graphic>
          </wp:inline>
        </w:drawing>
      </w:r>
    </w:p>
    <w:p w14:paraId="4DC2B217" w14:textId="1A5D234A" w:rsidR="005E4531" w:rsidRDefault="006B323D" w:rsidP="00320FDF">
      <w:pPr>
        <w:spacing w:after="100" w:afterAutospacing="1" w:line="360" w:lineRule="auto"/>
        <w:jc w:val="both"/>
        <w:rPr>
          <w:rFonts w:ascii="Arial" w:hAnsi="Arial" w:cs="Arial"/>
          <w:sz w:val="24"/>
          <w:szCs w:val="24"/>
        </w:rPr>
      </w:pPr>
      <w:r>
        <w:rPr>
          <w:rFonts w:ascii="Arial" w:hAnsi="Arial" w:cs="Arial"/>
          <w:b/>
          <w:bCs/>
          <w:sz w:val="24"/>
          <w:szCs w:val="24"/>
          <w:lang w:val="en-US"/>
        </w:rPr>
        <w:lastRenderedPageBreak/>
        <w:t>Figure S</w:t>
      </w:r>
      <w:r w:rsidR="00C26C29">
        <w:rPr>
          <w:rFonts w:ascii="Arial" w:hAnsi="Arial" w:cs="Arial"/>
          <w:b/>
          <w:bCs/>
          <w:sz w:val="24"/>
          <w:szCs w:val="24"/>
          <w:lang w:val="en-US"/>
        </w:rPr>
        <w:t>30</w:t>
      </w:r>
      <w:r>
        <w:rPr>
          <w:rFonts w:ascii="Arial" w:hAnsi="Arial" w:cs="Arial"/>
          <w:b/>
          <w:bCs/>
          <w:sz w:val="24"/>
          <w:szCs w:val="24"/>
          <w:lang w:val="en-US"/>
        </w:rPr>
        <w:t xml:space="preserve">. </w:t>
      </w:r>
      <w:r w:rsidR="00B50606">
        <w:rPr>
          <w:rFonts w:ascii="Arial" w:hAnsi="Arial" w:cs="Arial"/>
          <w:sz w:val="24"/>
          <w:szCs w:val="24"/>
        </w:rPr>
        <w:t xml:space="preserve">The </w:t>
      </w:r>
      <w:r w:rsidR="00B50606">
        <w:rPr>
          <w:rFonts w:ascii="Arial" w:hAnsi="Arial" w:cs="Arial"/>
          <w:i/>
          <w:iCs/>
          <w:sz w:val="24"/>
          <w:szCs w:val="24"/>
        </w:rPr>
        <w:t>k</w:t>
      </w:r>
      <w:r w:rsidR="00B50606">
        <w:rPr>
          <w:rFonts w:ascii="Arial" w:hAnsi="Arial" w:cs="Arial"/>
          <w:sz w:val="24"/>
          <w:szCs w:val="24"/>
          <w:vertAlign w:val="superscript"/>
        </w:rPr>
        <w:t>3</w:t>
      </w:r>
      <w:r w:rsidR="00B50606">
        <w:rPr>
          <w:rFonts w:ascii="Arial" w:hAnsi="Arial" w:cs="Arial"/>
          <w:sz w:val="24"/>
          <w:szCs w:val="24"/>
        </w:rPr>
        <w:t xml:space="preserve">-weighted </w:t>
      </w:r>
      <w:r w:rsidR="00B50606">
        <w:rPr>
          <w:rFonts w:ascii="Arial" w:hAnsi="Arial" w:cs="Arial"/>
          <w:sz w:val="24"/>
          <w:szCs w:val="24"/>
          <w:lang w:val="en-US"/>
        </w:rPr>
        <w:t>EXAFS</w:t>
      </w:r>
      <w:r w:rsidR="00B50606">
        <w:rPr>
          <w:rFonts w:ascii="Arial" w:hAnsi="Arial" w:cs="Arial"/>
          <w:sz w:val="24"/>
          <w:szCs w:val="24"/>
        </w:rPr>
        <w:t xml:space="preserve"> of the </w:t>
      </w:r>
      <w:r w:rsidR="00B50606">
        <w:rPr>
          <w:rFonts w:ascii="Arial" w:hAnsi="Arial" w:cs="Arial"/>
          <w:sz w:val="24"/>
          <w:szCs w:val="24"/>
          <w:lang w:val="en-US"/>
        </w:rPr>
        <w:t>Cu-NCB catalyst at -300 mV vs RHE</w:t>
      </w:r>
      <w:r w:rsidR="00B50606">
        <w:rPr>
          <w:rFonts w:ascii="Arial" w:hAnsi="Arial" w:cs="Arial"/>
          <w:sz w:val="24"/>
          <w:szCs w:val="24"/>
        </w:rPr>
        <w:t xml:space="preserve"> and the respective fit plotted in </w:t>
      </w:r>
      <w:r w:rsidR="00B50606">
        <w:rPr>
          <w:rFonts w:ascii="Arial" w:hAnsi="Arial" w:cs="Arial"/>
          <w:i/>
          <w:iCs/>
          <w:sz w:val="24"/>
          <w:szCs w:val="24"/>
        </w:rPr>
        <w:t>k</w:t>
      </w:r>
      <w:r w:rsidR="00B50606">
        <w:rPr>
          <w:rFonts w:ascii="Arial" w:hAnsi="Arial" w:cs="Arial"/>
          <w:sz w:val="24"/>
          <w:szCs w:val="24"/>
        </w:rPr>
        <w:t>-space</w:t>
      </w:r>
      <w:r w:rsidR="00B50606">
        <w:rPr>
          <w:rFonts w:ascii="Arial" w:hAnsi="Arial" w:cs="Arial"/>
          <w:sz w:val="24"/>
          <w:szCs w:val="24"/>
          <w:lang w:val="en-US"/>
        </w:rPr>
        <w:t xml:space="preserve"> </w:t>
      </w:r>
      <w:r w:rsidR="00B50606" w:rsidRPr="00747187">
        <w:rPr>
          <w:rFonts w:ascii="Arial" w:hAnsi="Arial" w:cs="Arial"/>
          <w:bCs/>
          <w:sz w:val="24"/>
          <w:szCs w:val="24"/>
          <w:lang w:val="en-US"/>
        </w:rPr>
        <w:t>(A)</w:t>
      </w:r>
      <w:r w:rsidR="00B50606">
        <w:rPr>
          <w:rFonts w:ascii="Arial" w:hAnsi="Arial" w:cs="Arial"/>
          <w:bCs/>
          <w:sz w:val="24"/>
          <w:szCs w:val="24"/>
          <w:lang w:val="en-US"/>
        </w:rPr>
        <w:t xml:space="preserve"> and in </w:t>
      </w:r>
      <w:r w:rsidR="00B50606" w:rsidRPr="00DF68BA">
        <w:rPr>
          <w:rFonts w:ascii="Arial" w:hAnsi="Arial" w:cs="Arial"/>
          <w:bCs/>
          <w:i/>
          <w:iCs/>
          <w:sz w:val="24"/>
          <w:szCs w:val="24"/>
          <w:lang w:val="en-US"/>
        </w:rPr>
        <w:t>R</w:t>
      </w:r>
      <w:r w:rsidR="00B50606">
        <w:rPr>
          <w:rFonts w:ascii="Arial" w:hAnsi="Arial" w:cs="Arial"/>
          <w:bCs/>
          <w:sz w:val="24"/>
          <w:szCs w:val="24"/>
          <w:lang w:val="en-US"/>
        </w:rPr>
        <w:t>-space (B)</w:t>
      </w:r>
      <w:r w:rsidR="00B50606">
        <w:rPr>
          <w:rFonts w:ascii="Arial" w:hAnsi="Arial" w:cs="Arial"/>
          <w:sz w:val="24"/>
          <w:szCs w:val="24"/>
        </w:rPr>
        <w:t xml:space="preserve">. </w:t>
      </w:r>
      <w:r w:rsidR="00B50606">
        <w:rPr>
          <w:rFonts w:ascii="Arial" w:hAnsi="Arial" w:cs="Arial"/>
          <w:sz w:val="24"/>
          <w:szCs w:val="24"/>
          <w:lang w:val="en-US"/>
        </w:rPr>
        <w:t>The window is the k-range included in the fit. The window of the R</w:t>
      </w:r>
      <w:r w:rsidR="00BC545A">
        <w:rPr>
          <w:rFonts w:ascii="Arial" w:hAnsi="Arial" w:cs="Arial"/>
          <w:sz w:val="24"/>
          <w:szCs w:val="24"/>
          <w:lang w:val="en-US"/>
        </w:rPr>
        <w:t>-</w:t>
      </w:r>
      <w:r w:rsidR="00B50606">
        <w:rPr>
          <w:rFonts w:ascii="Arial" w:hAnsi="Arial" w:cs="Arial"/>
          <w:sz w:val="24"/>
          <w:szCs w:val="24"/>
          <w:lang w:val="en-US"/>
        </w:rPr>
        <w:t xml:space="preserve">space included in the fit is 1-3 </w:t>
      </w:r>
      <w:r w:rsidR="00B50606">
        <w:rPr>
          <w:rFonts w:ascii="Arial" w:hAnsi="Arial" w:cs="Arial"/>
          <w:sz w:val="24"/>
          <w:szCs w:val="24"/>
        </w:rPr>
        <w:t>Å</w:t>
      </w:r>
      <w:r w:rsidR="00B50606">
        <w:rPr>
          <w:rFonts w:ascii="Arial" w:hAnsi="Arial" w:cs="Arial"/>
          <w:sz w:val="24"/>
          <w:szCs w:val="24"/>
          <w:lang w:val="en-US"/>
        </w:rPr>
        <w:t>.</w:t>
      </w:r>
    </w:p>
    <w:p w14:paraId="255ADF43" w14:textId="1F3F3AAD" w:rsidR="00200819" w:rsidRDefault="00200819" w:rsidP="00320FDF">
      <w:pPr>
        <w:spacing w:after="100" w:afterAutospacing="1" w:line="360" w:lineRule="auto"/>
        <w:jc w:val="both"/>
        <w:rPr>
          <w:rFonts w:ascii="Arial" w:hAnsi="Arial" w:cs="Arial"/>
          <w:b/>
          <w:bCs/>
          <w:sz w:val="24"/>
          <w:szCs w:val="24"/>
          <w:lang w:val="en-US"/>
        </w:rPr>
      </w:pPr>
      <w:r>
        <w:rPr>
          <w:rFonts w:ascii="Arial" w:hAnsi="Arial" w:cs="Arial"/>
          <w:b/>
          <w:bCs/>
          <w:noProof/>
          <w:sz w:val="24"/>
          <w:szCs w:val="24"/>
          <w:lang w:val="en-US"/>
        </w:rPr>
        <w:drawing>
          <wp:inline distT="0" distB="0" distL="0" distR="0" wp14:anchorId="57BAC86D" wp14:editId="070D39E6">
            <wp:extent cx="5465064" cy="6074664"/>
            <wp:effectExtent l="0" t="0" r="2540" b="2540"/>
            <wp:docPr id="799291032" name="Picture 1" descr="A close-up of a black and orange subst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91032" name="Picture 1" descr="A close-up of a black and orange substanc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65064" cy="6074664"/>
                    </a:xfrm>
                    <a:prstGeom prst="rect">
                      <a:avLst/>
                    </a:prstGeom>
                  </pic:spPr>
                </pic:pic>
              </a:graphicData>
            </a:graphic>
          </wp:inline>
        </w:drawing>
      </w:r>
    </w:p>
    <w:p w14:paraId="1CD8AF88" w14:textId="7D883E0A" w:rsidR="00200819" w:rsidRPr="003A394D" w:rsidRDefault="00200819" w:rsidP="00320FDF">
      <w:pPr>
        <w:spacing w:after="100" w:afterAutospacing="1" w:line="360" w:lineRule="auto"/>
        <w:jc w:val="both"/>
      </w:pPr>
      <w:r>
        <w:rPr>
          <w:rFonts w:ascii="Arial" w:hAnsi="Arial" w:cs="Arial"/>
          <w:b/>
          <w:bCs/>
          <w:sz w:val="24"/>
          <w:szCs w:val="24"/>
          <w:lang w:val="en-US"/>
        </w:rPr>
        <w:t>Figure S</w:t>
      </w:r>
      <w:r w:rsidR="00E7279D">
        <w:rPr>
          <w:rFonts w:ascii="Arial" w:hAnsi="Arial" w:cs="Arial"/>
          <w:b/>
          <w:bCs/>
          <w:sz w:val="24"/>
          <w:szCs w:val="24"/>
          <w:lang w:val="en-US"/>
        </w:rPr>
        <w:t>3</w:t>
      </w:r>
      <w:r w:rsidR="00C26C29">
        <w:rPr>
          <w:rFonts w:ascii="Arial" w:hAnsi="Arial" w:cs="Arial"/>
          <w:b/>
          <w:bCs/>
          <w:sz w:val="24"/>
          <w:szCs w:val="24"/>
          <w:lang w:val="en-US"/>
        </w:rPr>
        <w:t>1</w:t>
      </w:r>
      <w:r w:rsidR="003A394D">
        <w:rPr>
          <w:rFonts w:ascii="Arial" w:hAnsi="Arial" w:cs="Arial"/>
          <w:b/>
          <w:bCs/>
          <w:sz w:val="24"/>
          <w:szCs w:val="24"/>
          <w:lang w:val="en-US"/>
        </w:rPr>
        <w:t>.</w:t>
      </w:r>
      <w:r w:rsidR="003A394D" w:rsidRPr="003A394D">
        <w:rPr>
          <w:rFonts w:ascii="Arial" w:hAnsi="Arial" w:cs="Arial"/>
        </w:rPr>
        <w:t xml:space="preserve"> </w:t>
      </w:r>
      <w:r w:rsidR="003A394D" w:rsidRPr="00983A23">
        <w:rPr>
          <w:rFonts w:ascii="Arial" w:hAnsi="Arial" w:cs="Arial"/>
        </w:rPr>
        <w:t>Overlay of the STEM-HAADF and EDXS map of the Cu-NCB catalyst post catalysis.</w:t>
      </w:r>
    </w:p>
    <w:p w14:paraId="4136FA64" w14:textId="77777777" w:rsidR="005E4531" w:rsidRDefault="005E4531">
      <w:pPr>
        <w:pStyle w:val="Caption"/>
        <w:jc w:val="both"/>
        <w:rPr>
          <w:rFonts w:ascii="Arial" w:hAnsi="Arial" w:cs="Arial"/>
          <w:i w:val="0"/>
          <w:iCs w:val="0"/>
        </w:rPr>
      </w:pPr>
    </w:p>
    <w:p w14:paraId="56AD6BAA" w14:textId="50EFF892" w:rsidR="00B46C9F" w:rsidRPr="0043733D" w:rsidRDefault="0086050E" w:rsidP="00BB5211">
      <w:pPr>
        <w:spacing w:after="100" w:afterAutospacing="1" w:line="360" w:lineRule="auto"/>
        <w:jc w:val="center"/>
        <w:rPr>
          <w:rFonts w:ascii="Arial" w:hAnsi="Arial" w:cs="Arial"/>
          <w:b/>
          <w:sz w:val="28"/>
          <w:lang w:val="en-US"/>
        </w:rPr>
      </w:pPr>
      <w:r>
        <w:rPr>
          <w:rFonts w:ascii="Arial" w:hAnsi="Arial" w:cs="Arial"/>
          <w:b/>
          <w:noProof/>
          <w:sz w:val="28"/>
          <w:lang w:val="en-US"/>
        </w:rPr>
        <w:lastRenderedPageBreak/>
        <w:drawing>
          <wp:inline distT="0" distB="0" distL="0" distR="0" wp14:anchorId="211FCAB7" wp14:editId="100720C6">
            <wp:extent cx="5731510" cy="5697855"/>
            <wp:effectExtent l="0" t="0" r="2540" b="0"/>
            <wp:docPr id="1627573311" name="Picture 2"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73311" name="Picture 2" descr="A collage of graphs and diagrams&#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5697855"/>
                    </a:xfrm>
                    <a:prstGeom prst="rect">
                      <a:avLst/>
                    </a:prstGeom>
                  </pic:spPr>
                </pic:pic>
              </a:graphicData>
            </a:graphic>
          </wp:inline>
        </w:drawing>
      </w:r>
    </w:p>
    <w:p w14:paraId="6673EE02" w14:textId="161A9BE0" w:rsidR="005E4531" w:rsidRPr="00320FDF" w:rsidRDefault="006B323D" w:rsidP="00320FDF">
      <w:pPr>
        <w:spacing w:after="100" w:afterAutospacing="1" w:line="360" w:lineRule="auto"/>
        <w:jc w:val="both"/>
        <w:rPr>
          <w:rFonts w:ascii="Arial" w:hAnsi="Arial"/>
          <w:sz w:val="24"/>
          <w:lang w:val="en-US"/>
        </w:rPr>
      </w:pPr>
      <w:r w:rsidRPr="00320FDF">
        <w:rPr>
          <w:rFonts w:ascii="Arial" w:hAnsi="Arial"/>
          <w:b/>
          <w:sz w:val="24"/>
          <w:lang w:val="en-US"/>
        </w:rPr>
        <w:t>Figure S</w:t>
      </w:r>
      <w:r w:rsidR="00B725E8">
        <w:rPr>
          <w:rFonts w:ascii="Arial" w:hAnsi="Arial"/>
          <w:b/>
          <w:sz w:val="24"/>
          <w:lang w:val="en-US"/>
        </w:rPr>
        <w:t>3</w:t>
      </w:r>
      <w:r w:rsidR="003205C7">
        <w:rPr>
          <w:rFonts w:ascii="Arial" w:hAnsi="Arial"/>
          <w:b/>
          <w:sz w:val="24"/>
          <w:lang w:val="en-US"/>
        </w:rPr>
        <w:t>2</w:t>
      </w:r>
      <w:r w:rsidR="00B725E8">
        <w:rPr>
          <w:rFonts w:ascii="Arial" w:hAnsi="Arial"/>
          <w:b/>
          <w:sz w:val="24"/>
          <w:lang w:val="en-US"/>
        </w:rPr>
        <w:t>.</w:t>
      </w:r>
      <w:r w:rsidRPr="00320FDF">
        <w:rPr>
          <w:rFonts w:ascii="Arial" w:hAnsi="Arial"/>
          <w:sz w:val="24"/>
          <w:lang w:val="en-US"/>
        </w:rPr>
        <w:t xml:space="preserve"> A)</w:t>
      </w:r>
      <w:r w:rsidRPr="00320FDF">
        <w:rPr>
          <w:rFonts w:ascii="Arial" w:hAnsi="Arial"/>
          <w:b/>
          <w:sz w:val="24"/>
          <w:lang w:val="en-US"/>
        </w:rPr>
        <w:t xml:space="preserve"> </w:t>
      </w:r>
      <w:r w:rsidRPr="00320FDF">
        <w:rPr>
          <w:rFonts w:ascii="Arial" w:hAnsi="Arial"/>
          <w:sz w:val="24"/>
          <w:lang w:val="en-US"/>
        </w:rPr>
        <w:t>EXAFS spectrum of Cu-GO composite catalyst post catalysis (-0.5 V vs RHE) and metallic Cu as reference. B) EXAFS spectrum of Cu-NCB composite catalyst post catalysis (-0.5 V vs RHE) and metallic Cu as reference. C) XANES spectra post catalysis of the Cu-NCB/GO composite catalysis (-0.5 V vs RHE). D) STEM-HAADF EDXS map overlay of the Cu-NCB composite catalyst after catalysis.</w:t>
      </w:r>
    </w:p>
    <w:p w14:paraId="771D053E" w14:textId="03F9F10C" w:rsidR="00D34275" w:rsidRDefault="002B0711" w:rsidP="00BB5211">
      <w:pPr>
        <w:spacing w:after="100" w:afterAutospacing="1" w:line="360" w:lineRule="auto"/>
        <w:jc w:val="center"/>
        <w:rPr>
          <w:rFonts w:ascii="Arial" w:hAnsi="Arial" w:cs="Arial"/>
          <w:bCs/>
          <w:sz w:val="28"/>
          <w:lang w:val="en-US"/>
        </w:rPr>
      </w:pPr>
      <w:r>
        <w:rPr>
          <w:rFonts w:ascii="Arial" w:hAnsi="Arial" w:cs="Arial"/>
          <w:bCs/>
          <w:noProof/>
          <w:sz w:val="28"/>
          <w:lang w:val="en-US"/>
        </w:rPr>
        <w:lastRenderedPageBreak/>
        <w:drawing>
          <wp:inline distT="0" distB="0" distL="0" distR="0" wp14:anchorId="26A0F8E8" wp14:editId="2750566F">
            <wp:extent cx="5731510" cy="8524875"/>
            <wp:effectExtent l="0" t="0" r="2540" b="9525"/>
            <wp:docPr id="967791654" name="Picture 8"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91654" name="Picture 8" descr="A graph of a function&#10;&#10;Description automatically generated with medium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8524875"/>
                    </a:xfrm>
                    <a:prstGeom prst="rect">
                      <a:avLst/>
                    </a:prstGeom>
                  </pic:spPr>
                </pic:pic>
              </a:graphicData>
            </a:graphic>
          </wp:inline>
        </w:drawing>
      </w:r>
    </w:p>
    <w:p w14:paraId="7DB3680D" w14:textId="20C49A5A" w:rsidR="005E4531" w:rsidRDefault="006B323D" w:rsidP="00320FDF">
      <w:pPr>
        <w:spacing w:after="100" w:afterAutospacing="1" w:line="360" w:lineRule="auto"/>
        <w:jc w:val="both"/>
        <w:rPr>
          <w:rFonts w:ascii="Arial" w:hAnsi="Arial" w:cs="Arial"/>
          <w:sz w:val="28"/>
          <w:szCs w:val="28"/>
          <w:lang w:val="en-US"/>
        </w:rPr>
      </w:pPr>
      <w:r>
        <w:rPr>
          <w:rFonts w:ascii="Arial" w:hAnsi="Arial" w:cs="Arial"/>
          <w:b/>
          <w:bCs/>
          <w:sz w:val="24"/>
          <w:szCs w:val="24"/>
          <w:lang w:val="en-US"/>
        </w:rPr>
        <w:lastRenderedPageBreak/>
        <w:t>Figure S</w:t>
      </w:r>
      <w:r w:rsidR="00B725E8">
        <w:rPr>
          <w:rFonts w:ascii="Arial" w:hAnsi="Arial" w:cs="Arial"/>
          <w:b/>
          <w:bCs/>
          <w:sz w:val="24"/>
          <w:szCs w:val="24"/>
          <w:lang w:val="en-US"/>
        </w:rPr>
        <w:t>3</w:t>
      </w:r>
      <w:r w:rsidR="00C42371">
        <w:rPr>
          <w:rFonts w:ascii="Arial" w:hAnsi="Arial" w:cs="Arial"/>
          <w:b/>
          <w:bCs/>
          <w:sz w:val="24"/>
          <w:szCs w:val="24"/>
          <w:lang w:val="en-US"/>
        </w:rPr>
        <w:t>3</w:t>
      </w:r>
      <w:r>
        <w:rPr>
          <w:rFonts w:ascii="Arial" w:hAnsi="Arial" w:cs="Arial"/>
          <w:b/>
          <w:bCs/>
          <w:sz w:val="24"/>
          <w:szCs w:val="24"/>
          <w:lang w:val="en-US"/>
        </w:rPr>
        <w:t xml:space="preserve">. </w:t>
      </w:r>
      <w:r w:rsidR="003764A6">
        <w:rPr>
          <w:rFonts w:ascii="Arial" w:hAnsi="Arial" w:cs="Arial"/>
          <w:sz w:val="24"/>
          <w:szCs w:val="24"/>
        </w:rPr>
        <w:t xml:space="preserve">The </w:t>
      </w:r>
      <w:r w:rsidR="003764A6">
        <w:rPr>
          <w:rFonts w:ascii="Arial" w:hAnsi="Arial" w:cs="Arial"/>
          <w:i/>
          <w:iCs/>
          <w:sz w:val="24"/>
          <w:szCs w:val="24"/>
        </w:rPr>
        <w:t>k</w:t>
      </w:r>
      <w:r w:rsidR="003764A6">
        <w:rPr>
          <w:rFonts w:ascii="Arial" w:hAnsi="Arial" w:cs="Arial"/>
          <w:sz w:val="24"/>
          <w:szCs w:val="24"/>
          <w:vertAlign w:val="superscript"/>
        </w:rPr>
        <w:t>3</w:t>
      </w:r>
      <w:r w:rsidR="003764A6">
        <w:rPr>
          <w:rFonts w:ascii="Arial" w:hAnsi="Arial" w:cs="Arial"/>
          <w:sz w:val="24"/>
          <w:szCs w:val="24"/>
        </w:rPr>
        <w:t xml:space="preserve">-weighted </w:t>
      </w:r>
      <w:r w:rsidR="003764A6">
        <w:rPr>
          <w:rFonts w:ascii="Arial" w:hAnsi="Arial" w:cs="Arial"/>
          <w:sz w:val="24"/>
          <w:szCs w:val="24"/>
          <w:lang w:val="en-US"/>
        </w:rPr>
        <w:t>EXAFS</w:t>
      </w:r>
      <w:r w:rsidR="003764A6">
        <w:rPr>
          <w:rFonts w:ascii="Arial" w:hAnsi="Arial" w:cs="Arial"/>
          <w:sz w:val="24"/>
          <w:szCs w:val="24"/>
        </w:rPr>
        <w:t xml:space="preserve"> of the </w:t>
      </w:r>
      <w:r w:rsidR="003764A6">
        <w:rPr>
          <w:rFonts w:ascii="Arial" w:hAnsi="Arial" w:cs="Arial"/>
          <w:sz w:val="24"/>
          <w:szCs w:val="24"/>
          <w:lang w:val="en-US"/>
        </w:rPr>
        <w:t>Cu-GO catalyst after catalysis (-500 mV vs RHE)</w:t>
      </w:r>
      <w:r w:rsidR="003764A6">
        <w:rPr>
          <w:rFonts w:ascii="Arial" w:hAnsi="Arial" w:cs="Arial"/>
          <w:sz w:val="24"/>
          <w:szCs w:val="24"/>
        </w:rPr>
        <w:t xml:space="preserve"> and the respective fit plotted in </w:t>
      </w:r>
      <w:r w:rsidR="003764A6">
        <w:rPr>
          <w:rFonts w:ascii="Arial" w:hAnsi="Arial" w:cs="Arial"/>
          <w:i/>
          <w:iCs/>
          <w:sz w:val="24"/>
          <w:szCs w:val="24"/>
        </w:rPr>
        <w:t>k</w:t>
      </w:r>
      <w:r w:rsidR="003764A6">
        <w:rPr>
          <w:rFonts w:ascii="Arial" w:hAnsi="Arial" w:cs="Arial"/>
          <w:sz w:val="24"/>
          <w:szCs w:val="24"/>
        </w:rPr>
        <w:t>-space</w:t>
      </w:r>
      <w:r w:rsidR="003764A6">
        <w:rPr>
          <w:rFonts w:ascii="Arial" w:hAnsi="Arial" w:cs="Arial"/>
          <w:sz w:val="24"/>
          <w:szCs w:val="24"/>
          <w:lang w:val="en-US"/>
        </w:rPr>
        <w:t xml:space="preserve"> </w:t>
      </w:r>
      <w:r w:rsidR="003764A6" w:rsidRPr="00747187">
        <w:rPr>
          <w:rFonts w:ascii="Arial" w:hAnsi="Arial" w:cs="Arial"/>
          <w:bCs/>
          <w:sz w:val="24"/>
          <w:szCs w:val="24"/>
          <w:lang w:val="en-US"/>
        </w:rPr>
        <w:t>(A)</w:t>
      </w:r>
      <w:r w:rsidR="003764A6">
        <w:rPr>
          <w:rFonts w:ascii="Arial" w:hAnsi="Arial" w:cs="Arial"/>
          <w:bCs/>
          <w:sz w:val="24"/>
          <w:szCs w:val="24"/>
          <w:lang w:val="en-US"/>
        </w:rPr>
        <w:t xml:space="preserve"> and in </w:t>
      </w:r>
      <w:r w:rsidR="003764A6" w:rsidRPr="00DF68BA">
        <w:rPr>
          <w:rFonts w:ascii="Arial" w:hAnsi="Arial" w:cs="Arial"/>
          <w:bCs/>
          <w:i/>
          <w:iCs/>
          <w:sz w:val="24"/>
          <w:szCs w:val="24"/>
          <w:lang w:val="en-US"/>
        </w:rPr>
        <w:t>R</w:t>
      </w:r>
      <w:r w:rsidR="003764A6">
        <w:rPr>
          <w:rFonts w:ascii="Arial" w:hAnsi="Arial" w:cs="Arial"/>
          <w:bCs/>
          <w:sz w:val="24"/>
          <w:szCs w:val="24"/>
          <w:lang w:val="en-US"/>
        </w:rPr>
        <w:t>-space (B)</w:t>
      </w:r>
      <w:r w:rsidR="003764A6">
        <w:rPr>
          <w:rFonts w:ascii="Arial" w:hAnsi="Arial" w:cs="Arial"/>
          <w:sz w:val="24"/>
          <w:szCs w:val="24"/>
        </w:rPr>
        <w:t xml:space="preserve">. </w:t>
      </w:r>
      <w:r w:rsidR="003764A6">
        <w:rPr>
          <w:rFonts w:ascii="Arial" w:hAnsi="Arial" w:cs="Arial"/>
          <w:sz w:val="24"/>
          <w:szCs w:val="24"/>
          <w:lang w:val="en-US"/>
        </w:rPr>
        <w:t xml:space="preserve">The window is the k-range included in the fit. The window of the R space included in the fit is 1-3 </w:t>
      </w:r>
      <w:r w:rsidR="003764A6">
        <w:rPr>
          <w:rFonts w:ascii="Arial" w:hAnsi="Arial" w:cs="Arial"/>
          <w:sz w:val="24"/>
          <w:szCs w:val="24"/>
        </w:rPr>
        <w:t>Å</w:t>
      </w:r>
      <w:r w:rsidR="003764A6">
        <w:rPr>
          <w:rFonts w:ascii="Arial" w:hAnsi="Arial" w:cs="Arial"/>
          <w:sz w:val="24"/>
          <w:szCs w:val="24"/>
          <w:lang w:val="en-US"/>
        </w:rPr>
        <w:t>.</w:t>
      </w:r>
      <w:r w:rsidR="003764A6">
        <w:rPr>
          <w:rFonts w:ascii="Arial" w:hAnsi="Arial" w:cs="Arial"/>
          <w:sz w:val="28"/>
          <w:szCs w:val="28"/>
          <w:lang w:val="en-US"/>
        </w:rPr>
        <w:t xml:space="preserve"> </w:t>
      </w:r>
    </w:p>
    <w:p w14:paraId="66ABA5F1" w14:textId="77777777" w:rsidR="005E4531" w:rsidRDefault="006B323D">
      <w:pPr>
        <w:spacing w:line="360" w:lineRule="auto"/>
        <w:jc w:val="both"/>
        <w:rPr>
          <w:rFonts w:ascii="Arial" w:hAnsi="Arial" w:cs="Arial"/>
          <w:sz w:val="24"/>
          <w:szCs w:val="24"/>
        </w:rPr>
      </w:pPr>
      <w:r>
        <w:rPr>
          <w:rFonts w:ascii="Arial" w:hAnsi="Arial" w:cs="Arial"/>
          <w:b/>
          <w:sz w:val="24"/>
          <w:szCs w:val="24"/>
        </w:rPr>
        <w:t>Table S</w:t>
      </w:r>
      <w:r>
        <w:rPr>
          <w:rFonts w:ascii="Arial" w:hAnsi="Arial" w:cs="Arial"/>
          <w:b/>
          <w:sz w:val="24"/>
          <w:szCs w:val="24"/>
          <w:lang w:val="en-US"/>
        </w:rPr>
        <w:t>12</w:t>
      </w:r>
      <w:r>
        <w:rPr>
          <w:rFonts w:ascii="Arial" w:hAnsi="Arial" w:cs="Arial"/>
          <w:b/>
          <w:sz w:val="24"/>
          <w:szCs w:val="24"/>
        </w:rPr>
        <w:t xml:space="preserve">. </w:t>
      </w:r>
      <w:r>
        <w:rPr>
          <w:rFonts w:ascii="Arial" w:hAnsi="Arial" w:cs="Arial"/>
          <w:bCs/>
          <w:sz w:val="24"/>
          <w:szCs w:val="24"/>
        </w:rPr>
        <w:t xml:space="preserve">EXAFS fitting parameters of the </w:t>
      </w:r>
      <w:r>
        <w:rPr>
          <w:rFonts w:ascii="Arial" w:hAnsi="Arial" w:cs="Arial"/>
          <w:bCs/>
          <w:sz w:val="24"/>
          <w:szCs w:val="24"/>
          <w:lang w:val="en-US"/>
        </w:rPr>
        <w:t>Cu-GO catalyst post catalysis</w:t>
      </w:r>
      <w:r>
        <w:rPr>
          <w:rFonts w:ascii="Arial" w:hAnsi="Arial" w:cs="Arial"/>
          <w:bCs/>
          <w:sz w:val="24"/>
          <w:szCs w:val="24"/>
        </w:rPr>
        <w:t>.</w:t>
      </w:r>
    </w:p>
    <w:tbl>
      <w:tblPr>
        <w:tblW w:w="9007" w:type="dxa"/>
        <w:tblCellMar>
          <w:left w:w="0" w:type="dxa"/>
          <w:right w:w="0" w:type="dxa"/>
        </w:tblCellMar>
        <w:tblLook w:val="0420" w:firstRow="1" w:lastRow="0" w:firstColumn="0" w:lastColumn="0" w:noHBand="0" w:noVBand="1"/>
      </w:tblPr>
      <w:tblGrid>
        <w:gridCol w:w="1493"/>
        <w:gridCol w:w="1346"/>
        <w:gridCol w:w="1506"/>
        <w:gridCol w:w="874"/>
        <w:gridCol w:w="1029"/>
        <w:gridCol w:w="1533"/>
        <w:gridCol w:w="1226"/>
      </w:tblGrid>
      <w:tr w:rsidR="00160A73" w14:paraId="790D9D70" w14:textId="647DED92" w:rsidTr="00D96832">
        <w:trPr>
          <w:trHeight w:val="971"/>
        </w:trPr>
        <w:tc>
          <w:tcPr>
            <w:tcW w:w="1493"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367D5871" w14:textId="77777777" w:rsidR="00160A73" w:rsidRDefault="00160A73" w:rsidP="00160A73">
            <w:pPr>
              <w:spacing w:line="360" w:lineRule="auto"/>
              <w:jc w:val="both"/>
              <w:rPr>
                <w:rFonts w:ascii="Arial" w:hAnsi="Arial" w:cs="Arial"/>
                <w:sz w:val="24"/>
                <w:szCs w:val="24"/>
              </w:rPr>
            </w:pPr>
            <w:r>
              <w:rPr>
                <w:rFonts w:ascii="Arial" w:hAnsi="Arial" w:cs="Arial"/>
                <w:b/>
                <w:bCs/>
                <w:sz w:val="24"/>
                <w:szCs w:val="24"/>
              </w:rPr>
              <w:t>Coordination shell</w:t>
            </w:r>
          </w:p>
        </w:tc>
        <w:tc>
          <w:tcPr>
            <w:tcW w:w="1346"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01B6BB59" w14:textId="037989F1" w:rsidR="00160A73" w:rsidRDefault="00160A73" w:rsidP="00160A73">
            <w:pPr>
              <w:spacing w:line="360" w:lineRule="auto"/>
              <w:jc w:val="both"/>
              <w:rPr>
                <w:rFonts w:ascii="Arial" w:hAnsi="Arial" w:cs="Arial"/>
                <w:sz w:val="24"/>
                <w:szCs w:val="24"/>
              </w:rPr>
            </w:pPr>
            <w:r>
              <w:rPr>
                <w:rFonts w:ascii="Arial" w:hAnsi="Arial" w:cs="Arial"/>
                <w:b/>
                <w:bCs/>
                <w:sz w:val="24"/>
                <w:szCs w:val="24"/>
                <w:vertAlign w:val="superscript"/>
              </w:rPr>
              <w:t>a</w:t>
            </w:r>
            <w:r>
              <w:rPr>
                <w:rFonts w:ascii="Arial" w:hAnsi="Arial" w:cs="Arial"/>
                <w:b/>
                <w:bCs/>
                <w:sz w:val="24"/>
                <w:szCs w:val="24"/>
              </w:rPr>
              <w:t>S</w:t>
            </w:r>
            <w:r>
              <w:rPr>
                <w:rFonts w:ascii="Arial" w:hAnsi="Arial" w:cs="Arial"/>
                <w:b/>
                <w:bCs/>
                <w:sz w:val="24"/>
                <w:szCs w:val="24"/>
                <w:vertAlign w:val="superscript"/>
              </w:rPr>
              <w:t>2</w:t>
            </w:r>
            <w:r>
              <w:rPr>
                <w:rFonts w:ascii="Arial" w:hAnsi="Arial" w:cs="Arial"/>
                <w:b/>
                <w:bCs/>
                <w:sz w:val="24"/>
                <w:szCs w:val="24"/>
                <w:vertAlign w:val="subscript"/>
              </w:rPr>
              <w:t>0</w:t>
            </w:r>
            <w:r w:rsidRPr="00EE264F">
              <w:rPr>
                <w:rFonts w:ascii="Arial" w:hAnsi="Arial" w:cs="Arial"/>
                <w:b/>
                <w:bCs/>
                <w:sz w:val="24"/>
                <w:szCs w:val="24"/>
                <w:highlight w:val="yellow"/>
                <w:vertAlign w:val="subscript"/>
              </w:rPr>
              <w:t>,</w:t>
            </w:r>
            <w:r>
              <w:rPr>
                <w:rFonts w:ascii="Arial" w:hAnsi="Arial" w:cs="Arial"/>
                <w:b/>
                <w:bCs/>
                <w:sz w:val="24"/>
                <w:szCs w:val="24"/>
                <w:vertAlign w:val="subscript"/>
                <w:lang w:val="en-US"/>
              </w:rPr>
              <w:t>Cu</w:t>
            </w:r>
            <w:r>
              <w:rPr>
                <w:rFonts w:ascii="Arial" w:hAnsi="Arial" w:cs="Arial"/>
                <w:b/>
                <w:bCs/>
                <w:sz w:val="24"/>
                <w:szCs w:val="24"/>
                <w:vertAlign w:val="superscript"/>
              </w:rPr>
              <w:t xml:space="preserve"> </w:t>
            </w:r>
          </w:p>
        </w:tc>
        <w:tc>
          <w:tcPr>
            <w:tcW w:w="1506"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5A3E0612" w14:textId="77777777" w:rsidR="00160A73" w:rsidRDefault="00160A73" w:rsidP="00160A73">
            <w:pPr>
              <w:spacing w:line="360" w:lineRule="auto"/>
              <w:jc w:val="both"/>
              <w:rPr>
                <w:rFonts w:ascii="Arial" w:hAnsi="Arial" w:cs="Arial"/>
                <w:sz w:val="24"/>
                <w:szCs w:val="24"/>
              </w:rPr>
            </w:pPr>
            <w:r>
              <w:rPr>
                <w:rFonts w:ascii="Arial" w:hAnsi="Arial" w:cs="Arial"/>
                <w:b/>
                <w:bCs/>
                <w:sz w:val="24"/>
                <w:szCs w:val="24"/>
              </w:rPr>
              <w:t>Coordination number</w:t>
            </w:r>
          </w:p>
        </w:tc>
        <w:tc>
          <w:tcPr>
            <w:tcW w:w="874"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87BB7FC" w14:textId="77777777" w:rsidR="00160A73" w:rsidRDefault="00160A73" w:rsidP="00160A73">
            <w:pPr>
              <w:spacing w:line="360" w:lineRule="auto"/>
              <w:jc w:val="both"/>
              <w:rPr>
                <w:rFonts w:ascii="Arial" w:hAnsi="Arial" w:cs="Arial"/>
                <w:sz w:val="24"/>
                <w:szCs w:val="24"/>
              </w:rPr>
            </w:pPr>
            <w:r>
              <w:rPr>
                <w:rFonts w:ascii="Arial" w:hAnsi="Arial" w:cs="Arial"/>
                <w:b/>
                <w:bCs/>
                <w:sz w:val="24"/>
                <w:szCs w:val="24"/>
                <w:vertAlign w:val="superscript"/>
              </w:rPr>
              <w:t>b</w:t>
            </w:r>
            <w:r>
              <w:rPr>
                <w:rFonts w:ascii="Arial" w:hAnsi="Arial" w:cs="Arial"/>
                <w:b/>
                <w:bCs/>
                <w:sz w:val="24"/>
                <w:szCs w:val="24"/>
                <w:lang w:val="el-GR"/>
              </w:rPr>
              <w:t>Δ</w:t>
            </w:r>
            <w:proofErr w:type="spellStart"/>
            <w:r>
              <w:rPr>
                <w:rFonts w:ascii="Arial" w:hAnsi="Arial" w:cs="Arial"/>
                <w:b/>
                <w:bCs/>
                <w:sz w:val="24"/>
                <w:szCs w:val="24"/>
              </w:rPr>
              <w:t>E</w:t>
            </w:r>
            <w:r>
              <w:rPr>
                <w:rFonts w:ascii="Arial" w:hAnsi="Arial" w:cs="Arial"/>
                <w:b/>
                <w:bCs/>
                <w:sz w:val="24"/>
                <w:szCs w:val="24"/>
                <w:vertAlign w:val="subscript"/>
              </w:rPr>
              <w:t>o</w:t>
            </w:r>
            <w:proofErr w:type="spellEnd"/>
            <w:r>
              <w:rPr>
                <w:rFonts w:ascii="Arial" w:hAnsi="Arial" w:cs="Arial"/>
                <w:b/>
                <w:bCs/>
                <w:sz w:val="24"/>
                <w:szCs w:val="24"/>
                <w:vertAlign w:val="subscript"/>
              </w:rPr>
              <w:t xml:space="preserve"> </w:t>
            </w:r>
            <w:r>
              <w:rPr>
                <w:rFonts w:ascii="Arial" w:hAnsi="Arial" w:cs="Arial"/>
                <w:b/>
                <w:bCs/>
                <w:sz w:val="24"/>
                <w:szCs w:val="24"/>
              </w:rPr>
              <w:t>[eV]</w:t>
            </w:r>
          </w:p>
        </w:tc>
        <w:tc>
          <w:tcPr>
            <w:tcW w:w="1029"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5D4E080D" w14:textId="77777777" w:rsidR="00160A73" w:rsidRDefault="00160A73" w:rsidP="00160A73">
            <w:pPr>
              <w:spacing w:line="360" w:lineRule="auto"/>
              <w:jc w:val="both"/>
              <w:rPr>
                <w:rFonts w:ascii="Arial" w:hAnsi="Arial" w:cs="Arial"/>
                <w:sz w:val="24"/>
                <w:szCs w:val="24"/>
              </w:rPr>
            </w:pPr>
            <w:r>
              <w:rPr>
                <w:rFonts w:ascii="Arial" w:hAnsi="Arial" w:cs="Arial"/>
                <w:b/>
                <w:bCs/>
                <w:sz w:val="24"/>
                <w:szCs w:val="24"/>
                <w:vertAlign w:val="superscript"/>
              </w:rPr>
              <w:t>c</w:t>
            </w:r>
            <w:r>
              <w:rPr>
                <w:rFonts w:ascii="Arial" w:hAnsi="Arial" w:cs="Arial"/>
                <w:b/>
                <w:bCs/>
                <w:sz w:val="24"/>
                <w:szCs w:val="24"/>
                <w:lang w:val="el-GR"/>
              </w:rPr>
              <w:t>Δ</w:t>
            </w:r>
            <w:r>
              <w:rPr>
                <w:rFonts w:ascii="Arial" w:hAnsi="Arial" w:cs="Arial"/>
                <w:b/>
                <w:bCs/>
                <w:sz w:val="24"/>
                <w:szCs w:val="24"/>
              </w:rPr>
              <w:t>R [</w:t>
            </w:r>
            <w:r>
              <w:rPr>
                <w:rFonts w:ascii="Arial" w:hAnsi="Arial" w:cs="Arial"/>
                <w:sz w:val="24"/>
                <w:szCs w:val="24"/>
              </w:rPr>
              <w:t>Å</w:t>
            </w:r>
            <w:r>
              <w:rPr>
                <w:rFonts w:ascii="Arial" w:hAnsi="Arial" w:cs="Arial"/>
                <w:b/>
                <w:bCs/>
                <w:sz w:val="24"/>
                <w:szCs w:val="24"/>
              </w:rPr>
              <w:t>]</w:t>
            </w:r>
          </w:p>
        </w:tc>
        <w:tc>
          <w:tcPr>
            <w:tcW w:w="1533"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597BBD5" w14:textId="77777777" w:rsidR="00160A73" w:rsidRDefault="00160A73" w:rsidP="00160A73">
            <w:pPr>
              <w:spacing w:line="360" w:lineRule="auto"/>
              <w:jc w:val="both"/>
              <w:rPr>
                <w:rFonts w:ascii="Arial" w:hAnsi="Arial" w:cs="Arial"/>
                <w:sz w:val="24"/>
                <w:szCs w:val="24"/>
              </w:rPr>
            </w:pPr>
            <w:r>
              <w:rPr>
                <w:rFonts w:ascii="Arial" w:hAnsi="Arial" w:cs="Arial"/>
                <w:b/>
                <w:bCs/>
                <w:sz w:val="24"/>
                <w:szCs w:val="24"/>
                <w:vertAlign w:val="superscript"/>
              </w:rPr>
              <w:t>d</w:t>
            </w:r>
            <w:r>
              <w:rPr>
                <w:rFonts w:ascii="Arial" w:hAnsi="Arial" w:cs="Arial"/>
                <w:b/>
                <w:bCs/>
                <w:sz w:val="24"/>
                <w:szCs w:val="24"/>
              </w:rPr>
              <w:t>σ</w:t>
            </w:r>
            <w:r>
              <w:rPr>
                <w:rFonts w:ascii="Arial" w:hAnsi="Arial" w:cs="Arial"/>
                <w:b/>
                <w:bCs/>
                <w:sz w:val="24"/>
                <w:szCs w:val="24"/>
                <w:vertAlign w:val="superscript"/>
              </w:rPr>
              <w:t>2</w:t>
            </w:r>
            <w:r>
              <w:rPr>
                <w:rFonts w:ascii="Arial" w:hAnsi="Arial" w:cs="Arial"/>
                <w:b/>
                <w:bCs/>
                <w:sz w:val="24"/>
                <w:szCs w:val="24"/>
              </w:rPr>
              <w:t xml:space="preserve"> [</w:t>
            </w:r>
            <w:r>
              <w:rPr>
                <w:rFonts w:ascii="Arial" w:hAnsi="Arial" w:cs="Arial"/>
                <w:sz w:val="24"/>
                <w:szCs w:val="24"/>
              </w:rPr>
              <w:t>Å</w:t>
            </w:r>
            <w:r>
              <w:rPr>
                <w:rFonts w:ascii="Arial" w:hAnsi="Arial" w:cs="Arial"/>
                <w:sz w:val="24"/>
                <w:szCs w:val="24"/>
                <w:vertAlign w:val="superscript"/>
              </w:rPr>
              <w:t>2</w:t>
            </w:r>
            <w:r>
              <w:rPr>
                <w:rFonts w:ascii="Arial" w:hAnsi="Arial" w:cs="Arial"/>
                <w:b/>
                <w:bCs/>
                <w:sz w:val="24"/>
                <w:szCs w:val="24"/>
              </w:rPr>
              <w:t>]</w:t>
            </w:r>
          </w:p>
        </w:tc>
        <w:tc>
          <w:tcPr>
            <w:tcW w:w="1226" w:type="dxa"/>
            <w:tcBorders>
              <w:top w:val="single" w:sz="8" w:space="0" w:color="A5A5A5"/>
              <w:left w:val="nil"/>
              <w:bottom w:val="single" w:sz="8" w:space="0" w:color="A5A5A5"/>
              <w:right w:val="nil"/>
            </w:tcBorders>
          </w:tcPr>
          <w:p w14:paraId="4E0FF119" w14:textId="16D5EF19" w:rsidR="00160A73" w:rsidRDefault="00160A73" w:rsidP="00160A73">
            <w:pPr>
              <w:spacing w:line="360" w:lineRule="auto"/>
              <w:jc w:val="both"/>
              <w:rPr>
                <w:rFonts w:ascii="Arial" w:hAnsi="Arial" w:cs="Arial"/>
                <w:b/>
                <w:bCs/>
                <w:sz w:val="24"/>
                <w:szCs w:val="24"/>
                <w:vertAlign w:val="superscript"/>
              </w:rPr>
            </w:pPr>
            <w:r w:rsidRPr="008A3D0C">
              <w:rPr>
                <w:rFonts w:ascii="Arial" w:hAnsi="Arial" w:cs="Arial"/>
                <w:b/>
                <w:bCs/>
                <w:sz w:val="24"/>
                <w:szCs w:val="24"/>
              </w:rPr>
              <w:t>R-factor</w:t>
            </w:r>
          </w:p>
        </w:tc>
      </w:tr>
      <w:tr w:rsidR="00160A73" w14:paraId="04DC6B31" w14:textId="6EB95612" w:rsidTr="00D96832">
        <w:trPr>
          <w:trHeight w:val="971"/>
        </w:trPr>
        <w:tc>
          <w:tcPr>
            <w:tcW w:w="1493"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1A5DC155" w14:textId="77777777" w:rsidR="00160A73" w:rsidRDefault="00160A73" w:rsidP="00160A73">
            <w:pPr>
              <w:spacing w:line="360" w:lineRule="auto"/>
              <w:jc w:val="both"/>
              <w:rPr>
                <w:rFonts w:ascii="Arial" w:hAnsi="Arial" w:cs="Arial"/>
                <w:sz w:val="24"/>
                <w:szCs w:val="24"/>
                <w:lang w:val="en-US"/>
              </w:rPr>
            </w:pPr>
            <w:r>
              <w:rPr>
                <w:rFonts w:ascii="Arial" w:hAnsi="Arial" w:cs="Arial"/>
                <w:sz w:val="24"/>
                <w:szCs w:val="24"/>
                <w:lang w:val="en-US"/>
              </w:rPr>
              <w:t>Cu</w:t>
            </w:r>
            <w:r>
              <w:rPr>
                <w:rFonts w:ascii="Arial" w:hAnsi="Arial" w:cs="Arial"/>
                <w:sz w:val="24"/>
                <w:szCs w:val="24"/>
              </w:rPr>
              <w:t>-</w:t>
            </w:r>
            <w:r>
              <w:rPr>
                <w:rFonts w:ascii="Arial" w:hAnsi="Arial" w:cs="Arial"/>
                <w:sz w:val="24"/>
                <w:szCs w:val="24"/>
                <w:lang w:val="en-US"/>
              </w:rPr>
              <w:t>Cu</w:t>
            </w:r>
          </w:p>
        </w:tc>
        <w:tc>
          <w:tcPr>
            <w:tcW w:w="1346"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19CEA63C" w14:textId="713FEA01" w:rsidR="00160A73" w:rsidRDefault="00160A73" w:rsidP="00160A73">
            <w:pPr>
              <w:spacing w:line="360" w:lineRule="auto"/>
              <w:jc w:val="both"/>
              <w:rPr>
                <w:rFonts w:ascii="Arial" w:hAnsi="Arial" w:cs="Arial"/>
                <w:sz w:val="24"/>
                <w:szCs w:val="24"/>
                <w:lang w:val="en-US"/>
              </w:rPr>
            </w:pPr>
            <w:r>
              <w:rPr>
                <w:rFonts w:ascii="Arial" w:hAnsi="Arial" w:cs="Arial"/>
                <w:sz w:val="24"/>
                <w:szCs w:val="24"/>
              </w:rPr>
              <w:t>0.85</w:t>
            </w:r>
            <w:r>
              <w:rPr>
                <w:rFonts w:ascii="Arial" w:hAnsi="Arial" w:cs="Arial"/>
                <w:sz w:val="24"/>
                <w:szCs w:val="24"/>
                <w:lang w:val="en-US"/>
              </w:rPr>
              <w:t>03</w:t>
            </w:r>
            <w:r>
              <w:rPr>
                <w:rFonts w:ascii="Arial" w:hAnsi="Arial" w:cs="Arial"/>
                <w:sz w:val="24"/>
                <w:szCs w:val="24"/>
              </w:rPr>
              <w:t xml:space="preserve">  ± 0.</w:t>
            </w:r>
            <w:r>
              <w:rPr>
                <w:rFonts w:ascii="Arial" w:hAnsi="Arial" w:cs="Arial"/>
                <w:sz w:val="24"/>
                <w:szCs w:val="24"/>
                <w:lang w:val="en-US"/>
              </w:rPr>
              <w:t>089</w:t>
            </w:r>
          </w:p>
        </w:tc>
        <w:tc>
          <w:tcPr>
            <w:tcW w:w="1506"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27CC02CC" w14:textId="612E132D" w:rsidR="00160A73" w:rsidRDefault="00160A73" w:rsidP="00160A73">
            <w:pPr>
              <w:spacing w:line="360" w:lineRule="auto"/>
              <w:jc w:val="both"/>
              <w:rPr>
                <w:rFonts w:ascii="Arial" w:hAnsi="Arial" w:cs="Arial"/>
                <w:sz w:val="24"/>
                <w:szCs w:val="24"/>
                <w:lang w:val="en-US"/>
              </w:rPr>
            </w:pPr>
            <w:r>
              <w:rPr>
                <w:rFonts w:ascii="Arial" w:hAnsi="Arial" w:cs="Arial"/>
                <w:sz w:val="24"/>
                <w:szCs w:val="24"/>
                <w:lang w:val="en-US"/>
              </w:rPr>
              <w:t>7.4</w:t>
            </w:r>
            <w:r>
              <w:rPr>
                <w:rFonts w:ascii="Arial" w:hAnsi="Arial" w:cs="Arial"/>
                <w:sz w:val="24"/>
                <w:szCs w:val="24"/>
              </w:rPr>
              <w:t xml:space="preserve">  ± </w:t>
            </w:r>
            <w:r>
              <w:rPr>
                <w:rFonts w:ascii="Arial" w:hAnsi="Arial" w:cs="Arial"/>
                <w:sz w:val="24"/>
                <w:szCs w:val="24"/>
                <w:lang w:val="en-US"/>
              </w:rPr>
              <w:t>3</w:t>
            </w:r>
            <w:r>
              <w:rPr>
                <w:rFonts w:ascii="Arial" w:hAnsi="Arial" w:cs="Arial"/>
                <w:sz w:val="24"/>
                <w:szCs w:val="24"/>
              </w:rPr>
              <w:t>.6</w:t>
            </w:r>
          </w:p>
        </w:tc>
        <w:tc>
          <w:tcPr>
            <w:tcW w:w="874"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58940C06" w14:textId="1A0D6A5D" w:rsidR="00160A73" w:rsidRPr="00AE22E6" w:rsidRDefault="00160A73" w:rsidP="00160A73">
            <w:pPr>
              <w:spacing w:line="360" w:lineRule="auto"/>
              <w:jc w:val="both"/>
              <w:rPr>
                <w:rFonts w:ascii="Arial" w:hAnsi="Arial" w:cs="Arial"/>
                <w:sz w:val="24"/>
                <w:szCs w:val="24"/>
                <w:lang w:val="en-US"/>
              </w:rPr>
            </w:pPr>
            <w:r>
              <w:rPr>
                <w:rFonts w:ascii="Arial" w:hAnsi="Arial" w:cs="Arial"/>
                <w:sz w:val="24"/>
                <w:szCs w:val="24"/>
                <w:lang w:val="en-US"/>
              </w:rPr>
              <w:t>5.4</w:t>
            </w:r>
            <w:r>
              <w:rPr>
                <w:rFonts w:ascii="Arial" w:hAnsi="Arial" w:cs="Arial"/>
                <w:sz w:val="24"/>
                <w:szCs w:val="24"/>
              </w:rPr>
              <w:t xml:space="preserve"> ± 2.</w:t>
            </w:r>
            <w:r>
              <w:rPr>
                <w:rFonts w:ascii="Arial" w:hAnsi="Arial" w:cs="Arial"/>
                <w:sz w:val="24"/>
                <w:szCs w:val="24"/>
                <w:lang w:val="en-US"/>
              </w:rPr>
              <w:t>1</w:t>
            </w:r>
          </w:p>
        </w:tc>
        <w:tc>
          <w:tcPr>
            <w:tcW w:w="1029"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429E19B2" w14:textId="6EBACE6D" w:rsidR="00160A73" w:rsidRDefault="00160A73" w:rsidP="00160A73">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0</w:t>
            </w:r>
            <w:r>
              <w:rPr>
                <w:rFonts w:ascii="Arial" w:hAnsi="Arial" w:cs="Arial"/>
                <w:sz w:val="24"/>
                <w:szCs w:val="24"/>
              </w:rPr>
              <w:t>29 ± 0.022</w:t>
            </w:r>
          </w:p>
        </w:tc>
        <w:tc>
          <w:tcPr>
            <w:tcW w:w="1533"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464CA17F" w14:textId="63576566" w:rsidR="00160A73" w:rsidRPr="007C4F0A" w:rsidRDefault="00160A73" w:rsidP="00160A73">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102</w:t>
            </w:r>
            <w:r>
              <w:rPr>
                <w:rFonts w:ascii="Arial" w:hAnsi="Arial" w:cs="Arial"/>
                <w:sz w:val="24"/>
                <w:szCs w:val="24"/>
              </w:rPr>
              <w:t xml:space="preserve">  ± 0.00</w:t>
            </w:r>
            <w:r>
              <w:rPr>
                <w:rFonts w:ascii="Arial" w:hAnsi="Arial" w:cs="Arial"/>
                <w:sz w:val="24"/>
                <w:szCs w:val="24"/>
                <w:lang w:val="en-US"/>
              </w:rPr>
              <w:t>35</w:t>
            </w:r>
          </w:p>
        </w:tc>
        <w:tc>
          <w:tcPr>
            <w:tcW w:w="1226" w:type="dxa"/>
            <w:tcBorders>
              <w:top w:val="single" w:sz="8" w:space="0" w:color="A5A5A5"/>
              <w:left w:val="nil"/>
              <w:bottom w:val="nil"/>
              <w:right w:val="nil"/>
            </w:tcBorders>
            <w:shd w:val="clear" w:color="auto" w:fill="F0F0F0"/>
          </w:tcPr>
          <w:p w14:paraId="5727EA4C" w14:textId="6E980D11" w:rsidR="00160A73" w:rsidRPr="00485A9B" w:rsidRDefault="00160A73" w:rsidP="00160A73">
            <w:pPr>
              <w:spacing w:line="360" w:lineRule="auto"/>
              <w:jc w:val="both"/>
              <w:rPr>
                <w:rFonts w:ascii="Arial" w:hAnsi="Arial" w:cs="Arial"/>
                <w:sz w:val="24"/>
                <w:szCs w:val="24"/>
                <w:lang w:val="en-US"/>
              </w:rPr>
            </w:pPr>
            <w:r>
              <w:rPr>
                <w:rFonts w:ascii="Arial" w:hAnsi="Arial" w:cs="Arial"/>
                <w:sz w:val="24"/>
                <w:szCs w:val="24"/>
              </w:rPr>
              <w:t>0.0</w:t>
            </w:r>
            <w:r w:rsidR="00485A9B">
              <w:rPr>
                <w:rFonts w:ascii="Arial" w:hAnsi="Arial" w:cs="Arial"/>
                <w:sz w:val="24"/>
                <w:szCs w:val="24"/>
                <w:lang w:val="en-US"/>
              </w:rPr>
              <w:t>27</w:t>
            </w:r>
          </w:p>
        </w:tc>
      </w:tr>
      <w:tr w:rsidR="000D192D" w14:paraId="134E3862" w14:textId="6546D7C3" w:rsidTr="00D96832">
        <w:trPr>
          <w:trHeight w:val="971"/>
        </w:trPr>
        <w:tc>
          <w:tcPr>
            <w:tcW w:w="1493"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1708F96A" w14:textId="31123E6B" w:rsidR="000D192D" w:rsidRDefault="000D192D" w:rsidP="00BC62CA">
            <w:pPr>
              <w:spacing w:line="360" w:lineRule="auto"/>
              <w:jc w:val="both"/>
              <w:rPr>
                <w:rFonts w:ascii="Arial" w:hAnsi="Arial" w:cs="Arial"/>
                <w:sz w:val="24"/>
                <w:szCs w:val="24"/>
                <w:lang w:val="en-US"/>
              </w:rPr>
            </w:pPr>
            <w:r>
              <w:rPr>
                <w:rFonts w:ascii="Arial" w:hAnsi="Arial" w:cs="Arial"/>
                <w:sz w:val="24"/>
                <w:szCs w:val="24"/>
                <w:lang w:val="en-US"/>
              </w:rPr>
              <w:t>Cu-O</w:t>
            </w:r>
          </w:p>
        </w:tc>
        <w:tc>
          <w:tcPr>
            <w:tcW w:w="1346"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4E551D57" w14:textId="29BCA9B1" w:rsidR="000D192D" w:rsidRDefault="000D192D" w:rsidP="00BC62CA">
            <w:pPr>
              <w:spacing w:line="360" w:lineRule="auto"/>
              <w:jc w:val="both"/>
              <w:rPr>
                <w:rFonts w:ascii="Arial" w:hAnsi="Arial" w:cs="Arial"/>
                <w:sz w:val="24"/>
                <w:szCs w:val="24"/>
              </w:rPr>
            </w:pPr>
            <w:r>
              <w:rPr>
                <w:rFonts w:ascii="Arial" w:hAnsi="Arial" w:cs="Arial"/>
                <w:sz w:val="24"/>
                <w:szCs w:val="24"/>
              </w:rPr>
              <w:t>0.85</w:t>
            </w:r>
            <w:r>
              <w:rPr>
                <w:rFonts w:ascii="Arial" w:hAnsi="Arial" w:cs="Arial"/>
                <w:sz w:val="24"/>
                <w:szCs w:val="24"/>
                <w:lang w:val="en-US"/>
              </w:rPr>
              <w:t>03</w:t>
            </w:r>
            <w:r>
              <w:rPr>
                <w:rFonts w:ascii="Arial" w:hAnsi="Arial" w:cs="Arial"/>
                <w:sz w:val="24"/>
                <w:szCs w:val="24"/>
              </w:rPr>
              <w:t xml:space="preserve">  ± 0.</w:t>
            </w:r>
            <w:r>
              <w:rPr>
                <w:rFonts w:ascii="Arial" w:hAnsi="Arial" w:cs="Arial"/>
                <w:sz w:val="24"/>
                <w:szCs w:val="24"/>
                <w:lang w:val="en-US"/>
              </w:rPr>
              <w:t>089</w:t>
            </w:r>
          </w:p>
        </w:tc>
        <w:tc>
          <w:tcPr>
            <w:tcW w:w="1506"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32537789" w14:textId="06B51139" w:rsidR="000D192D" w:rsidRDefault="000D192D" w:rsidP="00BC62CA">
            <w:pPr>
              <w:spacing w:line="360" w:lineRule="auto"/>
              <w:jc w:val="both"/>
              <w:rPr>
                <w:rFonts w:ascii="Arial" w:hAnsi="Arial" w:cs="Arial"/>
                <w:sz w:val="24"/>
                <w:szCs w:val="24"/>
                <w:lang w:val="en-US"/>
              </w:rPr>
            </w:pPr>
            <w:r>
              <w:rPr>
                <w:rFonts w:ascii="Arial" w:hAnsi="Arial" w:cs="Arial"/>
                <w:sz w:val="24"/>
                <w:szCs w:val="24"/>
                <w:lang w:val="en-US"/>
              </w:rPr>
              <w:t>1.8</w:t>
            </w:r>
            <w:r>
              <w:rPr>
                <w:rFonts w:ascii="Arial" w:hAnsi="Arial" w:cs="Arial"/>
                <w:sz w:val="24"/>
                <w:szCs w:val="24"/>
              </w:rPr>
              <w:t xml:space="preserve">  ± 0.6</w:t>
            </w:r>
          </w:p>
        </w:tc>
        <w:tc>
          <w:tcPr>
            <w:tcW w:w="874"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471D8FF2" w14:textId="6789E71E" w:rsidR="000D192D" w:rsidRDefault="000D192D" w:rsidP="00BC62CA">
            <w:pPr>
              <w:spacing w:line="360" w:lineRule="auto"/>
              <w:jc w:val="both"/>
              <w:rPr>
                <w:rFonts w:ascii="Arial" w:hAnsi="Arial" w:cs="Arial"/>
                <w:sz w:val="24"/>
                <w:szCs w:val="24"/>
                <w:lang w:val="en-US"/>
              </w:rPr>
            </w:pPr>
            <w:r>
              <w:rPr>
                <w:rFonts w:ascii="Arial" w:hAnsi="Arial" w:cs="Arial"/>
                <w:sz w:val="24"/>
                <w:szCs w:val="24"/>
                <w:lang w:val="en-US"/>
              </w:rPr>
              <w:t>5.4</w:t>
            </w:r>
            <w:r>
              <w:rPr>
                <w:rFonts w:ascii="Arial" w:hAnsi="Arial" w:cs="Arial"/>
                <w:sz w:val="24"/>
                <w:szCs w:val="24"/>
              </w:rPr>
              <w:t xml:space="preserve"> ± 2.</w:t>
            </w:r>
            <w:r>
              <w:rPr>
                <w:rFonts w:ascii="Arial" w:hAnsi="Arial" w:cs="Arial"/>
                <w:sz w:val="24"/>
                <w:szCs w:val="24"/>
                <w:lang w:val="en-US"/>
              </w:rPr>
              <w:t>1</w:t>
            </w:r>
          </w:p>
        </w:tc>
        <w:tc>
          <w:tcPr>
            <w:tcW w:w="1029"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54281433" w14:textId="778A4489" w:rsidR="000D192D" w:rsidRPr="00871AF0" w:rsidRDefault="000D192D" w:rsidP="00BC62CA">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0</w:t>
            </w:r>
            <w:r>
              <w:rPr>
                <w:rFonts w:ascii="Arial" w:hAnsi="Arial" w:cs="Arial"/>
                <w:sz w:val="24"/>
                <w:szCs w:val="24"/>
              </w:rPr>
              <w:t>2</w:t>
            </w:r>
            <w:r>
              <w:rPr>
                <w:rFonts w:ascii="Arial" w:hAnsi="Arial" w:cs="Arial"/>
                <w:sz w:val="24"/>
                <w:szCs w:val="24"/>
                <w:lang w:val="en-US"/>
              </w:rPr>
              <w:t>2</w:t>
            </w:r>
            <w:r>
              <w:rPr>
                <w:rFonts w:ascii="Arial" w:hAnsi="Arial" w:cs="Arial"/>
                <w:sz w:val="24"/>
                <w:szCs w:val="24"/>
              </w:rPr>
              <w:t xml:space="preserve"> ± 0.0</w:t>
            </w:r>
            <w:r>
              <w:rPr>
                <w:rFonts w:ascii="Arial" w:hAnsi="Arial" w:cs="Arial"/>
                <w:sz w:val="24"/>
                <w:szCs w:val="24"/>
                <w:lang w:val="en-US"/>
              </w:rPr>
              <w:t>17</w:t>
            </w:r>
          </w:p>
        </w:tc>
        <w:tc>
          <w:tcPr>
            <w:tcW w:w="1533"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209BC7D7" w14:textId="110578EA" w:rsidR="000D192D" w:rsidRDefault="000D192D" w:rsidP="00BC62CA">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102</w:t>
            </w:r>
            <w:r>
              <w:rPr>
                <w:rFonts w:ascii="Arial" w:hAnsi="Arial" w:cs="Arial"/>
                <w:sz w:val="24"/>
                <w:szCs w:val="24"/>
              </w:rPr>
              <w:t xml:space="preserve">  ± 0.00</w:t>
            </w:r>
            <w:r>
              <w:rPr>
                <w:rFonts w:ascii="Arial" w:hAnsi="Arial" w:cs="Arial"/>
                <w:sz w:val="24"/>
                <w:szCs w:val="24"/>
                <w:lang w:val="en-US"/>
              </w:rPr>
              <w:t>35</w:t>
            </w:r>
          </w:p>
        </w:tc>
        <w:tc>
          <w:tcPr>
            <w:tcW w:w="1226" w:type="dxa"/>
            <w:tcBorders>
              <w:top w:val="single" w:sz="8" w:space="0" w:color="A5A5A5"/>
              <w:left w:val="nil"/>
              <w:bottom w:val="nil"/>
              <w:right w:val="nil"/>
            </w:tcBorders>
            <w:shd w:val="clear" w:color="auto" w:fill="F0F0F0"/>
          </w:tcPr>
          <w:p w14:paraId="69D04248" w14:textId="53A67350" w:rsidR="000D192D" w:rsidRPr="00485A9B" w:rsidRDefault="00E60056" w:rsidP="00BC62CA">
            <w:pPr>
              <w:spacing w:line="360" w:lineRule="auto"/>
              <w:jc w:val="both"/>
              <w:rPr>
                <w:rFonts w:ascii="Arial" w:hAnsi="Arial" w:cs="Arial"/>
                <w:sz w:val="24"/>
                <w:szCs w:val="24"/>
                <w:lang w:val="en-US"/>
              </w:rPr>
            </w:pPr>
            <w:r>
              <w:rPr>
                <w:rFonts w:ascii="Arial" w:hAnsi="Arial" w:cs="Arial"/>
                <w:sz w:val="24"/>
                <w:szCs w:val="24"/>
              </w:rPr>
              <w:t>0.0</w:t>
            </w:r>
            <w:r w:rsidR="00485A9B">
              <w:rPr>
                <w:rFonts w:ascii="Arial" w:hAnsi="Arial" w:cs="Arial"/>
                <w:sz w:val="24"/>
                <w:szCs w:val="24"/>
                <w:lang w:val="en-US"/>
              </w:rPr>
              <w:t>27</w:t>
            </w:r>
          </w:p>
        </w:tc>
      </w:tr>
    </w:tbl>
    <w:p w14:paraId="5DCB5B47" w14:textId="699FA45F" w:rsidR="005E4531" w:rsidRDefault="006B323D">
      <w:pPr>
        <w:pStyle w:val="Caption"/>
        <w:jc w:val="both"/>
        <w:rPr>
          <w:rFonts w:ascii="Arial" w:hAnsi="Arial" w:cs="Arial"/>
          <w:i w:val="0"/>
          <w:iCs w:val="0"/>
        </w:rPr>
      </w:pPr>
      <w:r>
        <w:rPr>
          <w:rFonts w:ascii="Arial" w:hAnsi="Arial" w:cs="Arial"/>
          <w:i w:val="0"/>
          <w:iCs w:val="0"/>
        </w:rPr>
        <w:t>Fourier-transform parameters: k =3.0-</w:t>
      </w:r>
      <w:r w:rsidR="00871AF0">
        <w:rPr>
          <w:rFonts w:ascii="Arial" w:hAnsi="Arial" w:cs="Arial"/>
          <w:i w:val="0"/>
          <w:iCs w:val="0"/>
        </w:rPr>
        <w:t>9</w:t>
      </w:r>
      <w:r>
        <w:rPr>
          <w:rFonts w:ascii="Arial" w:hAnsi="Arial" w:cs="Arial"/>
          <w:i w:val="0"/>
          <w:iCs w:val="0"/>
        </w:rPr>
        <w:t>.</w:t>
      </w:r>
      <w:r w:rsidR="00871AF0">
        <w:rPr>
          <w:rFonts w:ascii="Arial" w:hAnsi="Arial" w:cs="Arial"/>
          <w:i w:val="0"/>
          <w:iCs w:val="0"/>
        </w:rPr>
        <w:t>5</w:t>
      </w:r>
      <w:r>
        <w:rPr>
          <w:rFonts w:ascii="Arial" w:hAnsi="Arial" w:cs="Arial"/>
          <w:i w:val="0"/>
          <w:iCs w:val="0"/>
        </w:rPr>
        <w:t xml:space="preserve"> Å</w:t>
      </w:r>
      <w:r>
        <w:rPr>
          <w:rFonts w:ascii="Arial" w:hAnsi="Arial" w:cs="Arial"/>
          <w:i w:val="0"/>
          <w:iCs w:val="0"/>
          <w:vertAlign w:val="superscript"/>
        </w:rPr>
        <w:t>-1</w:t>
      </w:r>
      <w:r>
        <w:rPr>
          <w:rFonts w:ascii="Arial" w:hAnsi="Arial" w:cs="Arial"/>
          <w:i w:val="0"/>
          <w:iCs w:val="0"/>
        </w:rPr>
        <w:t>, R = 1.0-3.</w:t>
      </w:r>
      <w:r w:rsidR="00871AF0">
        <w:rPr>
          <w:rFonts w:ascii="Arial" w:hAnsi="Arial" w:cs="Arial"/>
          <w:i w:val="0"/>
          <w:iCs w:val="0"/>
        </w:rPr>
        <w:t>0</w:t>
      </w:r>
      <w:r>
        <w:rPr>
          <w:rFonts w:ascii="Arial" w:hAnsi="Arial" w:cs="Arial"/>
          <w:i w:val="0"/>
          <w:iCs w:val="0"/>
        </w:rPr>
        <w:t xml:space="preserve"> Å. </w:t>
      </w:r>
      <w:proofErr w:type="spellStart"/>
      <w:r>
        <w:rPr>
          <w:rFonts w:ascii="Arial" w:hAnsi="Arial" w:cs="Arial"/>
          <w:i w:val="0"/>
          <w:iCs w:val="0"/>
          <w:vertAlign w:val="superscript"/>
        </w:rPr>
        <w:t>a</w:t>
      </w:r>
      <w:r>
        <w:rPr>
          <w:rFonts w:ascii="Arial" w:hAnsi="Arial" w:cs="Arial"/>
          <w:i w:val="0"/>
          <w:iCs w:val="0"/>
        </w:rPr>
        <w:t>Amplitude</w:t>
      </w:r>
      <w:proofErr w:type="spellEnd"/>
      <w:r>
        <w:rPr>
          <w:rFonts w:ascii="Arial" w:hAnsi="Arial" w:cs="Arial"/>
          <w:i w:val="0"/>
          <w:iCs w:val="0"/>
        </w:rPr>
        <w:t xml:space="preserve"> attenuation factor (obtained by fitting a Cu foil reference), </w:t>
      </w:r>
      <w:proofErr w:type="spellStart"/>
      <w:r>
        <w:rPr>
          <w:rFonts w:ascii="Arial" w:hAnsi="Arial" w:cs="Arial"/>
          <w:i w:val="0"/>
          <w:iCs w:val="0"/>
          <w:vertAlign w:val="superscript"/>
        </w:rPr>
        <w:t>b</w:t>
      </w:r>
      <w:r>
        <w:rPr>
          <w:rFonts w:ascii="Arial" w:hAnsi="Arial" w:cs="Arial"/>
          <w:i w:val="0"/>
          <w:iCs w:val="0"/>
        </w:rPr>
        <w:t>Energy</w:t>
      </w:r>
      <w:proofErr w:type="spellEnd"/>
      <w:r>
        <w:rPr>
          <w:rFonts w:ascii="Arial" w:hAnsi="Arial" w:cs="Arial"/>
          <w:i w:val="0"/>
          <w:iCs w:val="0"/>
        </w:rPr>
        <w:t xml:space="preserve"> shift, </w:t>
      </w:r>
      <w:proofErr w:type="spellStart"/>
      <w:r>
        <w:rPr>
          <w:rFonts w:ascii="Arial" w:hAnsi="Arial" w:cs="Arial"/>
          <w:i w:val="0"/>
          <w:iCs w:val="0"/>
          <w:vertAlign w:val="superscript"/>
        </w:rPr>
        <w:t>c</w:t>
      </w:r>
      <w:r>
        <w:rPr>
          <w:rFonts w:ascii="Arial" w:hAnsi="Arial" w:cs="Arial"/>
          <w:i w:val="0"/>
          <w:iCs w:val="0"/>
        </w:rPr>
        <w:t>Change</w:t>
      </w:r>
      <w:proofErr w:type="spellEnd"/>
      <w:r>
        <w:rPr>
          <w:rFonts w:ascii="Arial" w:hAnsi="Arial" w:cs="Arial"/>
          <w:i w:val="0"/>
          <w:iCs w:val="0"/>
        </w:rPr>
        <w:t xml:space="preserve"> in coordination distance with respect to reference (Cu </w:t>
      </w:r>
      <w:r w:rsidR="00871AF0">
        <w:rPr>
          <w:rFonts w:ascii="Arial" w:hAnsi="Arial" w:cs="Arial"/>
          <w:i w:val="0"/>
          <w:iCs w:val="0"/>
        </w:rPr>
        <w:t xml:space="preserve">and </w:t>
      </w:r>
      <w:proofErr w:type="spellStart"/>
      <w:r w:rsidR="00871AF0">
        <w:rPr>
          <w:rFonts w:ascii="Arial" w:hAnsi="Arial" w:cs="Arial"/>
          <w:i w:val="0"/>
          <w:iCs w:val="0"/>
        </w:rPr>
        <w:t>CuO</w:t>
      </w:r>
      <w:proofErr w:type="spellEnd"/>
      <w:r>
        <w:rPr>
          <w:rFonts w:ascii="Arial" w:hAnsi="Arial" w:cs="Arial"/>
          <w:i w:val="0"/>
          <w:iCs w:val="0"/>
        </w:rPr>
        <w:t xml:space="preserve">): </w:t>
      </w:r>
      <w:r w:rsidR="00871AF0">
        <w:rPr>
          <w:rFonts w:ascii="Arial" w:hAnsi="Arial" w:cs="Arial"/>
          <w:i w:val="0"/>
          <w:iCs w:val="0"/>
        </w:rPr>
        <w:t xml:space="preserve">2.561 and </w:t>
      </w:r>
      <w:r w:rsidR="00A96E76">
        <w:rPr>
          <w:rFonts w:ascii="Arial" w:hAnsi="Arial" w:cs="Arial"/>
          <w:i w:val="0"/>
          <w:iCs w:val="0"/>
        </w:rPr>
        <w:t>1.956</w:t>
      </w:r>
      <w:r>
        <w:rPr>
          <w:rFonts w:ascii="Arial" w:hAnsi="Arial" w:cs="Arial"/>
          <w:i w:val="0"/>
          <w:iCs w:val="0"/>
        </w:rPr>
        <w:t xml:space="preserve"> Å</w:t>
      </w:r>
      <w:r w:rsidR="00A96E76">
        <w:rPr>
          <w:rFonts w:ascii="Arial" w:hAnsi="Arial" w:cs="Arial"/>
          <w:i w:val="0"/>
          <w:iCs w:val="0"/>
        </w:rPr>
        <w:t>, respectively</w:t>
      </w:r>
      <w:r>
        <w:rPr>
          <w:rFonts w:ascii="Arial" w:hAnsi="Arial" w:cs="Arial"/>
          <w:i w:val="0"/>
          <w:iCs w:val="0"/>
        </w:rPr>
        <w:t xml:space="preserve">, </w:t>
      </w:r>
      <w:proofErr w:type="spellStart"/>
      <w:r>
        <w:rPr>
          <w:rFonts w:ascii="Arial" w:hAnsi="Arial" w:cs="Arial"/>
          <w:i w:val="0"/>
          <w:iCs w:val="0"/>
          <w:vertAlign w:val="superscript"/>
        </w:rPr>
        <w:t>d</w:t>
      </w:r>
      <w:r>
        <w:rPr>
          <w:rFonts w:ascii="Arial" w:hAnsi="Arial" w:cs="Arial"/>
          <w:i w:val="0"/>
          <w:iCs w:val="0"/>
        </w:rPr>
        <w:t>Debye</w:t>
      </w:r>
      <w:proofErr w:type="spellEnd"/>
      <w:r>
        <w:rPr>
          <w:rFonts w:ascii="Arial" w:hAnsi="Arial" w:cs="Arial"/>
          <w:i w:val="0"/>
          <w:iCs w:val="0"/>
        </w:rPr>
        <w:t>-Waller factor.</w:t>
      </w:r>
    </w:p>
    <w:p w14:paraId="5D799ED7" w14:textId="05A822DE" w:rsidR="005E4531" w:rsidRDefault="00D96832">
      <w:pPr>
        <w:spacing w:line="360" w:lineRule="auto"/>
        <w:jc w:val="both"/>
        <w:rPr>
          <w:rFonts w:ascii="Arial" w:hAnsi="Arial" w:cs="Arial"/>
          <w:b/>
          <w:sz w:val="24"/>
          <w:szCs w:val="24"/>
          <w:lang w:val="en-US"/>
        </w:rPr>
      </w:pPr>
      <w:r>
        <w:rPr>
          <w:rFonts w:ascii="Arial" w:hAnsi="Arial" w:cs="Arial"/>
          <w:b/>
          <w:noProof/>
          <w:sz w:val="24"/>
          <w:szCs w:val="24"/>
          <w:lang w:val="en-US"/>
        </w:rPr>
        <w:lastRenderedPageBreak/>
        <w:drawing>
          <wp:inline distT="0" distB="0" distL="0" distR="0" wp14:anchorId="1E4E5DD1" wp14:editId="285C9BF2">
            <wp:extent cx="5731510" cy="8615045"/>
            <wp:effectExtent l="0" t="0" r="2540" b="0"/>
            <wp:docPr id="21532999" name="Picture 9"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2999" name="Picture 9" descr="A graph of a function&#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8615045"/>
                    </a:xfrm>
                    <a:prstGeom prst="rect">
                      <a:avLst/>
                    </a:prstGeom>
                  </pic:spPr>
                </pic:pic>
              </a:graphicData>
            </a:graphic>
          </wp:inline>
        </w:drawing>
      </w:r>
    </w:p>
    <w:p w14:paraId="262AC4EA" w14:textId="25139037" w:rsidR="0024357E" w:rsidRDefault="0024357E" w:rsidP="00BB5211">
      <w:pPr>
        <w:spacing w:line="360" w:lineRule="auto"/>
        <w:jc w:val="center"/>
        <w:rPr>
          <w:rFonts w:ascii="Arial" w:hAnsi="Arial" w:cs="Arial"/>
          <w:b/>
          <w:sz w:val="24"/>
          <w:szCs w:val="24"/>
        </w:rPr>
      </w:pPr>
    </w:p>
    <w:p w14:paraId="3ACC1580" w14:textId="43CD260A" w:rsidR="005E4531" w:rsidRDefault="006B323D" w:rsidP="00320FDF">
      <w:pPr>
        <w:spacing w:after="100" w:afterAutospacing="1" w:line="360" w:lineRule="auto"/>
        <w:jc w:val="both"/>
        <w:rPr>
          <w:rFonts w:ascii="Arial" w:hAnsi="Arial" w:cs="Arial"/>
          <w:sz w:val="28"/>
          <w:szCs w:val="28"/>
          <w:lang w:val="en-US"/>
        </w:rPr>
      </w:pPr>
      <w:r>
        <w:rPr>
          <w:rFonts w:ascii="Arial" w:hAnsi="Arial" w:cs="Arial"/>
          <w:b/>
          <w:bCs/>
          <w:sz w:val="24"/>
          <w:szCs w:val="24"/>
          <w:lang w:val="en-US"/>
        </w:rPr>
        <w:t>Figure S3</w:t>
      </w:r>
      <w:r w:rsidR="00C42371">
        <w:rPr>
          <w:rFonts w:ascii="Arial" w:hAnsi="Arial" w:cs="Arial"/>
          <w:b/>
          <w:bCs/>
          <w:sz w:val="24"/>
          <w:szCs w:val="24"/>
          <w:lang w:val="en-US"/>
        </w:rPr>
        <w:t>4</w:t>
      </w:r>
      <w:r>
        <w:rPr>
          <w:rFonts w:ascii="Arial" w:hAnsi="Arial" w:cs="Arial"/>
          <w:b/>
          <w:bCs/>
          <w:sz w:val="24"/>
          <w:szCs w:val="24"/>
          <w:lang w:val="en-US"/>
        </w:rPr>
        <w:t xml:space="preserve">. </w:t>
      </w:r>
      <w:r w:rsidR="001314BF">
        <w:rPr>
          <w:rFonts w:ascii="Arial" w:hAnsi="Arial" w:cs="Arial"/>
          <w:sz w:val="24"/>
          <w:szCs w:val="24"/>
        </w:rPr>
        <w:t xml:space="preserve">The </w:t>
      </w:r>
      <w:r w:rsidR="001314BF">
        <w:rPr>
          <w:rFonts w:ascii="Arial" w:hAnsi="Arial" w:cs="Arial"/>
          <w:i/>
          <w:iCs/>
          <w:sz w:val="24"/>
          <w:szCs w:val="24"/>
        </w:rPr>
        <w:t>k</w:t>
      </w:r>
      <w:r w:rsidR="001314BF">
        <w:rPr>
          <w:rFonts w:ascii="Arial" w:hAnsi="Arial" w:cs="Arial"/>
          <w:sz w:val="24"/>
          <w:szCs w:val="24"/>
          <w:vertAlign w:val="superscript"/>
        </w:rPr>
        <w:t>3</w:t>
      </w:r>
      <w:r w:rsidR="001314BF">
        <w:rPr>
          <w:rFonts w:ascii="Arial" w:hAnsi="Arial" w:cs="Arial"/>
          <w:sz w:val="24"/>
          <w:szCs w:val="24"/>
        </w:rPr>
        <w:t xml:space="preserve">-weighted </w:t>
      </w:r>
      <w:r w:rsidR="001314BF">
        <w:rPr>
          <w:rFonts w:ascii="Arial" w:hAnsi="Arial" w:cs="Arial"/>
          <w:sz w:val="24"/>
          <w:szCs w:val="24"/>
          <w:lang w:val="en-US"/>
        </w:rPr>
        <w:t>EXAFS</w:t>
      </w:r>
      <w:r w:rsidR="001314BF">
        <w:rPr>
          <w:rFonts w:ascii="Arial" w:hAnsi="Arial" w:cs="Arial"/>
          <w:sz w:val="24"/>
          <w:szCs w:val="24"/>
        </w:rPr>
        <w:t xml:space="preserve"> the </w:t>
      </w:r>
      <w:r w:rsidR="001314BF">
        <w:rPr>
          <w:rFonts w:ascii="Arial" w:hAnsi="Arial" w:cs="Arial"/>
          <w:sz w:val="24"/>
          <w:szCs w:val="24"/>
          <w:lang w:val="en-US"/>
        </w:rPr>
        <w:t>Cu-NCB catalyst after catalysis (-500 mV vs RHE)</w:t>
      </w:r>
      <w:r w:rsidR="001314BF">
        <w:rPr>
          <w:rFonts w:ascii="Arial" w:hAnsi="Arial" w:cs="Arial"/>
          <w:sz w:val="24"/>
          <w:szCs w:val="24"/>
        </w:rPr>
        <w:t xml:space="preserve">  and the respective fit plotted in </w:t>
      </w:r>
      <w:r w:rsidR="001314BF">
        <w:rPr>
          <w:rFonts w:ascii="Arial" w:hAnsi="Arial" w:cs="Arial"/>
          <w:i/>
          <w:iCs/>
          <w:sz w:val="24"/>
          <w:szCs w:val="24"/>
        </w:rPr>
        <w:t>k</w:t>
      </w:r>
      <w:r w:rsidR="001314BF">
        <w:rPr>
          <w:rFonts w:ascii="Arial" w:hAnsi="Arial" w:cs="Arial"/>
          <w:sz w:val="24"/>
          <w:szCs w:val="24"/>
        </w:rPr>
        <w:t>-space</w:t>
      </w:r>
      <w:r w:rsidR="001314BF">
        <w:rPr>
          <w:rFonts w:ascii="Arial" w:hAnsi="Arial" w:cs="Arial"/>
          <w:sz w:val="24"/>
          <w:szCs w:val="24"/>
          <w:lang w:val="en-US"/>
        </w:rPr>
        <w:t xml:space="preserve"> </w:t>
      </w:r>
      <w:r w:rsidR="001314BF" w:rsidRPr="00747187">
        <w:rPr>
          <w:rFonts w:ascii="Arial" w:hAnsi="Arial" w:cs="Arial"/>
          <w:bCs/>
          <w:sz w:val="24"/>
          <w:szCs w:val="24"/>
          <w:lang w:val="en-US"/>
        </w:rPr>
        <w:t>(A)</w:t>
      </w:r>
      <w:r w:rsidR="001314BF">
        <w:rPr>
          <w:rFonts w:ascii="Arial" w:hAnsi="Arial" w:cs="Arial"/>
          <w:bCs/>
          <w:sz w:val="24"/>
          <w:szCs w:val="24"/>
          <w:lang w:val="en-US"/>
        </w:rPr>
        <w:t xml:space="preserve"> and in </w:t>
      </w:r>
      <w:r w:rsidR="001314BF" w:rsidRPr="00DF68BA">
        <w:rPr>
          <w:rFonts w:ascii="Arial" w:hAnsi="Arial" w:cs="Arial"/>
          <w:bCs/>
          <w:i/>
          <w:iCs/>
          <w:sz w:val="24"/>
          <w:szCs w:val="24"/>
          <w:lang w:val="en-US"/>
        </w:rPr>
        <w:t>R</w:t>
      </w:r>
      <w:r w:rsidR="001314BF">
        <w:rPr>
          <w:rFonts w:ascii="Arial" w:hAnsi="Arial" w:cs="Arial"/>
          <w:bCs/>
          <w:sz w:val="24"/>
          <w:szCs w:val="24"/>
          <w:lang w:val="en-US"/>
        </w:rPr>
        <w:t>-space (B)</w:t>
      </w:r>
      <w:r w:rsidR="001314BF">
        <w:rPr>
          <w:rFonts w:ascii="Arial" w:hAnsi="Arial" w:cs="Arial"/>
          <w:sz w:val="24"/>
          <w:szCs w:val="24"/>
        </w:rPr>
        <w:t xml:space="preserve">. </w:t>
      </w:r>
      <w:r w:rsidR="001314BF">
        <w:rPr>
          <w:rFonts w:ascii="Arial" w:hAnsi="Arial" w:cs="Arial"/>
          <w:sz w:val="24"/>
          <w:szCs w:val="24"/>
          <w:lang w:val="en-US"/>
        </w:rPr>
        <w:t xml:space="preserve">The window is the k-range included in the fit. The window of the R space included in the fit is 1-3 </w:t>
      </w:r>
      <w:r w:rsidR="001314BF">
        <w:rPr>
          <w:rFonts w:ascii="Arial" w:hAnsi="Arial" w:cs="Arial"/>
          <w:sz w:val="24"/>
          <w:szCs w:val="24"/>
        </w:rPr>
        <w:t>Å</w:t>
      </w:r>
      <w:r w:rsidR="001314BF">
        <w:rPr>
          <w:rFonts w:ascii="Arial" w:hAnsi="Arial" w:cs="Arial"/>
          <w:sz w:val="24"/>
          <w:szCs w:val="24"/>
          <w:lang w:val="en-US"/>
        </w:rPr>
        <w:t>.</w:t>
      </w:r>
      <w:r w:rsidR="001314BF">
        <w:rPr>
          <w:rFonts w:ascii="Arial" w:hAnsi="Arial" w:cs="Arial"/>
          <w:sz w:val="28"/>
          <w:szCs w:val="28"/>
          <w:lang w:val="en-US"/>
        </w:rPr>
        <w:t xml:space="preserve"> </w:t>
      </w:r>
    </w:p>
    <w:p w14:paraId="4261AC09" w14:textId="77777777" w:rsidR="005E4531" w:rsidRDefault="006B323D">
      <w:pPr>
        <w:spacing w:line="360" w:lineRule="auto"/>
        <w:jc w:val="both"/>
        <w:rPr>
          <w:rFonts w:ascii="Arial" w:hAnsi="Arial" w:cs="Arial"/>
          <w:sz w:val="24"/>
          <w:szCs w:val="24"/>
        </w:rPr>
      </w:pPr>
      <w:r>
        <w:rPr>
          <w:rFonts w:ascii="Arial" w:hAnsi="Arial" w:cs="Arial"/>
          <w:b/>
          <w:sz w:val="24"/>
          <w:szCs w:val="24"/>
        </w:rPr>
        <w:t>Table S</w:t>
      </w:r>
      <w:r>
        <w:rPr>
          <w:rFonts w:ascii="Arial" w:hAnsi="Arial" w:cs="Arial"/>
          <w:b/>
          <w:sz w:val="24"/>
          <w:szCs w:val="24"/>
          <w:lang w:val="en-US"/>
        </w:rPr>
        <w:t>13</w:t>
      </w:r>
      <w:r>
        <w:rPr>
          <w:rFonts w:ascii="Arial" w:hAnsi="Arial" w:cs="Arial"/>
          <w:b/>
          <w:sz w:val="24"/>
          <w:szCs w:val="24"/>
        </w:rPr>
        <w:t xml:space="preserve">. </w:t>
      </w:r>
      <w:r>
        <w:rPr>
          <w:rFonts w:ascii="Arial" w:hAnsi="Arial" w:cs="Arial"/>
          <w:bCs/>
          <w:sz w:val="24"/>
          <w:szCs w:val="24"/>
        </w:rPr>
        <w:t xml:space="preserve">Extended X-ray absorption fine structure (EXAFS) fitting parameters of the </w:t>
      </w:r>
      <w:r>
        <w:rPr>
          <w:rFonts w:ascii="Arial" w:hAnsi="Arial" w:cs="Arial"/>
          <w:bCs/>
          <w:sz w:val="24"/>
          <w:szCs w:val="24"/>
          <w:lang w:val="en-US"/>
        </w:rPr>
        <w:t>Cu-NCB catalyst post catalysis</w:t>
      </w:r>
      <w:r>
        <w:rPr>
          <w:rFonts w:ascii="Arial" w:hAnsi="Arial" w:cs="Arial"/>
          <w:bCs/>
          <w:sz w:val="24"/>
          <w:szCs w:val="24"/>
        </w:rPr>
        <w:t>.</w:t>
      </w:r>
    </w:p>
    <w:tbl>
      <w:tblPr>
        <w:tblW w:w="9028" w:type="dxa"/>
        <w:tblCellMar>
          <w:left w:w="0" w:type="dxa"/>
          <w:right w:w="0" w:type="dxa"/>
        </w:tblCellMar>
        <w:tblLook w:val="0420" w:firstRow="1" w:lastRow="0" w:firstColumn="0" w:lastColumn="0" w:noHBand="0" w:noVBand="1"/>
      </w:tblPr>
      <w:tblGrid>
        <w:gridCol w:w="1289"/>
        <w:gridCol w:w="1178"/>
        <w:gridCol w:w="1304"/>
        <w:gridCol w:w="817"/>
        <w:gridCol w:w="1023"/>
        <w:gridCol w:w="1335"/>
        <w:gridCol w:w="1057"/>
        <w:gridCol w:w="1025"/>
      </w:tblGrid>
      <w:tr w:rsidR="00FD60AE" w14:paraId="17E93BC7" w14:textId="56BBDACE" w:rsidTr="00D96832">
        <w:trPr>
          <w:trHeight w:val="971"/>
        </w:trPr>
        <w:tc>
          <w:tcPr>
            <w:tcW w:w="1299"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3811BB9F" w14:textId="77777777" w:rsidR="00FD60AE" w:rsidRDefault="00FD60AE" w:rsidP="00FD60AE">
            <w:pPr>
              <w:spacing w:line="360" w:lineRule="auto"/>
              <w:jc w:val="both"/>
              <w:rPr>
                <w:rFonts w:ascii="Arial" w:hAnsi="Arial" w:cs="Arial"/>
                <w:sz w:val="24"/>
                <w:szCs w:val="24"/>
              </w:rPr>
            </w:pPr>
            <w:r>
              <w:rPr>
                <w:rFonts w:ascii="Arial" w:hAnsi="Arial" w:cs="Arial"/>
                <w:b/>
                <w:bCs/>
                <w:sz w:val="24"/>
                <w:szCs w:val="24"/>
              </w:rPr>
              <w:t>Coordination shell</w:t>
            </w:r>
          </w:p>
        </w:tc>
        <w:tc>
          <w:tcPr>
            <w:tcW w:w="1181"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B57A140" w14:textId="617D9BB2" w:rsidR="00FD60AE" w:rsidRDefault="00FD60AE" w:rsidP="00FD60AE">
            <w:pPr>
              <w:spacing w:line="360" w:lineRule="auto"/>
              <w:jc w:val="both"/>
              <w:rPr>
                <w:rFonts w:ascii="Arial" w:hAnsi="Arial" w:cs="Arial"/>
                <w:sz w:val="24"/>
                <w:szCs w:val="24"/>
              </w:rPr>
            </w:pPr>
            <w:r>
              <w:rPr>
                <w:rFonts w:ascii="Arial" w:hAnsi="Arial" w:cs="Arial"/>
                <w:b/>
                <w:bCs/>
                <w:sz w:val="24"/>
                <w:szCs w:val="24"/>
                <w:vertAlign w:val="superscript"/>
              </w:rPr>
              <w:t>a</w:t>
            </w:r>
            <w:r>
              <w:rPr>
                <w:rFonts w:ascii="Arial" w:hAnsi="Arial" w:cs="Arial"/>
                <w:b/>
                <w:bCs/>
                <w:sz w:val="24"/>
                <w:szCs w:val="24"/>
              </w:rPr>
              <w:t>S</w:t>
            </w:r>
            <w:r>
              <w:rPr>
                <w:rFonts w:ascii="Arial" w:hAnsi="Arial" w:cs="Arial"/>
                <w:b/>
                <w:bCs/>
                <w:sz w:val="24"/>
                <w:szCs w:val="24"/>
                <w:vertAlign w:val="superscript"/>
              </w:rPr>
              <w:t>2</w:t>
            </w:r>
            <w:r w:rsidR="00CF6DDE">
              <w:rPr>
                <w:rFonts w:ascii="Arial" w:hAnsi="Arial" w:cs="Arial"/>
                <w:b/>
                <w:bCs/>
                <w:sz w:val="24"/>
                <w:szCs w:val="24"/>
                <w:vertAlign w:val="subscript"/>
              </w:rPr>
              <w:t>0,</w:t>
            </w:r>
            <w:r w:rsidR="00CF6DDE">
              <w:rPr>
                <w:rFonts w:ascii="Arial" w:hAnsi="Arial" w:cs="Arial"/>
                <w:b/>
                <w:bCs/>
                <w:sz w:val="24"/>
                <w:szCs w:val="24"/>
                <w:vertAlign w:val="subscript"/>
                <w:lang w:val="en-US"/>
              </w:rPr>
              <w:t>Cu</w:t>
            </w:r>
            <w:r>
              <w:rPr>
                <w:rFonts w:ascii="Arial" w:hAnsi="Arial" w:cs="Arial"/>
                <w:b/>
                <w:bCs/>
                <w:sz w:val="24"/>
                <w:szCs w:val="24"/>
                <w:vertAlign w:val="superscript"/>
              </w:rPr>
              <w:t xml:space="preserve"> </w:t>
            </w:r>
          </w:p>
        </w:tc>
        <w:tc>
          <w:tcPr>
            <w:tcW w:w="1313"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0BD1C99A" w14:textId="77777777" w:rsidR="00FD60AE" w:rsidRDefault="00FD60AE" w:rsidP="00FD60AE">
            <w:pPr>
              <w:spacing w:line="360" w:lineRule="auto"/>
              <w:jc w:val="both"/>
              <w:rPr>
                <w:rFonts w:ascii="Arial" w:hAnsi="Arial" w:cs="Arial"/>
                <w:sz w:val="24"/>
                <w:szCs w:val="24"/>
              </w:rPr>
            </w:pPr>
            <w:r>
              <w:rPr>
                <w:rFonts w:ascii="Arial" w:hAnsi="Arial" w:cs="Arial"/>
                <w:b/>
                <w:bCs/>
                <w:sz w:val="24"/>
                <w:szCs w:val="24"/>
              </w:rPr>
              <w:t>Coordination number</w:t>
            </w:r>
          </w:p>
        </w:tc>
        <w:tc>
          <w:tcPr>
            <w:tcW w:w="791"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0A2FD903" w14:textId="77777777" w:rsidR="00FD60AE" w:rsidRDefault="00FD60AE" w:rsidP="00FD60AE">
            <w:pPr>
              <w:spacing w:line="360" w:lineRule="auto"/>
              <w:jc w:val="both"/>
              <w:rPr>
                <w:rFonts w:ascii="Arial" w:hAnsi="Arial" w:cs="Arial"/>
                <w:sz w:val="24"/>
                <w:szCs w:val="24"/>
              </w:rPr>
            </w:pPr>
            <w:r>
              <w:rPr>
                <w:rFonts w:ascii="Arial" w:hAnsi="Arial" w:cs="Arial"/>
                <w:b/>
                <w:bCs/>
                <w:sz w:val="24"/>
                <w:szCs w:val="24"/>
                <w:vertAlign w:val="superscript"/>
              </w:rPr>
              <w:t>b</w:t>
            </w:r>
            <w:r>
              <w:rPr>
                <w:rFonts w:ascii="Arial" w:hAnsi="Arial" w:cs="Arial"/>
                <w:b/>
                <w:bCs/>
                <w:sz w:val="24"/>
                <w:szCs w:val="24"/>
                <w:lang w:val="el-GR"/>
              </w:rPr>
              <w:t>Δ</w:t>
            </w:r>
            <w:proofErr w:type="spellStart"/>
            <w:r>
              <w:rPr>
                <w:rFonts w:ascii="Arial" w:hAnsi="Arial" w:cs="Arial"/>
                <w:b/>
                <w:bCs/>
                <w:sz w:val="24"/>
                <w:szCs w:val="24"/>
              </w:rPr>
              <w:t>E</w:t>
            </w:r>
            <w:r>
              <w:rPr>
                <w:rFonts w:ascii="Arial" w:hAnsi="Arial" w:cs="Arial"/>
                <w:b/>
                <w:bCs/>
                <w:sz w:val="24"/>
                <w:szCs w:val="24"/>
                <w:vertAlign w:val="subscript"/>
              </w:rPr>
              <w:t>o</w:t>
            </w:r>
            <w:proofErr w:type="spellEnd"/>
            <w:r>
              <w:rPr>
                <w:rFonts w:ascii="Arial" w:hAnsi="Arial" w:cs="Arial"/>
                <w:b/>
                <w:bCs/>
                <w:sz w:val="24"/>
                <w:szCs w:val="24"/>
                <w:vertAlign w:val="subscript"/>
              </w:rPr>
              <w:t xml:space="preserve"> </w:t>
            </w:r>
            <w:r>
              <w:rPr>
                <w:rFonts w:ascii="Arial" w:hAnsi="Arial" w:cs="Arial"/>
                <w:b/>
                <w:bCs/>
                <w:sz w:val="24"/>
                <w:szCs w:val="24"/>
              </w:rPr>
              <w:t>[eV]</w:t>
            </w:r>
          </w:p>
        </w:tc>
        <w:tc>
          <w:tcPr>
            <w:tcW w:w="991"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68A5072D" w14:textId="77777777" w:rsidR="00FD60AE" w:rsidRDefault="00FD60AE" w:rsidP="00FD60AE">
            <w:pPr>
              <w:spacing w:line="360" w:lineRule="auto"/>
              <w:jc w:val="both"/>
              <w:rPr>
                <w:rFonts w:ascii="Arial" w:hAnsi="Arial" w:cs="Arial"/>
                <w:sz w:val="24"/>
                <w:szCs w:val="24"/>
              </w:rPr>
            </w:pPr>
            <w:r>
              <w:rPr>
                <w:rFonts w:ascii="Arial" w:hAnsi="Arial" w:cs="Arial"/>
                <w:b/>
                <w:bCs/>
                <w:sz w:val="24"/>
                <w:szCs w:val="24"/>
                <w:vertAlign w:val="superscript"/>
              </w:rPr>
              <w:t>c</w:t>
            </w:r>
            <w:r>
              <w:rPr>
                <w:rFonts w:ascii="Arial" w:hAnsi="Arial" w:cs="Arial"/>
                <w:b/>
                <w:bCs/>
                <w:sz w:val="24"/>
                <w:szCs w:val="24"/>
                <w:lang w:val="el-GR"/>
              </w:rPr>
              <w:t>Δ</w:t>
            </w:r>
            <w:r>
              <w:rPr>
                <w:rFonts w:ascii="Arial" w:hAnsi="Arial" w:cs="Arial"/>
                <w:b/>
                <w:bCs/>
                <w:sz w:val="24"/>
                <w:szCs w:val="24"/>
              </w:rPr>
              <w:t>R [</w:t>
            </w:r>
            <w:r>
              <w:rPr>
                <w:rFonts w:ascii="Arial" w:hAnsi="Arial" w:cs="Arial"/>
                <w:sz w:val="24"/>
                <w:szCs w:val="24"/>
              </w:rPr>
              <w:t>Å</w:t>
            </w:r>
            <w:r>
              <w:rPr>
                <w:rFonts w:ascii="Arial" w:hAnsi="Arial" w:cs="Arial"/>
                <w:b/>
                <w:bCs/>
                <w:sz w:val="24"/>
                <w:szCs w:val="24"/>
              </w:rPr>
              <w:t>]</w:t>
            </w:r>
          </w:p>
        </w:tc>
        <w:tc>
          <w:tcPr>
            <w:tcW w:w="1341"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E11474E" w14:textId="77777777" w:rsidR="00FD60AE" w:rsidRDefault="00FD60AE" w:rsidP="00FD60AE">
            <w:pPr>
              <w:spacing w:line="360" w:lineRule="auto"/>
              <w:jc w:val="both"/>
              <w:rPr>
                <w:rFonts w:ascii="Arial" w:hAnsi="Arial" w:cs="Arial"/>
                <w:sz w:val="24"/>
                <w:szCs w:val="24"/>
              </w:rPr>
            </w:pPr>
            <w:r>
              <w:rPr>
                <w:rFonts w:ascii="Arial" w:hAnsi="Arial" w:cs="Arial"/>
                <w:b/>
                <w:bCs/>
                <w:sz w:val="24"/>
                <w:szCs w:val="24"/>
                <w:vertAlign w:val="superscript"/>
              </w:rPr>
              <w:t>d</w:t>
            </w:r>
            <w:r>
              <w:rPr>
                <w:rFonts w:ascii="Arial" w:hAnsi="Arial" w:cs="Arial"/>
                <w:b/>
                <w:bCs/>
                <w:sz w:val="24"/>
                <w:szCs w:val="24"/>
              </w:rPr>
              <w:t>σ</w:t>
            </w:r>
            <w:r>
              <w:rPr>
                <w:rFonts w:ascii="Arial" w:hAnsi="Arial" w:cs="Arial"/>
                <w:b/>
                <w:bCs/>
                <w:sz w:val="24"/>
                <w:szCs w:val="24"/>
                <w:vertAlign w:val="superscript"/>
              </w:rPr>
              <w:t>2</w:t>
            </w:r>
            <w:r>
              <w:rPr>
                <w:rFonts w:ascii="Arial" w:hAnsi="Arial" w:cs="Arial"/>
                <w:b/>
                <w:bCs/>
                <w:sz w:val="24"/>
                <w:szCs w:val="24"/>
              </w:rPr>
              <w:t xml:space="preserve"> [</w:t>
            </w:r>
            <w:r>
              <w:rPr>
                <w:rFonts w:ascii="Arial" w:hAnsi="Arial" w:cs="Arial"/>
                <w:sz w:val="24"/>
                <w:szCs w:val="24"/>
              </w:rPr>
              <w:t>Å</w:t>
            </w:r>
            <w:r>
              <w:rPr>
                <w:rFonts w:ascii="Arial" w:hAnsi="Arial" w:cs="Arial"/>
                <w:sz w:val="24"/>
                <w:szCs w:val="24"/>
                <w:vertAlign w:val="superscript"/>
              </w:rPr>
              <w:t>2</w:t>
            </w:r>
            <w:r>
              <w:rPr>
                <w:rFonts w:ascii="Arial" w:hAnsi="Arial" w:cs="Arial"/>
                <w:b/>
                <w:bCs/>
                <w:sz w:val="24"/>
                <w:szCs w:val="24"/>
              </w:rPr>
              <w:t>]</w:t>
            </w:r>
          </w:p>
        </w:tc>
        <w:tc>
          <w:tcPr>
            <w:tcW w:w="1066" w:type="dxa"/>
            <w:tcBorders>
              <w:top w:val="single" w:sz="8" w:space="0" w:color="A5A5A5"/>
              <w:left w:val="nil"/>
              <w:bottom w:val="single" w:sz="8" w:space="0" w:color="A5A5A5"/>
              <w:right w:val="nil"/>
            </w:tcBorders>
          </w:tcPr>
          <w:p w14:paraId="321E3F27" w14:textId="767E2A67" w:rsidR="00FD60AE" w:rsidRDefault="00FD60AE" w:rsidP="00FD60AE">
            <w:pPr>
              <w:spacing w:line="360" w:lineRule="auto"/>
              <w:jc w:val="both"/>
              <w:rPr>
                <w:rFonts w:ascii="Arial" w:hAnsi="Arial" w:cs="Arial"/>
                <w:b/>
                <w:bCs/>
                <w:sz w:val="24"/>
                <w:szCs w:val="24"/>
                <w:vertAlign w:val="superscript"/>
              </w:rPr>
            </w:pPr>
            <w:r w:rsidRPr="008A3D0C">
              <w:rPr>
                <w:rFonts w:ascii="Arial" w:hAnsi="Arial" w:cs="Arial"/>
                <w:b/>
                <w:bCs/>
                <w:sz w:val="24"/>
                <w:szCs w:val="24"/>
              </w:rPr>
              <w:t>R-factor</w:t>
            </w:r>
          </w:p>
        </w:tc>
        <w:tc>
          <w:tcPr>
            <w:tcW w:w="1046" w:type="dxa"/>
            <w:tcBorders>
              <w:top w:val="single" w:sz="8" w:space="0" w:color="A5A5A5"/>
              <w:left w:val="nil"/>
              <w:bottom w:val="single" w:sz="8" w:space="0" w:color="A5A5A5"/>
              <w:right w:val="nil"/>
            </w:tcBorders>
          </w:tcPr>
          <w:p w14:paraId="7FC5E786" w14:textId="2E168CA4" w:rsidR="00FD60AE" w:rsidRDefault="00FD60AE" w:rsidP="00FD60AE">
            <w:pPr>
              <w:spacing w:line="360" w:lineRule="auto"/>
              <w:jc w:val="both"/>
              <w:rPr>
                <w:rFonts w:ascii="Arial" w:hAnsi="Arial" w:cs="Arial"/>
                <w:b/>
                <w:bCs/>
                <w:sz w:val="24"/>
                <w:szCs w:val="24"/>
                <w:vertAlign w:val="superscript"/>
              </w:rPr>
            </w:pPr>
          </w:p>
        </w:tc>
      </w:tr>
      <w:tr w:rsidR="00FD60AE" w14:paraId="371B102B" w14:textId="7273D076" w:rsidTr="00D96832">
        <w:trPr>
          <w:trHeight w:val="971"/>
        </w:trPr>
        <w:tc>
          <w:tcPr>
            <w:tcW w:w="1299"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69A6FCDC" w14:textId="77777777"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Cu</w:t>
            </w:r>
            <w:r>
              <w:rPr>
                <w:rFonts w:ascii="Arial" w:hAnsi="Arial" w:cs="Arial"/>
                <w:sz w:val="24"/>
                <w:szCs w:val="24"/>
              </w:rPr>
              <w:t>-</w:t>
            </w:r>
            <w:r>
              <w:rPr>
                <w:rFonts w:ascii="Arial" w:hAnsi="Arial" w:cs="Arial"/>
                <w:sz w:val="24"/>
                <w:szCs w:val="24"/>
                <w:lang w:val="en-US"/>
              </w:rPr>
              <w:t>Cu</w:t>
            </w:r>
          </w:p>
        </w:tc>
        <w:tc>
          <w:tcPr>
            <w:tcW w:w="118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463F6D45" w14:textId="4E77A21C" w:rsidR="00FD60AE" w:rsidRDefault="00FD60AE" w:rsidP="00FD60AE">
            <w:pPr>
              <w:spacing w:line="360" w:lineRule="auto"/>
              <w:jc w:val="both"/>
              <w:rPr>
                <w:rFonts w:ascii="Arial" w:hAnsi="Arial" w:cs="Arial"/>
                <w:sz w:val="24"/>
                <w:szCs w:val="24"/>
                <w:lang w:val="en-US"/>
              </w:rPr>
            </w:pPr>
            <w:r>
              <w:rPr>
                <w:rFonts w:ascii="Arial" w:hAnsi="Arial" w:cs="Arial"/>
                <w:sz w:val="24"/>
                <w:szCs w:val="24"/>
              </w:rPr>
              <w:t>0.85</w:t>
            </w:r>
            <w:r>
              <w:rPr>
                <w:rFonts w:ascii="Arial" w:hAnsi="Arial" w:cs="Arial"/>
                <w:sz w:val="24"/>
                <w:szCs w:val="24"/>
                <w:lang w:val="en-US"/>
              </w:rPr>
              <w:t>03</w:t>
            </w:r>
            <w:r>
              <w:rPr>
                <w:rFonts w:ascii="Arial" w:hAnsi="Arial" w:cs="Arial"/>
                <w:sz w:val="24"/>
                <w:szCs w:val="24"/>
              </w:rPr>
              <w:t xml:space="preserve">  ± 0.</w:t>
            </w:r>
            <w:r>
              <w:rPr>
                <w:rFonts w:ascii="Arial" w:hAnsi="Arial" w:cs="Arial"/>
                <w:sz w:val="24"/>
                <w:szCs w:val="24"/>
                <w:lang w:val="en-US"/>
              </w:rPr>
              <w:t>089</w:t>
            </w:r>
          </w:p>
        </w:tc>
        <w:tc>
          <w:tcPr>
            <w:tcW w:w="1313"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0A4FD8BF" w14:textId="0D6988DB"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6.2</w:t>
            </w:r>
            <w:r>
              <w:rPr>
                <w:rFonts w:ascii="Arial" w:hAnsi="Arial" w:cs="Arial"/>
                <w:sz w:val="24"/>
                <w:szCs w:val="24"/>
              </w:rPr>
              <w:t xml:space="preserve">  ± </w:t>
            </w:r>
            <w:r>
              <w:rPr>
                <w:rFonts w:ascii="Arial" w:hAnsi="Arial" w:cs="Arial"/>
                <w:sz w:val="24"/>
                <w:szCs w:val="24"/>
                <w:lang w:val="en-US"/>
              </w:rPr>
              <w:t>1</w:t>
            </w:r>
            <w:r>
              <w:rPr>
                <w:rFonts w:ascii="Arial" w:hAnsi="Arial" w:cs="Arial"/>
                <w:sz w:val="24"/>
                <w:szCs w:val="24"/>
              </w:rPr>
              <w:t>.4</w:t>
            </w:r>
          </w:p>
        </w:tc>
        <w:tc>
          <w:tcPr>
            <w:tcW w:w="79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343AC159" w14:textId="2FECBA06"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4.6</w:t>
            </w:r>
            <w:r>
              <w:rPr>
                <w:rFonts w:ascii="Arial" w:hAnsi="Arial" w:cs="Arial"/>
                <w:sz w:val="24"/>
                <w:szCs w:val="24"/>
              </w:rPr>
              <w:t xml:space="preserve"> ± 2.3</w:t>
            </w:r>
          </w:p>
        </w:tc>
        <w:tc>
          <w:tcPr>
            <w:tcW w:w="99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4D184262" w14:textId="1F625B70"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w:t>
            </w:r>
            <w:r>
              <w:rPr>
                <w:rFonts w:ascii="Arial" w:hAnsi="Arial" w:cs="Arial"/>
                <w:sz w:val="24"/>
                <w:szCs w:val="24"/>
              </w:rPr>
              <w:t>0.0</w:t>
            </w:r>
            <w:r>
              <w:rPr>
                <w:rFonts w:ascii="Arial" w:hAnsi="Arial" w:cs="Arial"/>
                <w:sz w:val="24"/>
                <w:szCs w:val="24"/>
                <w:lang w:val="en-US"/>
              </w:rPr>
              <w:t>097</w:t>
            </w:r>
            <w:r>
              <w:rPr>
                <w:rFonts w:ascii="Arial" w:hAnsi="Arial" w:cs="Arial"/>
                <w:sz w:val="24"/>
                <w:szCs w:val="24"/>
              </w:rPr>
              <w:t xml:space="preserve"> ± 0.0</w:t>
            </w:r>
            <w:r>
              <w:rPr>
                <w:rFonts w:ascii="Arial" w:hAnsi="Arial" w:cs="Arial"/>
                <w:sz w:val="24"/>
                <w:szCs w:val="24"/>
                <w:lang w:val="en-US"/>
              </w:rPr>
              <w:t>03</w:t>
            </w:r>
          </w:p>
        </w:tc>
        <w:tc>
          <w:tcPr>
            <w:tcW w:w="134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36B77548" w14:textId="4F6CE38C" w:rsidR="00FD60AE" w:rsidRPr="00283922" w:rsidRDefault="00FD60AE" w:rsidP="00FD60AE">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0</w:t>
            </w:r>
            <w:r>
              <w:rPr>
                <w:rFonts w:ascii="Arial" w:hAnsi="Arial" w:cs="Arial"/>
                <w:sz w:val="24"/>
                <w:szCs w:val="24"/>
              </w:rPr>
              <w:t>95  ± 0.0</w:t>
            </w:r>
            <w:r>
              <w:rPr>
                <w:rFonts w:ascii="Arial" w:hAnsi="Arial" w:cs="Arial"/>
                <w:sz w:val="24"/>
                <w:szCs w:val="24"/>
                <w:lang w:val="en-US"/>
              </w:rPr>
              <w:t>14</w:t>
            </w:r>
          </w:p>
        </w:tc>
        <w:tc>
          <w:tcPr>
            <w:tcW w:w="1066" w:type="dxa"/>
            <w:tcBorders>
              <w:top w:val="single" w:sz="8" w:space="0" w:color="A5A5A5"/>
              <w:left w:val="nil"/>
              <w:bottom w:val="nil"/>
              <w:right w:val="nil"/>
            </w:tcBorders>
            <w:shd w:val="clear" w:color="auto" w:fill="F0F0F0"/>
          </w:tcPr>
          <w:p w14:paraId="19650A81" w14:textId="7B76821B" w:rsidR="00FD60AE" w:rsidRDefault="00FD60AE" w:rsidP="00FD60AE">
            <w:pPr>
              <w:spacing w:line="360" w:lineRule="auto"/>
              <w:jc w:val="both"/>
              <w:rPr>
                <w:rFonts w:ascii="Arial" w:hAnsi="Arial" w:cs="Arial"/>
                <w:sz w:val="24"/>
                <w:szCs w:val="24"/>
              </w:rPr>
            </w:pPr>
            <w:r>
              <w:rPr>
                <w:rFonts w:ascii="Arial" w:hAnsi="Arial" w:cs="Arial"/>
                <w:sz w:val="24"/>
                <w:szCs w:val="24"/>
              </w:rPr>
              <w:t>0.0</w:t>
            </w:r>
            <w:r w:rsidR="00CF6DDE">
              <w:rPr>
                <w:rFonts w:ascii="Arial" w:hAnsi="Arial" w:cs="Arial"/>
                <w:sz w:val="24"/>
                <w:szCs w:val="24"/>
              </w:rPr>
              <w:t>01</w:t>
            </w:r>
          </w:p>
        </w:tc>
        <w:tc>
          <w:tcPr>
            <w:tcW w:w="1046" w:type="dxa"/>
            <w:tcBorders>
              <w:top w:val="single" w:sz="8" w:space="0" w:color="A5A5A5"/>
              <w:left w:val="nil"/>
              <w:bottom w:val="nil"/>
              <w:right w:val="nil"/>
            </w:tcBorders>
            <w:shd w:val="clear" w:color="auto" w:fill="F0F0F0"/>
          </w:tcPr>
          <w:p w14:paraId="60112B70" w14:textId="3D7A56E9" w:rsidR="00FD60AE" w:rsidRDefault="00FD60AE" w:rsidP="00FD60AE">
            <w:pPr>
              <w:spacing w:line="360" w:lineRule="auto"/>
              <w:jc w:val="both"/>
              <w:rPr>
                <w:rFonts w:ascii="Arial" w:hAnsi="Arial" w:cs="Arial"/>
                <w:sz w:val="24"/>
                <w:szCs w:val="24"/>
              </w:rPr>
            </w:pPr>
          </w:p>
        </w:tc>
      </w:tr>
      <w:tr w:rsidR="00FD60AE" w14:paraId="07EE2900" w14:textId="11CBDBB9" w:rsidTr="00D96832">
        <w:trPr>
          <w:trHeight w:val="971"/>
        </w:trPr>
        <w:tc>
          <w:tcPr>
            <w:tcW w:w="1299"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24480043" w14:textId="667393D1"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Cu-O</w:t>
            </w:r>
          </w:p>
        </w:tc>
        <w:tc>
          <w:tcPr>
            <w:tcW w:w="118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793EDE7B" w14:textId="59E9C2A9" w:rsidR="00FD60AE" w:rsidRDefault="00FD60AE" w:rsidP="00FD60AE">
            <w:pPr>
              <w:spacing w:line="360" w:lineRule="auto"/>
              <w:jc w:val="both"/>
              <w:rPr>
                <w:rFonts w:ascii="Arial" w:hAnsi="Arial" w:cs="Arial"/>
                <w:sz w:val="24"/>
                <w:szCs w:val="24"/>
              </w:rPr>
            </w:pPr>
            <w:r>
              <w:rPr>
                <w:rFonts w:ascii="Arial" w:hAnsi="Arial" w:cs="Arial"/>
                <w:sz w:val="24"/>
                <w:szCs w:val="24"/>
              </w:rPr>
              <w:t>0.85</w:t>
            </w:r>
            <w:r>
              <w:rPr>
                <w:rFonts w:ascii="Arial" w:hAnsi="Arial" w:cs="Arial"/>
                <w:sz w:val="24"/>
                <w:szCs w:val="24"/>
                <w:lang w:val="en-US"/>
              </w:rPr>
              <w:t>03</w:t>
            </w:r>
            <w:r>
              <w:rPr>
                <w:rFonts w:ascii="Arial" w:hAnsi="Arial" w:cs="Arial"/>
                <w:sz w:val="24"/>
                <w:szCs w:val="24"/>
              </w:rPr>
              <w:t xml:space="preserve">  ± 0.</w:t>
            </w:r>
            <w:r>
              <w:rPr>
                <w:rFonts w:ascii="Arial" w:hAnsi="Arial" w:cs="Arial"/>
                <w:sz w:val="24"/>
                <w:szCs w:val="24"/>
                <w:lang w:val="en-US"/>
              </w:rPr>
              <w:t>089</w:t>
            </w:r>
          </w:p>
        </w:tc>
        <w:tc>
          <w:tcPr>
            <w:tcW w:w="1313"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7BEA1435" w14:textId="06D0FE93"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1.1  ± 0.44</w:t>
            </w:r>
          </w:p>
        </w:tc>
        <w:tc>
          <w:tcPr>
            <w:tcW w:w="79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5E163B73" w14:textId="3C8A4B4C"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4.6</w:t>
            </w:r>
            <w:r>
              <w:rPr>
                <w:rFonts w:ascii="Arial" w:hAnsi="Arial" w:cs="Arial"/>
                <w:sz w:val="24"/>
                <w:szCs w:val="24"/>
              </w:rPr>
              <w:t xml:space="preserve"> ± 2.3</w:t>
            </w:r>
          </w:p>
        </w:tc>
        <w:tc>
          <w:tcPr>
            <w:tcW w:w="99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15F390E8" w14:textId="65861FD0" w:rsidR="00FD60AE" w:rsidRDefault="00FD60AE" w:rsidP="00FD60AE">
            <w:pPr>
              <w:spacing w:line="360" w:lineRule="auto"/>
              <w:jc w:val="both"/>
              <w:rPr>
                <w:rFonts w:ascii="Arial" w:hAnsi="Arial" w:cs="Arial"/>
                <w:sz w:val="24"/>
                <w:szCs w:val="24"/>
                <w:lang w:val="en-US"/>
              </w:rPr>
            </w:pPr>
            <w:r>
              <w:rPr>
                <w:rFonts w:ascii="Arial" w:hAnsi="Arial" w:cs="Arial"/>
                <w:sz w:val="24"/>
                <w:szCs w:val="24"/>
                <w:lang w:val="en-US"/>
              </w:rPr>
              <w:t>-</w:t>
            </w:r>
            <w:r>
              <w:rPr>
                <w:rFonts w:ascii="Arial" w:hAnsi="Arial" w:cs="Arial"/>
                <w:sz w:val="24"/>
                <w:szCs w:val="24"/>
              </w:rPr>
              <w:t>0.0072 ± 0.010</w:t>
            </w:r>
          </w:p>
        </w:tc>
        <w:tc>
          <w:tcPr>
            <w:tcW w:w="1341"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3C0ADDDD" w14:textId="6D78D414" w:rsidR="00FD60AE" w:rsidRDefault="00FD60AE" w:rsidP="00FD60AE">
            <w:pPr>
              <w:spacing w:line="360" w:lineRule="auto"/>
              <w:jc w:val="both"/>
              <w:rPr>
                <w:rFonts w:ascii="Arial" w:hAnsi="Arial" w:cs="Arial"/>
                <w:sz w:val="24"/>
                <w:szCs w:val="24"/>
                <w:lang w:val="en-US"/>
              </w:rPr>
            </w:pPr>
            <w:r>
              <w:rPr>
                <w:rFonts w:ascii="Arial" w:hAnsi="Arial" w:cs="Arial"/>
                <w:sz w:val="24"/>
                <w:szCs w:val="24"/>
              </w:rPr>
              <w:t>0.0</w:t>
            </w:r>
            <w:r>
              <w:rPr>
                <w:rFonts w:ascii="Arial" w:hAnsi="Arial" w:cs="Arial"/>
                <w:sz w:val="24"/>
                <w:szCs w:val="24"/>
                <w:lang w:val="en-US"/>
              </w:rPr>
              <w:t>0</w:t>
            </w:r>
            <w:r>
              <w:rPr>
                <w:rFonts w:ascii="Arial" w:hAnsi="Arial" w:cs="Arial"/>
                <w:sz w:val="24"/>
                <w:szCs w:val="24"/>
              </w:rPr>
              <w:t>95  ± 0.0</w:t>
            </w:r>
            <w:r>
              <w:rPr>
                <w:rFonts w:ascii="Arial" w:hAnsi="Arial" w:cs="Arial"/>
                <w:sz w:val="24"/>
                <w:szCs w:val="24"/>
                <w:lang w:val="en-US"/>
              </w:rPr>
              <w:t>14</w:t>
            </w:r>
          </w:p>
        </w:tc>
        <w:tc>
          <w:tcPr>
            <w:tcW w:w="1066" w:type="dxa"/>
            <w:tcBorders>
              <w:top w:val="single" w:sz="8" w:space="0" w:color="A5A5A5"/>
              <w:left w:val="nil"/>
              <w:bottom w:val="nil"/>
              <w:right w:val="nil"/>
            </w:tcBorders>
            <w:shd w:val="clear" w:color="auto" w:fill="F0F0F0"/>
          </w:tcPr>
          <w:p w14:paraId="72853E69" w14:textId="3C9B0E07" w:rsidR="00FD60AE" w:rsidRDefault="00FD60AE" w:rsidP="00FD60AE">
            <w:pPr>
              <w:spacing w:line="360" w:lineRule="auto"/>
              <w:jc w:val="both"/>
              <w:rPr>
                <w:rFonts w:ascii="Arial" w:hAnsi="Arial" w:cs="Arial"/>
                <w:sz w:val="24"/>
                <w:szCs w:val="24"/>
              </w:rPr>
            </w:pPr>
            <w:r>
              <w:rPr>
                <w:rFonts w:ascii="Arial" w:hAnsi="Arial" w:cs="Arial"/>
                <w:sz w:val="24"/>
                <w:szCs w:val="24"/>
              </w:rPr>
              <w:t>0.0</w:t>
            </w:r>
            <w:r w:rsidR="00CF6DDE">
              <w:rPr>
                <w:rFonts w:ascii="Arial" w:hAnsi="Arial" w:cs="Arial"/>
                <w:sz w:val="24"/>
                <w:szCs w:val="24"/>
              </w:rPr>
              <w:t>01</w:t>
            </w:r>
          </w:p>
        </w:tc>
        <w:tc>
          <w:tcPr>
            <w:tcW w:w="1046" w:type="dxa"/>
            <w:tcBorders>
              <w:top w:val="single" w:sz="8" w:space="0" w:color="A5A5A5"/>
              <w:left w:val="nil"/>
              <w:bottom w:val="nil"/>
              <w:right w:val="nil"/>
            </w:tcBorders>
            <w:shd w:val="clear" w:color="auto" w:fill="F0F0F0"/>
          </w:tcPr>
          <w:p w14:paraId="54B8EFEB" w14:textId="7C30ADB7" w:rsidR="00FD60AE" w:rsidRDefault="00FD60AE" w:rsidP="00FD60AE">
            <w:pPr>
              <w:spacing w:line="360" w:lineRule="auto"/>
              <w:jc w:val="both"/>
              <w:rPr>
                <w:rFonts w:ascii="Arial" w:hAnsi="Arial" w:cs="Arial"/>
                <w:sz w:val="24"/>
                <w:szCs w:val="24"/>
              </w:rPr>
            </w:pPr>
          </w:p>
        </w:tc>
      </w:tr>
    </w:tbl>
    <w:p w14:paraId="56A7A3F0" w14:textId="3F6E0934" w:rsidR="005E4531" w:rsidRDefault="006B323D">
      <w:pPr>
        <w:pStyle w:val="Caption"/>
        <w:jc w:val="both"/>
        <w:rPr>
          <w:rFonts w:ascii="Arial" w:hAnsi="Arial" w:cs="Arial"/>
          <w:i w:val="0"/>
          <w:iCs w:val="0"/>
        </w:rPr>
      </w:pPr>
      <w:r>
        <w:rPr>
          <w:rFonts w:ascii="Arial" w:hAnsi="Arial" w:cs="Arial"/>
          <w:i w:val="0"/>
          <w:iCs w:val="0"/>
        </w:rPr>
        <w:t>Fourier-transform parameters: k =3.0-</w:t>
      </w:r>
      <w:r w:rsidR="003022E5">
        <w:rPr>
          <w:rFonts w:ascii="Arial" w:hAnsi="Arial" w:cs="Arial"/>
          <w:i w:val="0"/>
          <w:iCs w:val="0"/>
        </w:rPr>
        <w:t>9</w:t>
      </w:r>
      <w:r>
        <w:rPr>
          <w:rFonts w:ascii="Arial" w:hAnsi="Arial" w:cs="Arial"/>
          <w:i w:val="0"/>
          <w:iCs w:val="0"/>
        </w:rPr>
        <w:t>.</w:t>
      </w:r>
      <w:r w:rsidR="003022E5">
        <w:rPr>
          <w:rFonts w:ascii="Arial" w:hAnsi="Arial" w:cs="Arial"/>
          <w:i w:val="0"/>
          <w:iCs w:val="0"/>
        </w:rPr>
        <w:t>5</w:t>
      </w:r>
      <w:r>
        <w:rPr>
          <w:rFonts w:ascii="Arial" w:hAnsi="Arial" w:cs="Arial"/>
          <w:i w:val="0"/>
          <w:iCs w:val="0"/>
        </w:rPr>
        <w:t xml:space="preserve"> Å</w:t>
      </w:r>
      <w:r>
        <w:rPr>
          <w:rFonts w:ascii="Arial" w:hAnsi="Arial" w:cs="Arial"/>
          <w:i w:val="0"/>
          <w:iCs w:val="0"/>
          <w:vertAlign w:val="superscript"/>
        </w:rPr>
        <w:t>-1</w:t>
      </w:r>
      <w:r>
        <w:rPr>
          <w:rFonts w:ascii="Arial" w:hAnsi="Arial" w:cs="Arial"/>
          <w:i w:val="0"/>
          <w:iCs w:val="0"/>
        </w:rPr>
        <w:t xml:space="preserve">, R = 1.0-3.0 Å. </w:t>
      </w:r>
      <w:proofErr w:type="spellStart"/>
      <w:r>
        <w:rPr>
          <w:rFonts w:ascii="Arial" w:hAnsi="Arial" w:cs="Arial"/>
          <w:i w:val="0"/>
          <w:iCs w:val="0"/>
          <w:vertAlign w:val="superscript"/>
        </w:rPr>
        <w:t>a</w:t>
      </w:r>
      <w:r>
        <w:rPr>
          <w:rFonts w:ascii="Arial" w:hAnsi="Arial" w:cs="Arial"/>
          <w:i w:val="0"/>
          <w:iCs w:val="0"/>
        </w:rPr>
        <w:t>Amplitude</w:t>
      </w:r>
      <w:proofErr w:type="spellEnd"/>
      <w:r>
        <w:rPr>
          <w:rFonts w:ascii="Arial" w:hAnsi="Arial" w:cs="Arial"/>
          <w:i w:val="0"/>
          <w:iCs w:val="0"/>
        </w:rPr>
        <w:t xml:space="preserve"> attenuation factor (obtained by fitting a Cu foil reference), </w:t>
      </w:r>
      <w:proofErr w:type="spellStart"/>
      <w:r>
        <w:rPr>
          <w:rFonts w:ascii="Arial" w:hAnsi="Arial" w:cs="Arial"/>
          <w:i w:val="0"/>
          <w:iCs w:val="0"/>
          <w:vertAlign w:val="superscript"/>
        </w:rPr>
        <w:t>b</w:t>
      </w:r>
      <w:r>
        <w:rPr>
          <w:rFonts w:ascii="Arial" w:hAnsi="Arial" w:cs="Arial"/>
          <w:i w:val="0"/>
          <w:iCs w:val="0"/>
        </w:rPr>
        <w:t>Energy</w:t>
      </w:r>
      <w:proofErr w:type="spellEnd"/>
      <w:r>
        <w:rPr>
          <w:rFonts w:ascii="Arial" w:hAnsi="Arial" w:cs="Arial"/>
          <w:i w:val="0"/>
          <w:iCs w:val="0"/>
        </w:rPr>
        <w:t xml:space="preserve"> shift, </w:t>
      </w:r>
      <w:proofErr w:type="spellStart"/>
      <w:r>
        <w:rPr>
          <w:rFonts w:ascii="Arial" w:hAnsi="Arial" w:cs="Arial"/>
          <w:i w:val="0"/>
          <w:iCs w:val="0"/>
          <w:vertAlign w:val="superscript"/>
        </w:rPr>
        <w:t>c</w:t>
      </w:r>
      <w:r>
        <w:rPr>
          <w:rFonts w:ascii="Arial" w:hAnsi="Arial" w:cs="Arial"/>
          <w:i w:val="0"/>
          <w:iCs w:val="0"/>
        </w:rPr>
        <w:t>Change</w:t>
      </w:r>
      <w:proofErr w:type="spellEnd"/>
      <w:r>
        <w:rPr>
          <w:rFonts w:ascii="Arial" w:hAnsi="Arial" w:cs="Arial"/>
          <w:i w:val="0"/>
          <w:iCs w:val="0"/>
        </w:rPr>
        <w:t xml:space="preserve"> in coordination distance with respect to reference (Cu foil</w:t>
      </w:r>
      <w:r w:rsidR="003022E5">
        <w:rPr>
          <w:rFonts w:ascii="Arial" w:hAnsi="Arial" w:cs="Arial"/>
          <w:i w:val="0"/>
          <w:iCs w:val="0"/>
        </w:rPr>
        <w:t xml:space="preserve"> and </w:t>
      </w:r>
      <w:proofErr w:type="spellStart"/>
      <w:r w:rsidR="003022E5">
        <w:rPr>
          <w:rFonts w:ascii="Arial" w:hAnsi="Arial" w:cs="Arial"/>
          <w:i w:val="0"/>
          <w:iCs w:val="0"/>
        </w:rPr>
        <w:t>CuO</w:t>
      </w:r>
      <w:proofErr w:type="spellEnd"/>
      <w:r>
        <w:rPr>
          <w:rFonts w:ascii="Arial" w:hAnsi="Arial" w:cs="Arial"/>
          <w:i w:val="0"/>
          <w:iCs w:val="0"/>
        </w:rPr>
        <w:t xml:space="preserve">):  </w:t>
      </w:r>
      <w:r w:rsidR="003022E5">
        <w:rPr>
          <w:rFonts w:ascii="Arial" w:hAnsi="Arial" w:cs="Arial"/>
          <w:i w:val="0"/>
          <w:iCs w:val="0"/>
        </w:rPr>
        <w:t>2.</w:t>
      </w:r>
      <w:r w:rsidR="00252DD2">
        <w:rPr>
          <w:rFonts w:ascii="Arial" w:hAnsi="Arial" w:cs="Arial"/>
          <w:i w:val="0"/>
          <w:iCs w:val="0"/>
        </w:rPr>
        <w:t>561 and 1.956</w:t>
      </w:r>
      <w:r>
        <w:rPr>
          <w:rFonts w:ascii="Arial" w:hAnsi="Arial" w:cs="Arial"/>
          <w:i w:val="0"/>
          <w:iCs w:val="0"/>
        </w:rPr>
        <w:t xml:space="preserve"> Å, </w:t>
      </w:r>
      <w:proofErr w:type="spellStart"/>
      <w:r>
        <w:rPr>
          <w:rFonts w:ascii="Arial" w:hAnsi="Arial" w:cs="Arial"/>
          <w:i w:val="0"/>
          <w:iCs w:val="0"/>
          <w:vertAlign w:val="superscript"/>
        </w:rPr>
        <w:t>d</w:t>
      </w:r>
      <w:r>
        <w:rPr>
          <w:rFonts w:ascii="Arial" w:hAnsi="Arial" w:cs="Arial"/>
          <w:i w:val="0"/>
          <w:iCs w:val="0"/>
        </w:rPr>
        <w:t>Debye</w:t>
      </w:r>
      <w:proofErr w:type="spellEnd"/>
      <w:r>
        <w:rPr>
          <w:rFonts w:ascii="Arial" w:hAnsi="Arial" w:cs="Arial"/>
          <w:i w:val="0"/>
          <w:iCs w:val="0"/>
        </w:rPr>
        <w:t>-Waller factor.</w:t>
      </w:r>
    </w:p>
    <w:p w14:paraId="7CB26E9F" w14:textId="0E3991E0" w:rsidR="00564115" w:rsidRPr="00FF0BA0" w:rsidRDefault="00564115" w:rsidP="00BB5211">
      <w:pPr>
        <w:spacing w:after="100" w:afterAutospacing="1" w:line="360" w:lineRule="auto"/>
        <w:jc w:val="center"/>
      </w:pPr>
    </w:p>
    <w:p w14:paraId="7FE7577E" w14:textId="78BAD6F2" w:rsidR="005E4531" w:rsidRDefault="006B323D">
      <w:pPr>
        <w:spacing w:afterAutospacing="1" w:line="360" w:lineRule="auto"/>
        <w:jc w:val="both"/>
        <w:rPr>
          <w:rFonts w:ascii="Arial" w:hAnsi="Arial" w:cs="Arial"/>
          <w:sz w:val="24"/>
          <w:szCs w:val="24"/>
          <w:lang w:val="en-US"/>
        </w:rPr>
      </w:pPr>
      <w:r>
        <w:rPr>
          <w:rFonts w:ascii="Arial" w:hAnsi="Arial" w:cs="Arial"/>
          <w:b/>
          <w:bCs/>
          <w:noProof/>
          <w:sz w:val="24"/>
          <w:szCs w:val="24"/>
          <w:lang w:val="en-US"/>
        </w:rPr>
        <w:lastRenderedPageBreak/>
        <w:drawing>
          <wp:inline distT="0" distB="0" distL="0" distR="0" wp14:anchorId="3B3A499A" wp14:editId="46267F13">
            <wp:extent cx="5731510" cy="5731510"/>
            <wp:effectExtent l="0" t="0" r="0" b="0"/>
            <wp:docPr id="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
                    <pic:cNvPicPr>
                      <a:picLocks noChangeAspect="1" noChangeArrowheads="1"/>
                    </pic:cNvPicPr>
                  </pic:nvPicPr>
                  <pic:blipFill>
                    <a:blip r:embed="rId45"/>
                    <a:stretch>
                      <a:fillRect/>
                    </a:stretch>
                  </pic:blipFill>
                  <pic:spPr bwMode="auto">
                    <a:xfrm>
                      <a:off x="0" y="0"/>
                      <a:ext cx="5731510" cy="5731510"/>
                    </a:xfrm>
                    <a:prstGeom prst="rect">
                      <a:avLst/>
                    </a:prstGeom>
                  </pic:spPr>
                </pic:pic>
              </a:graphicData>
            </a:graphic>
          </wp:inline>
        </w:drawing>
      </w:r>
      <w:r w:rsidRPr="00B725E8">
        <w:rPr>
          <w:rFonts w:ascii="Arial" w:hAnsi="Arial"/>
          <w:b/>
          <w:bCs/>
          <w:sz w:val="24"/>
          <w:lang w:val="en-US"/>
        </w:rPr>
        <w:t>Figure S3</w:t>
      </w:r>
      <w:r w:rsidR="00FF7A00">
        <w:rPr>
          <w:rFonts w:ascii="Arial" w:hAnsi="Arial"/>
          <w:b/>
          <w:bCs/>
          <w:sz w:val="24"/>
          <w:lang w:val="en-US"/>
        </w:rPr>
        <w:t>5</w:t>
      </w:r>
      <w:r w:rsidRPr="00B725E8">
        <w:rPr>
          <w:rFonts w:ascii="Arial" w:hAnsi="Arial"/>
          <w:b/>
          <w:bCs/>
          <w:sz w:val="24"/>
          <w:lang w:val="en-US"/>
        </w:rPr>
        <w:t>.</w:t>
      </w:r>
      <w:r>
        <w:rPr>
          <w:rFonts w:ascii="Arial" w:hAnsi="Arial" w:cs="Arial"/>
          <w:sz w:val="24"/>
          <w:szCs w:val="24"/>
          <w:lang w:val="en-US"/>
        </w:rPr>
        <w:t xml:space="preserve"> (A) Simulated energy profiles illustrating diverse *CO coverages on a Cu(110) facet obtained via CO</w:t>
      </w:r>
      <w:r>
        <w:rPr>
          <w:rFonts w:ascii="Arial" w:hAnsi="Arial" w:cs="Arial"/>
          <w:sz w:val="24"/>
          <w:szCs w:val="24"/>
          <w:vertAlign w:val="subscript"/>
          <w:lang w:val="en-US"/>
        </w:rPr>
        <w:t>2</w:t>
      </w:r>
      <w:r>
        <w:rPr>
          <w:rFonts w:ascii="Arial" w:hAnsi="Arial" w:cs="Arial"/>
          <w:sz w:val="24"/>
          <w:szCs w:val="24"/>
          <w:lang w:val="en-US"/>
        </w:rPr>
        <w:t xml:space="preserve"> reduction, as a function of applied potential. The color coding differentiates states with no adsorbed *CO, stably adsorbed *CO, and unstably adsorbed *CO (grey, blue, and red regions, respectively). (B) Energy diagram depicting a proposed reaction mechanism for acetaldehyde formation on the Cu(110) facet where the coupling is between the last two added *COs at the potential where all reaction steps are downhill. (C) Comparison of the simulated adsorption energy of ketene on the Cu</w:t>
      </w:r>
      <w:r>
        <w:rPr>
          <w:rFonts w:ascii="Arial" w:hAnsi="Arial" w:cs="Arial"/>
          <w:sz w:val="24"/>
          <w:szCs w:val="24"/>
          <w:vertAlign w:val="subscript"/>
          <w:lang w:val="en-US"/>
        </w:rPr>
        <w:t>43</w:t>
      </w:r>
      <w:r>
        <w:rPr>
          <w:rFonts w:ascii="Arial" w:hAnsi="Arial" w:cs="Arial"/>
          <w:sz w:val="24"/>
          <w:szCs w:val="24"/>
          <w:lang w:val="en-US"/>
        </w:rPr>
        <w:t xml:space="preserve"> cluster and the Cu(110) facet.</w:t>
      </w:r>
    </w:p>
    <w:p w14:paraId="6914866A" w14:textId="77777777" w:rsidR="005E4531" w:rsidRDefault="005E4531">
      <w:pPr>
        <w:spacing w:afterAutospacing="1" w:line="360" w:lineRule="auto"/>
        <w:jc w:val="both"/>
        <w:rPr>
          <w:rFonts w:ascii="Arial" w:hAnsi="Arial" w:cs="Arial"/>
          <w:sz w:val="28"/>
          <w:szCs w:val="28"/>
          <w:lang w:val="en-US"/>
        </w:rPr>
      </w:pPr>
    </w:p>
    <w:p w14:paraId="2D1ADFEC" w14:textId="453E6760" w:rsidR="005E4531" w:rsidRDefault="006B323D">
      <w:pPr>
        <w:jc w:val="both"/>
        <w:rPr>
          <w:rFonts w:ascii="Arial" w:hAnsi="Arial" w:cs="Arial"/>
          <w:sz w:val="24"/>
          <w:szCs w:val="24"/>
          <w:vertAlign w:val="subscript"/>
          <w:lang w:val="en-US"/>
        </w:rPr>
      </w:pPr>
      <w:r>
        <w:rPr>
          <w:rFonts w:ascii="Arial" w:hAnsi="Arial" w:cs="Arial"/>
          <w:b/>
          <w:bCs/>
          <w:sz w:val="24"/>
          <w:szCs w:val="24"/>
          <w:lang w:val="en-US"/>
        </w:rPr>
        <w:lastRenderedPageBreak/>
        <w:t>Table S14.</w:t>
      </w:r>
      <w:r>
        <w:rPr>
          <w:rFonts w:ascii="Arial" w:hAnsi="Arial" w:cs="Arial"/>
          <w:sz w:val="24"/>
          <w:szCs w:val="24"/>
          <w:lang w:val="en-US"/>
        </w:rPr>
        <w:t xml:space="preserve"> Corrections used to convert electronic energies to free energies for reductive *CO adsorption (CO</w:t>
      </w:r>
      <w:r>
        <w:rPr>
          <w:rFonts w:ascii="Arial" w:hAnsi="Arial" w:cs="Arial"/>
          <w:sz w:val="24"/>
          <w:szCs w:val="24"/>
          <w:vertAlign w:val="subscript"/>
          <w:lang w:val="en-US"/>
        </w:rPr>
        <w:t>2</w:t>
      </w:r>
      <w:r>
        <w:rPr>
          <w:rFonts w:ascii="Arial" w:hAnsi="Arial" w:cs="Arial"/>
          <w:sz w:val="24"/>
          <w:szCs w:val="24"/>
          <w:lang w:val="en-US"/>
        </w:rPr>
        <w:t>(g) + * + H</w:t>
      </w:r>
      <w:r>
        <w:rPr>
          <w:rFonts w:ascii="Arial" w:hAnsi="Arial" w:cs="Arial"/>
          <w:sz w:val="24"/>
          <w:szCs w:val="24"/>
          <w:vertAlign w:val="subscript"/>
          <w:lang w:val="en-US"/>
        </w:rPr>
        <w:t>2</w:t>
      </w:r>
      <w:r>
        <w:rPr>
          <w:rFonts w:ascii="Arial" w:hAnsi="Arial" w:cs="Arial"/>
          <w:sz w:val="24"/>
          <w:szCs w:val="24"/>
          <w:lang w:val="en-US"/>
        </w:rPr>
        <w:t>(g) → *CO + H</w:t>
      </w:r>
      <w:r>
        <w:rPr>
          <w:rFonts w:ascii="Arial" w:hAnsi="Arial" w:cs="Arial"/>
          <w:sz w:val="24"/>
          <w:szCs w:val="24"/>
          <w:vertAlign w:val="subscript"/>
          <w:lang w:val="en-US"/>
        </w:rPr>
        <w:t>2</w:t>
      </w:r>
      <w:r>
        <w:rPr>
          <w:rFonts w:ascii="Arial" w:hAnsi="Arial" w:cs="Arial"/>
          <w:sz w:val="24"/>
          <w:szCs w:val="24"/>
          <w:lang w:val="en-US"/>
        </w:rPr>
        <w:t>O(l)) and *CO desorption (*CO → CO(g) + *) at 298.15 K from Chan et al., Table S1 and S2.</w:t>
      </w:r>
      <w:r w:rsidR="0017694F">
        <w:rPr>
          <w:rFonts w:ascii="Arial" w:hAnsi="Arial" w:cs="Arial"/>
          <w:sz w:val="24"/>
          <w:szCs w:val="24"/>
          <w:lang w:val="en-US"/>
        </w:rPr>
        <w:fldChar w:fldCharType="begin"/>
      </w:r>
      <w:r w:rsidR="000F395C">
        <w:rPr>
          <w:rFonts w:ascii="Arial" w:hAnsi="Arial" w:cs="Arial"/>
          <w:sz w:val="24"/>
          <w:szCs w:val="24"/>
          <w:lang w:val="en-US"/>
        </w:rPr>
        <w:instrText xml:space="preserve"> ADDIN ZOTERO_ITEM CSL_CITATION {"citationID":"eJzVXj5i","properties":{"formattedCitation":"\\super 26\\nosupersub{}","plainCitation":"26","noteIndex":0},"citationItems":[{"id":4652,"uris":["http://zotero.org/users/4941048/items/54PMLJAL"],"itemData":{"id":4652,"type":"article-journal","abstract":"Linear scaling relations between reaction intermediates pose a fundamental limitation to the CO2 reduction activity of transition-metal catalysts. To design improved catalysts, we propose to break these scaling relations by binding key reaction intermediates to different sites. Using density functional theory, we demonstrate this principle in the active edge sites in MoS2, MoSe2, and Ni-doped MoS2. These edges show the unique property of selectively binding COOH and CHO to bridging S or Se atoms and CO to the metal atom. DFT calculations suggest a significant improvement in CO2 reduction activity over the transition metals. Our results point to the broader application of the active edge sites of transition-metal dichalcogenides in complex electrochemical processes.","container-title":"ChemCatChem","DOI":"10.1002/cctc.201402128","ISSN":"1867-3899","issue":"7","language":"en","license":"© 2014 WILEY-VCH Verlag GmbH &amp; Co. KGaA, Weinheim","note":"_eprint: https://onlinelibrary.wiley.com/doi/pdf/10.1002/cctc.201402128","page":"1899-1905","source":"Wiley Online Library","title":"Molybdenum Sulfides and Selenides as Possible Electrocatalysts for CO2 Reduction","volume":"6","author":[{"family":"Chan","given":"Karen"},{"family":"Tsai","given":"Charlie"},{"family":"Hansen","given":"Heine A."},{"family":"Nørskov","given":"Jens K."}],"issued":{"date-parts":[["2014"]]}}}],"schema":"https://github.com/citation-style-language/schema/raw/master/csl-citation.json"} </w:instrText>
      </w:r>
      <w:r w:rsidR="0017694F">
        <w:rPr>
          <w:rFonts w:ascii="Arial" w:hAnsi="Arial" w:cs="Arial"/>
          <w:sz w:val="24"/>
          <w:szCs w:val="24"/>
          <w:lang w:val="en-US"/>
        </w:rPr>
        <w:fldChar w:fldCharType="separate"/>
      </w:r>
      <w:r w:rsidR="000F395C" w:rsidRPr="000F395C">
        <w:rPr>
          <w:rFonts w:ascii="Arial" w:hAnsi="Arial" w:cs="Arial"/>
          <w:sz w:val="24"/>
          <w:szCs w:val="24"/>
          <w:vertAlign w:val="superscript"/>
        </w:rPr>
        <w:t>26</w:t>
      </w:r>
      <w:r w:rsidR="0017694F">
        <w:rPr>
          <w:rFonts w:ascii="Arial" w:hAnsi="Arial" w:cs="Arial"/>
          <w:sz w:val="24"/>
          <w:szCs w:val="24"/>
          <w:lang w:val="en-US"/>
        </w:rPr>
        <w:fldChar w:fldCharType="end"/>
      </w:r>
      <w:r>
        <w:rPr>
          <w:rFonts w:ascii="Arial" w:hAnsi="Arial" w:cs="Arial"/>
          <w:sz w:val="24"/>
          <w:szCs w:val="24"/>
          <w:lang w:val="en-US"/>
        </w:rPr>
        <w:t xml:space="preserve"> </w:t>
      </w:r>
    </w:p>
    <w:p w14:paraId="7B0D3D7E" w14:textId="77777777" w:rsidR="005E4531" w:rsidRDefault="006B323D">
      <w:pPr>
        <w:jc w:val="both"/>
        <w:rPr>
          <w:rFonts w:ascii="Arial" w:hAnsi="Arial" w:cs="Arial"/>
          <w:sz w:val="24"/>
          <w:szCs w:val="24"/>
          <w:lang w:val="en-US"/>
        </w:rPr>
      </w:pPr>
      <w:r>
        <w:rPr>
          <w:rFonts w:ascii="Arial" w:hAnsi="Arial" w:cs="Arial"/>
          <w:sz w:val="24"/>
          <w:szCs w:val="24"/>
          <w:lang w:val="en-US"/>
        </w:rPr>
        <w:t>The free energy was calculated as ΔG = ΔE + ΔZPE + Δ (∫ C</w:t>
      </w:r>
      <w:r>
        <w:rPr>
          <w:rFonts w:ascii="Arial" w:hAnsi="Arial" w:cs="Arial"/>
          <w:sz w:val="24"/>
          <w:szCs w:val="24"/>
          <w:vertAlign w:val="subscript"/>
          <w:lang w:val="en-US"/>
        </w:rPr>
        <w:t>p</w:t>
      </w:r>
      <w:r>
        <w:rPr>
          <w:rFonts w:ascii="Arial" w:hAnsi="Arial" w:cs="Arial"/>
          <w:sz w:val="24"/>
          <w:szCs w:val="24"/>
          <w:lang w:val="en-US"/>
        </w:rPr>
        <w:t xml:space="preserve"> dT) - TΔS + </w:t>
      </w:r>
      <w:proofErr w:type="spellStart"/>
      <w:r>
        <w:rPr>
          <w:rFonts w:ascii="Arial" w:hAnsi="Arial" w:cs="Arial"/>
          <w:sz w:val="24"/>
          <w:szCs w:val="24"/>
          <w:lang w:val="en-US"/>
        </w:rPr>
        <w:t>ΔE</w:t>
      </w:r>
      <w:r>
        <w:rPr>
          <w:rFonts w:ascii="Arial" w:hAnsi="Arial" w:cs="Arial"/>
          <w:sz w:val="24"/>
          <w:szCs w:val="24"/>
          <w:vertAlign w:val="subscript"/>
          <w:lang w:val="en-US"/>
        </w:rPr>
        <w:t>sol</w:t>
      </w:r>
      <w:proofErr w:type="spellEnd"/>
      <w:r>
        <w:rPr>
          <w:rFonts w:ascii="Arial" w:hAnsi="Arial" w:cs="Arial"/>
          <w:sz w:val="24"/>
          <w:szCs w:val="24"/>
          <w:lang w:val="en-US"/>
        </w:rPr>
        <w:t xml:space="preserve"> + ΔE</w:t>
      </w:r>
      <w:r>
        <w:rPr>
          <w:rFonts w:ascii="Arial" w:hAnsi="Arial" w:cs="Arial"/>
          <w:sz w:val="24"/>
          <w:szCs w:val="24"/>
          <w:vertAlign w:val="subscript"/>
          <w:lang w:val="en-US"/>
        </w:rPr>
        <w:t>RPBE</w:t>
      </w:r>
      <w:r>
        <w:rPr>
          <w:rFonts w:ascii="Arial" w:hAnsi="Arial" w:cs="Arial"/>
          <w:lang w:val="en-US"/>
        </w:rPr>
        <w:t xml:space="preserve">, where </w:t>
      </w:r>
      <w:r>
        <w:rPr>
          <w:rFonts w:ascii="Arial" w:hAnsi="Arial" w:cs="Arial"/>
          <w:sz w:val="24"/>
          <w:szCs w:val="24"/>
          <w:lang w:val="en-US"/>
        </w:rPr>
        <w:t>ΔE is the change electronic energies obtained with the RPBE functional.</w:t>
      </w:r>
    </w:p>
    <w:tbl>
      <w:tblPr>
        <w:tblStyle w:val="PlainTable2"/>
        <w:tblW w:w="0" w:type="auto"/>
        <w:tblLayout w:type="fixed"/>
        <w:tblLook w:val="06A0" w:firstRow="1" w:lastRow="0" w:firstColumn="1" w:lastColumn="0" w:noHBand="1" w:noVBand="1"/>
      </w:tblPr>
      <w:tblGrid>
        <w:gridCol w:w="1950"/>
        <w:gridCol w:w="1350"/>
        <w:gridCol w:w="1365"/>
        <w:gridCol w:w="1425"/>
        <w:gridCol w:w="1422"/>
        <w:gridCol w:w="1502"/>
      </w:tblGrid>
      <w:tr w:rsidR="005E4531" w14:paraId="48EC5619" w14:textId="77777777" w:rsidTr="00907C1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50" w:type="dxa"/>
          </w:tcPr>
          <w:p w14:paraId="3EFE5040" w14:textId="77777777" w:rsidR="005E4531" w:rsidRDefault="006B323D" w:rsidP="009C7E3E">
            <w:pPr>
              <w:jc w:val="both"/>
              <w:rPr>
                <w:rFonts w:ascii="Arial" w:hAnsi="Arial" w:cs="Arial"/>
                <w:sz w:val="24"/>
                <w:szCs w:val="24"/>
              </w:rPr>
            </w:pPr>
            <w:r w:rsidRPr="009C7E3E">
              <w:rPr>
                <w:rFonts w:ascii="Arial" w:hAnsi="Arial"/>
                <w:sz w:val="24"/>
              </w:rPr>
              <w:t>Species</w:t>
            </w:r>
          </w:p>
        </w:tc>
        <w:tc>
          <w:tcPr>
            <w:tcW w:w="1350" w:type="dxa"/>
          </w:tcPr>
          <w:p w14:paraId="3D597EFE"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ZPE</w:t>
            </w:r>
          </w:p>
          <w:p w14:paraId="2D69A4A6"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(eV)</w:t>
            </w:r>
          </w:p>
        </w:tc>
        <w:tc>
          <w:tcPr>
            <w:tcW w:w="1365" w:type="dxa"/>
          </w:tcPr>
          <w:p w14:paraId="48DE4DFE"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 C</w:t>
            </w:r>
            <w:r w:rsidRPr="009C7E3E">
              <w:rPr>
                <w:rFonts w:ascii="Arial" w:hAnsi="Arial"/>
                <w:sz w:val="24"/>
                <w:vertAlign w:val="subscript"/>
              </w:rPr>
              <w:t>p</w:t>
            </w:r>
            <w:r w:rsidRPr="009C7E3E">
              <w:rPr>
                <w:rFonts w:ascii="Arial" w:hAnsi="Arial"/>
                <w:sz w:val="24"/>
              </w:rPr>
              <w:t xml:space="preserve"> dT</w:t>
            </w:r>
          </w:p>
          <w:p w14:paraId="1362F360"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(eV)</w:t>
            </w:r>
          </w:p>
        </w:tc>
        <w:tc>
          <w:tcPr>
            <w:tcW w:w="1425" w:type="dxa"/>
          </w:tcPr>
          <w:p w14:paraId="561F6524"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-TS</w:t>
            </w:r>
          </w:p>
          <w:p w14:paraId="0D7809EC"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(eV)</w:t>
            </w:r>
          </w:p>
        </w:tc>
        <w:tc>
          <w:tcPr>
            <w:tcW w:w="1422" w:type="dxa"/>
          </w:tcPr>
          <w:p w14:paraId="51214F2B"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roofErr w:type="spellStart"/>
            <w:r w:rsidRPr="009C7E3E">
              <w:rPr>
                <w:rFonts w:ascii="Arial" w:hAnsi="Arial"/>
                <w:sz w:val="24"/>
              </w:rPr>
              <w:t>ΔE</w:t>
            </w:r>
            <w:r w:rsidRPr="009C7E3E">
              <w:rPr>
                <w:rFonts w:ascii="Arial" w:hAnsi="Arial"/>
                <w:sz w:val="24"/>
                <w:vertAlign w:val="subscript"/>
              </w:rPr>
              <w:t>sol</w:t>
            </w:r>
            <w:proofErr w:type="spellEnd"/>
          </w:p>
          <w:p w14:paraId="05E6F373"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vertAlign w:val="subscript"/>
              </w:rPr>
            </w:pPr>
            <w:r w:rsidRPr="009C7E3E">
              <w:rPr>
                <w:rFonts w:ascii="Arial" w:hAnsi="Arial"/>
                <w:sz w:val="24"/>
              </w:rPr>
              <w:t>(eV)</w:t>
            </w:r>
          </w:p>
        </w:tc>
        <w:tc>
          <w:tcPr>
            <w:tcW w:w="1502" w:type="dxa"/>
          </w:tcPr>
          <w:p w14:paraId="0816398E"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vertAlign w:val="subscript"/>
              </w:rPr>
            </w:pPr>
            <w:r w:rsidRPr="009C7E3E">
              <w:rPr>
                <w:rFonts w:ascii="Arial" w:hAnsi="Arial"/>
                <w:sz w:val="24"/>
              </w:rPr>
              <w:t>ΔE</w:t>
            </w:r>
            <w:r w:rsidRPr="009C7E3E">
              <w:rPr>
                <w:rFonts w:ascii="Arial" w:hAnsi="Arial"/>
                <w:sz w:val="24"/>
                <w:vertAlign w:val="subscript"/>
              </w:rPr>
              <w:t>RPBE</w:t>
            </w:r>
          </w:p>
          <w:p w14:paraId="57AAA798" w14:textId="77777777" w:rsidR="005E4531" w:rsidRDefault="006B323D" w:rsidP="009C7E3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vertAlign w:val="subscript"/>
              </w:rPr>
            </w:pPr>
            <w:r w:rsidRPr="009C7E3E">
              <w:rPr>
                <w:rFonts w:ascii="Arial" w:hAnsi="Arial"/>
                <w:sz w:val="24"/>
              </w:rPr>
              <w:t>(eV)</w:t>
            </w:r>
          </w:p>
        </w:tc>
      </w:tr>
      <w:tr w:rsidR="005E4531" w14:paraId="67C5F939" w14:textId="77777777" w:rsidTr="00907C1C">
        <w:trPr>
          <w:trHeight w:val="300"/>
        </w:trPr>
        <w:tc>
          <w:tcPr>
            <w:cnfStyle w:val="001000000000" w:firstRow="0" w:lastRow="0" w:firstColumn="1" w:lastColumn="0" w:oddVBand="0" w:evenVBand="0" w:oddHBand="0" w:evenHBand="0" w:firstRowFirstColumn="0" w:firstRowLastColumn="0" w:lastRowFirstColumn="0" w:lastRowLastColumn="0"/>
            <w:tcW w:w="1950" w:type="dxa"/>
          </w:tcPr>
          <w:p w14:paraId="2DAFDBCB" w14:textId="77777777" w:rsidR="005E4531" w:rsidRDefault="006B323D" w:rsidP="009C7E3E">
            <w:pPr>
              <w:jc w:val="both"/>
              <w:rPr>
                <w:rFonts w:ascii="Arial" w:hAnsi="Arial" w:cs="Arial"/>
                <w:sz w:val="24"/>
                <w:szCs w:val="24"/>
              </w:rPr>
            </w:pPr>
            <w:r w:rsidRPr="009C7E3E">
              <w:rPr>
                <w:rFonts w:ascii="Arial" w:hAnsi="Arial"/>
                <w:sz w:val="24"/>
              </w:rPr>
              <w:t>CO</w:t>
            </w:r>
            <w:r w:rsidRPr="009C7E3E">
              <w:rPr>
                <w:rFonts w:ascii="Arial" w:hAnsi="Arial"/>
                <w:sz w:val="24"/>
                <w:vertAlign w:val="subscript"/>
              </w:rPr>
              <w:t>2</w:t>
            </w:r>
            <w:r w:rsidRPr="009C7E3E">
              <w:rPr>
                <w:rFonts w:ascii="Arial" w:hAnsi="Arial"/>
                <w:sz w:val="24"/>
              </w:rPr>
              <w:t xml:space="preserve"> (g, 1 bar)</w:t>
            </w:r>
          </w:p>
        </w:tc>
        <w:tc>
          <w:tcPr>
            <w:tcW w:w="1350" w:type="dxa"/>
          </w:tcPr>
          <w:p w14:paraId="4E8FC500"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0.31</w:t>
            </w:r>
          </w:p>
        </w:tc>
        <w:tc>
          <w:tcPr>
            <w:tcW w:w="1365" w:type="dxa"/>
          </w:tcPr>
          <w:p w14:paraId="7C856B0F"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0.10</w:t>
            </w:r>
          </w:p>
        </w:tc>
        <w:tc>
          <w:tcPr>
            <w:tcW w:w="1425" w:type="dxa"/>
          </w:tcPr>
          <w:p w14:paraId="25692B64"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-0.66</w:t>
            </w:r>
          </w:p>
        </w:tc>
        <w:tc>
          <w:tcPr>
            <w:tcW w:w="1422" w:type="dxa"/>
          </w:tcPr>
          <w:p w14:paraId="4EB2686E" w14:textId="77777777" w:rsidR="005E4531" w:rsidRDefault="005E4531"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502" w:type="dxa"/>
          </w:tcPr>
          <w:p w14:paraId="2D5D1A48"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0.33</w:t>
            </w:r>
          </w:p>
        </w:tc>
      </w:tr>
      <w:tr w:rsidR="005E4531" w14:paraId="3CF649DB" w14:textId="77777777" w:rsidTr="00907C1C">
        <w:trPr>
          <w:trHeight w:val="300"/>
        </w:trPr>
        <w:tc>
          <w:tcPr>
            <w:cnfStyle w:val="001000000000" w:firstRow="0" w:lastRow="0" w:firstColumn="1" w:lastColumn="0" w:oddVBand="0" w:evenVBand="0" w:oddHBand="0" w:evenHBand="0" w:firstRowFirstColumn="0" w:firstRowLastColumn="0" w:lastRowFirstColumn="0" w:lastRowLastColumn="0"/>
            <w:tcW w:w="1950" w:type="dxa"/>
          </w:tcPr>
          <w:p w14:paraId="30F6DAF9" w14:textId="77777777" w:rsidR="005E4531" w:rsidRDefault="006B323D" w:rsidP="009C7E3E">
            <w:pPr>
              <w:jc w:val="both"/>
              <w:rPr>
                <w:rFonts w:ascii="Arial" w:hAnsi="Arial" w:cs="Arial"/>
                <w:sz w:val="24"/>
                <w:szCs w:val="24"/>
              </w:rPr>
            </w:pPr>
            <w:r w:rsidRPr="009C7E3E">
              <w:rPr>
                <w:rFonts w:ascii="Arial" w:hAnsi="Arial"/>
                <w:sz w:val="24"/>
              </w:rPr>
              <w:t>CO (g, 1 bar)</w:t>
            </w:r>
          </w:p>
        </w:tc>
        <w:tc>
          <w:tcPr>
            <w:tcW w:w="1350" w:type="dxa"/>
          </w:tcPr>
          <w:p w14:paraId="093B3F14"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0.13</w:t>
            </w:r>
          </w:p>
        </w:tc>
        <w:tc>
          <w:tcPr>
            <w:tcW w:w="1365" w:type="dxa"/>
          </w:tcPr>
          <w:p w14:paraId="40EF93B8"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0.09</w:t>
            </w:r>
          </w:p>
        </w:tc>
        <w:tc>
          <w:tcPr>
            <w:tcW w:w="1425" w:type="dxa"/>
          </w:tcPr>
          <w:p w14:paraId="4202CF30"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-0.61</w:t>
            </w:r>
          </w:p>
        </w:tc>
        <w:tc>
          <w:tcPr>
            <w:tcW w:w="1422" w:type="dxa"/>
          </w:tcPr>
          <w:p w14:paraId="00D33A03" w14:textId="77777777" w:rsidR="005E4531" w:rsidRDefault="005E4531"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502" w:type="dxa"/>
          </w:tcPr>
          <w:p w14:paraId="426522D6" w14:textId="77777777" w:rsidR="005E4531" w:rsidRDefault="005E4531"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E4531" w14:paraId="470135E1" w14:textId="77777777" w:rsidTr="00907C1C">
        <w:trPr>
          <w:trHeight w:val="300"/>
        </w:trPr>
        <w:tc>
          <w:tcPr>
            <w:cnfStyle w:val="001000000000" w:firstRow="0" w:lastRow="0" w:firstColumn="1" w:lastColumn="0" w:oddVBand="0" w:evenVBand="0" w:oddHBand="0" w:evenHBand="0" w:firstRowFirstColumn="0" w:firstRowLastColumn="0" w:lastRowFirstColumn="0" w:lastRowLastColumn="0"/>
            <w:tcW w:w="1950" w:type="dxa"/>
          </w:tcPr>
          <w:p w14:paraId="4F7C1AE5" w14:textId="77777777" w:rsidR="005E4531" w:rsidRDefault="006B323D" w:rsidP="009C7E3E">
            <w:pPr>
              <w:jc w:val="both"/>
              <w:rPr>
                <w:rFonts w:ascii="Arial" w:hAnsi="Arial" w:cs="Arial"/>
                <w:sz w:val="24"/>
                <w:szCs w:val="24"/>
              </w:rPr>
            </w:pPr>
            <w:r w:rsidRPr="009C7E3E">
              <w:rPr>
                <w:rFonts w:ascii="Arial" w:hAnsi="Arial"/>
                <w:sz w:val="24"/>
              </w:rPr>
              <w:t>H</w:t>
            </w:r>
            <w:r w:rsidRPr="009C7E3E">
              <w:rPr>
                <w:rFonts w:ascii="Arial" w:hAnsi="Arial"/>
                <w:sz w:val="24"/>
                <w:vertAlign w:val="subscript"/>
              </w:rPr>
              <w:t xml:space="preserve">2 </w:t>
            </w:r>
            <w:r w:rsidRPr="009C7E3E">
              <w:rPr>
                <w:rFonts w:ascii="Arial" w:hAnsi="Arial"/>
                <w:sz w:val="24"/>
              </w:rPr>
              <w:t>(g,1 bar)</w:t>
            </w:r>
          </w:p>
        </w:tc>
        <w:tc>
          <w:tcPr>
            <w:tcW w:w="1350" w:type="dxa"/>
          </w:tcPr>
          <w:p w14:paraId="67208FD7"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0.28</w:t>
            </w:r>
          </w:p>
        </w:tc>
        <w:tc>
          <w:tcPr>
            <w:tcW w:w="1365" w:type="dxa"/>
          </w:tcPr>
          <w:p w14:paraId="673B2456"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0.09</w:t>
            </w:r>
          </w:p>
        </w:tc>
        <w:tc>
          <w:tcPr>
            <w:tcW w:w="1425" w:type="dxa"/>
          </w:tcPr>
          <w:p w14:paraId="62EDF366"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-0.40</w:t>
            </w:r>
          </w:p>
        </w:tc>
        <w:tc>
          <w:tcPr>
            <w:tcW w:w="1422" w:type="dxa"/>
          </w:tcPr>
          <w:p w14:paraId="5D9F6911" w14:textId="77777777" w:rsidR="005E4531" w:rsidRDefault="005E4531"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502" w:type="dxa"/>
          </w:tcPr>
          <w:p w14:paraId="478EA949"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0.09</w:t>
            </w:r>
          </w:p>
        </w:tc>
      </w:tr>
      <w:tr w:rsidR="005E4531" w14:paraId="76FA3842" w14:textId="77777777" w:rsidTr="00907C1C">
        <w:trPr>
          <w:trHeight w:val="300"/>
        </w:trPr>
        <w:tc>
          <w:tcPr>
            <w:cnfStyle w:val="001000000000" w:firstRow="0" w:lastRow="0" w:firstColumn="1" w:lastColumn="0" w:oddVBand="0" w:evenVBand="0" w:oddHBand="0" w:evenHBand="0" w:firstRowFirstColumn="0" w:firstRowLastColumn="0" w:lastRowFirstColumn="0" w:lastRowLastColumn="0"/>
            <w:tcW w:w="1950" w:type="dxa"/>
          </w:tcPr>
          <w:p w14:paraId="147CC2D8" w14:textId="77777777" w:rsidR="005E4531" w:rsidRDefault="006B323D" w:rsidP="009C7E3E">
            <w:pPr>
              <w:jc w:val="both"/>
              <w:rPr>
                <w:rFonts w:ascii="Arial" w:hAnsi="Arial" w:cs="Arial"/>
                <w:sz w:val="24"/>
                <w:szCs w:val="24"/>
              </w:rPr>
            </w:pPr>
            <w:r w:rsidRPr="009C7E3E">
              <w:rPr>
                <w:rFonts w:ascii="Arial" w:hAnsi="Arial"/>
                <w:sz w:val="24"/>
              </w:rPr>
              <w:t>H</w:t>
            </w:r>
            <w:r w:rsidRPr="009C7E3E">
              <w:rPr>
                <w:rFonts w:ascii="Arial" w:hAnsi="Arial"/>
                <w:sz w:val="24"/>
                <w:vertAlign w:val="subscript"/>
              </w:rPr>
              <w:t>2</w:t>
            </w:r>
            <w:r w:rsidRPr="009C7E3E">
              <w:rPr>
                <w:rFonts w:ascii="Arial" w:hAnsi="Arial"/>
                <w:sz w:val="24"/>
              </w:rPr>
              <w:t>O (l)</w:t>
            </w:r>
          </w:p>
        </w:tc>
        <w:tc>
          <w:tcPr>
            <w:tcW w:w="1350" w:type="dxa"/>
          </w:tcPr>
          <w:p w14:paraId="114BA499"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0.57</w:t>
            </w:r>
          </w:p>
        </w:tc>
        <w:tc>
          <w:tcPr>
            <w:tcW w:w="1365" w:type="dxa"/>
          </w:tcPr>
          <w:p w14:paraId="1DF64A0A"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0.10</w:t>
            </w:r>
          </w:p>
        </w:tc>
        <w:tc>
          <w:tcPr>
            <w:tcW w:w="1425" w:type="dxa"/>
          </w:tcPr>
          <w:p w14:paraId="0C832DEA"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-0.67</w:t>
            </w:r>
          </w:p>
        </w:tc>
        <w:tc>
          <w:tcPr>
            <w:tcW w:w="1422" w:type="dxa"/>
          </w:tcPr>
          <w:p w14:paraId="1F851A0A" w14:textId="77777777" w:rsidR="005E4531" w:rsidRDefault="005E4531"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502" w:type="dxa"/>
          </w:tcPr>
          <w:p w14:paraId="5044B5AB" w14:textId="77777777" w:rsidR="005E4531" w:rsidRDefault="005E4531"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E4531" w14:paraId="3EE1F989" w14:textId="77777777" w:rsidTr="00907C1C">
        <w:trPr>
          <w:trHeight w:val="300"/>
        </w:trPr>
        <w:tc>
          <w:tcPr>
            <w:cnfStyle w:val="001000000000" w:firstRow="0" w:lastRow="0" w:firstColumn="1" w:lastColumn="0" w:oddVBand="0" w:evenVBand="0" w:oddHBand="0" w:evenHBand="0" w:firstRowFirstColumn="0" w:firstRowLastColumn="0" w:lastRowFirstColumn="0" w:lastRowLastColumn="0"/>
            <w:tcW w:w="1950" w:type="dxa"/>
          </w:tcPr>
          <w:p w14:paraId="784D45B1" w14:textId="77777777" w:rsidR="005E4531" w:rsidRDefault="006B323D" w:rsidP="009C7E3E">
            <w:pPr>
              <w:jc w:val="both"/>
              <w:rPr>
                <w:rFonts w:ascii="Arial" w:hAnsi="Arial" w:cs="Arial"/>
                <w:sz w:val="24"/>
                <w:szCs w:val="24"/>
              </w:rPr>
            </w:pPr>
            <w:r w:rsidRPr="009C7E3E">
              <w:rPr>
                <w:rFonts w:ascii="Arial" w:hAnsi="Arial"/>
                <w:sz w:val="24"/>
              </w:rPr>
              <w:t>*CO</w:t>
            </w:r>
          </w:p>
        </w:tc>
        <w:tc>
          <w:tcPr>
            <w:tcW w:w="1350" w:type="dxa"/>
          </w:tcPr>
          <w:p w14:paraId="4777921C"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0.19</w:t>
            </w:r>
          </w:p>
        </w:tc>
        <w:tc>
          <w:tcPr>
            <w:tcW w:w="1365" w:type="dxa"/>
          </w:tcPr>
          <w:p w14:paraId="512D0AEC"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0.08</w:t>
            </w:r>
          </w:p>
        </w:tc>
        <w:tc>
          <w:tcPr>
            <w:tcW w:w="1425" w:type="dxa"/>
          </w:tcPr>
          <w:p w14:paraId="4808D5E7"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-0.16</w:t>
            </w:r>
          </w:p>
        </w:tc>
        <w:tc>
          <w:tcPr>
            <w:tcW w:w="1422" w:type="dxa"/>
          </w:tcPr>
          <w:p w14:paraId="1602D46A" w14:textId="77777777" w:rsidR="005E4531" w:rsidRDefault="006B323D"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7E3E">
              <w:rPr>
                <w:rFonts w:ascii="Arial" w:hAnsi="Arial"/>
                <w:sz w:val="24"/>
              </w:rPr>
              <w:t>-0.1</w:t>
            </w:r>
          </w:p>
        </w:tc>
        <w:tc>
          <w:tcPr>
            <w:tcW w:w="1502" w:type="dxa"/>
          </w:tcPr>
          <w:p w14:paraId="059BA3A7" w14:textId="77777777" w:rsidR="005E4531" w:rsidRDefault="005E4531" w:rsidP="009C7E3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E2EDBA0" w14:textId="77777777" w:rsidR="005E4531" w:rsidRDefault="005E4531">
      <w:pPr>
        <w:spacing w:afterAutospacing="1" w:line="360" w:lineRule="auto"/>
        <w:jc w:val="both"/>
        <w:rPr>
          <w:rFonts w:ascii="Arial" w:hAnsi="Arial" w:cs="Arial"/>
          <w:sz w:val="28"/>
          <w:szCs w:val="28"/>
          <w:lang w:val="en-US"/>
        </w:rPr>
      </w:pPr>
    </w:p>
    <w:p w14:paraId="668CB381" w14:textId="77777777" w:rsidR="006A7A1C" w:rsidRDefault="006A7A1C">
      <w:pPr>
        <w:rPr>
          <w:rFonts w:ascii="Arial" w:hAnsi="Arial" w:cs="Arial"/>
          <w:sz w:val="28"/>
          <w:szCs w:val="28"/>
          <w:lang w:val="en-US"/>
        </w:rPr>
      </w:pPr>
      <w:r>
        <w:rPr>
          <w:rFonts w:ascii="Arial" w:hAnsi="Arial" w:cs="Arial"/>
          <w:sz w:val="28"/>
          <w:szCs w:val="28"/>
          <w:lang w:val="en-US"/>
        </w:rPr>
        <w:br w:type="page"/>
      </w:r>
    </w:p>
    <w:p w14:paraId="66AC87AD" w14:textId="79612E31" w:rsidR="005E4531" w:rsidRDefault="006B323D" w:rsidP="00320FDF">
      <w:pPr>
        <w:spacing w:after="100" w:afterAutospacing="1" w:line="360" w:lineRule="auto"/>
        <w:jc w:val="both"/>
        <w:rPr>
          <w:rFonts w:ascii="Arial" w:hAnsi="Arial" w:cs="Arial"/>
          <w:sz w:val="32"/>
          <w:szCs w:val="32"/>
          <w:lang w:val="en-US"/>
        </w:rPr>
      </w:pPr>
      <w:r>
        <w:rPr>
          <w:rFonts w:ascii="Arial" w:hAnsi="Arial" w:cs="Arial"/>
          <w:sz w:val="32"/>
          <w:szCs w:val="32"/>
          <w:lang w:val="en-US"/>
        </w:rPr>
        <w:lastRenderedPageBreak/>
        <w:t>References</w:t>
      </w:r>
    </w:p>
    <w:p w14:paraId="74742423" w14:textId="77777777" w:rsidR="004F6613" w:rsidRPr="004F6613" w:rsidRDefault="006B323D" w:rsidP="004F6613">
      <w:pPr>
        <w:pStyle w:val="Bibliography"/>
        <w:rPr>
          <w:rFonts w:ascii="Arial" w:hAnsi="Arial" w:cs="Arial"/>
        </w:rPr>
      </w:pPr>
      <w:r w:rsidRPr="00320FDF">
        <w:rPr>
          <w:rFonts w:ascii="Arial" w:hAnsi="Arial"/>
        </w:rPr>
        <w:fldChar w:fldCharType="begin"/>
      </w:r>
      <w:r w:rsidR="004F6613">
        <w:rPr>
          <w:rFonts w:ascii="Arial" w:hAnsi="Arial"/>
        </w:rPr>
        <w:instrText xml:space="preserve"> ADDIN ZOTERO_BIBL {"uncited":[],"omitted":[],"custom":[]} CSL_BIBLIOGRAPHY </w:instrText>
      </w:r>
      <w:r w:rsidRPr="00320FDF">
        <w:rPr>
          <w:rFonts w:ascii="Arial" w:hAnsi="Arial"/>
        </w:rPr>
        <w:fldChar w:fldCharType="separate"/>
      </w:r>
      <w:r w:rsidR="004F6613" w:rsidRPr="004F6613">
        <w:rPr>
          <w:rFonts w:ascii="Arial" w:hAnsi="Arial" w:cs="Arial"/>
        </w:rPr>
        <w:t>1.</w:t>
      </w:r>
      <w:r w:rsidR="004F6613" w:rsidRPr="004F6613">
        <w:rPr>
          <w:rFonts w:ascii="Arial" w:hAnsi="Arial" w:cs="Arial"/>
        </w:rPr>
        <w:tab/>
        <w:t xml:space="preserve">Lee, D. C., Yang, H. N., Park, S. H. &amp; Kim, W. J. Nafion/graphene oxide composite membranes for low humidifying polymer electrolyte membrane fuel cell. </w:t>
      </w:r>
      <w:r w:rsidR="004F6613" w:rsidRPr="004F6613">
        <w:rPr>
          <w:rFonts w:ascii="Arial" w:hAnsi="Arial" w:cs="Arial"/>
          <w:i/>
          <w:iCs/>
        </w:rPr>
        <w:t>Journal of Membrane Science</w:t>
      </w:r>
      <w:r w:rsidR="004F6613" w:rsidRPr="004F6613">
        <w:rPr>
          <w:rFonts w:ascii="Arial" w:hAnsi="Arial" w:cs="Arial"/>
        </w:rPr>
        <w:t xml:space="preserve"> </w:t>
      </w:r>
      <w:r w:rsidR="004F6613" w:rsidRPr="004F6613">
        <w:rPr>
          <w:rFonts w:ascii="Arial" w:hAnsi="Arial" w:cs="Arial"/>
          <w:b/>
          <w:bCs/>
        </w:rPr>
        <w:t>452</w:t>
      </w:r>
      <w:r w:rsidR="004F6613" w:rsidRPr="004F6613">
        <w:rPr>
          <w:rFonts w:ascii="Arial" w:hAnsi="Arial" w:cs="Arial"/>
        </w:rPr>
        <w:t>, 20–28 (2014).</w:t>
      </w:r>
    </w:p>
    <w:p w14:paraId="269B473B" w14:textId="77777777" w:rsidR="004F6613" w:rsidRPr="004F6613" w:rsidRDefault="004F6613" w:rsidP="004F6613">
      <w:pPr>
        <w:pStyle w:val="Bibliography"/>
        <w:rPr>
          <w:rFonts w:ascii="Arial" w:hAnsi="Arial" w:cs="Arial"/>
        </w:rPr>
      </w:pPr>
      <w:r w:rsidRPr="004F6613">
        <w:rPr>
          <w:rFonts w:ascii="Arial" w:hAnsi="Arial" w:cs="Arial"/>
        </w:rPr>
        <w:t>2.</w:t>
      </w:r>
      <w:r w:rsidRPr="004F6613">
        <w:rPr>
          <w:rFonts w:ascii="Arial" w:hAnsi="Arial" w:cs="Arial"/>
        </w:rPr>
        <w:tab/>
        <w:t xml:space="preserve">Zhang, J., Xia, Z. &amp; Dai, L. Carbon-based electrocatalysts for advanced energy conversion and storage. </w:t>
      </w:r>
      <w:r w:rsidRPr="004F6613">
        <w:rPr>
          <w:rFonts w:ascii="Arial" w:hAnsi="Arial" w:cs="Arial"/>
          <w:i/>
          <w:iCs/>
        </w:rPr>
        <w:t>Science Advances</w:t>
      </w:r>
      <w:r w:rsidRPr="004F6613">
        <w:rPr>
          <w:rFonts w:ascii="Arial" w:hAnsi="Arial" w:cs="Arial"/>
        </w:rPr>
        <w:t xml:space="preserve"> </w:t>
      </w:r>
      <w:r w:rsidRPr="004F6613">
        <w:rPr>
          <w:rFonts w:ascii="Arial" w:hAnsi="Arial" w:cs="Arial"/>
          <w:b/>
          <w:bCs/>
        </w:rPr>
        <w:t>1</w:t>
      </w:r>
      <w:r w:rsidRPr="004F6613">
        <w:rPr>
          <w:rFonts w:ascii="Arial" w:hAnsi="Arial" w:cs="Arial"/>
        </w:rPr>
        <w:t>, e1500564 (2015).</w:t>
      </w:r>
    </w:p>
    <w:p w14:paraId="2E08674B" w14:textId="77777777" w:rsidR="004F6613" w:rsidRPr="004F6613" w:rsidRDefault="004F6613" w:rsidP="004F6613">
      <w:pPr>
        <w:pStyle w:val="Bibliography"/>
        <w:rPr>
          <w:rFonts w:ascii="Arial" w:hAnsi="Arial" w:cs="Arial"/>
        </w:rPr>
      </w:pPr>
      <w:r w:rsidRPr="004F6613">
        <w:rPr>
          <w:rFonts w:ascii="Arial" w:hAnsi="Arial" w:cs="Arial"/>
        </w:rPr>
        <w:t>3.</w:t>
      </w:r>
      <w:r w:rsidRPr="004F6613">
        <w:rPr>
          <w:rFonts w:ascii="Arial" w:hAnsi="Arial" w:cs="Arial"/>
        </w:rPr>
        <w:tab/>
        <w:t xml:space="preserve">Duan, X. </w:t>
      </w:r>
      <w:r w:rsidRPr="004F6613">
        <w:rPr>
          <w:rFonts w:ascii="Arial" w:hAnsi="Arial" w:cs="Arial"/>
          <w:i/>
          <w:iCs/>
        </w:rPr>
        <w:t>et al.</w:t>
      </w:r>
      <w:r w:rsidRPr="004F6613">
        <w:rPr>
          <w:rFonts w:ascii="Arial" w:hAnsi="Arial" w:cs="Arial"/>
        </w:rPr>
        <w:t xml:space="preserve"> Metal-Free Carbon Materials for CO2 Electrochemical Reduction. </w:t>
      </w:r>
      <w:r w:rsidRPr="004F6613">
        <w:rPr>
          <w:rFonts w:ascii="Arial" w:hAnsi="Arial" w:cs="Arial"/>
          <w:i/>
          <w:iCs/>
        </w:rPr>
        <w:t>Advanced Materials</w:t>
      </w:r>
      <w:r w:rsidRPr="004F6613">
        <w:rPr>
          <w:rFonts w:ascii="Arial" w:hAnsi="Arial" w:cs="Arial"/>
        </w:rPr>
        <w:t xml:space="preserve"> </w:t>
      </w:r>
      <w:r w:rsidRPr="004F6613">
        <w:rPr>
          <w:rFonts w:ascii="Arial" w:hAnsi="Arial" w:cs="Arial"/>
          <w:b/>
          <w:bCs/>
        </w:rPr>
        <w:t>29</w:t>
      </w:r>
      <w:r w:rsidRPr="004F6613">
        <w:rPr>
          <w:rFonts w:ascii="Arial" w:hAnsi="Arial" w:cs="Arial"/>
        </w:rPr>
        <w:t>, 1701784 (2017).</w:t>
      </w:r>
    </w:p>
    <w:p w14:paraId="136F7F51" w14:textId="77777777" w:rsidR="004F6613" w:rsidRPr="004F6613" w:rsidRDefault="004F6613" w:rsidP="004F6613">
      <w:pPr>
        <w:pStyle w:val="Bibliography"/>
        <w:rPr>
          <w:rFonts w:ascii="Arial" w:hAnsi="Arial" w:cs="Arial"/>
        </w:rPr>
      </w:pPr>
      <w:r w:rsidRPr="004F6613">
        <w:rPr>
          <w:rFonts w:ascii="Arial" w:hAnsi="Arial" w:cs="Arial"/>
        </w:rPr>
        <w:t>4.</w:t>
      </w:r>
      <w:r w:rsidRPr="004F6613">
        <w:rPr>
          <w:rFonts w:ascii="Arial" w:hAnsi="Arial" w:cs="Arial"/>
        </w:rPr>
        <w:tab/>
        <w:t xml:space="preserve">Yang, F. </w:t>
      </w:r>
      <w:r w:rsidRPr="004F6613">
        <w:rPr>
          <w:rFonts w:ascii="Arial" w:hAnsi="Arial" w:cs="Arial"/>
          <w:i/>
          <w:iCs/>
        </w:rPr>
        <w:t>et al.</w:t>
      </w:r>
      <w:r w:rsidRPr="004F6613">
        <w:rPr>
          <w:rFonts w:ascii="Arial" w:hAnsi="Arial" w:cs="Arial"/>
        </w:rPr>
        <w:t xml:space="preserve"> Highly Efficient CO2 Electroreduction on ZnN4-based Single-Atom Catalyst. </w:t>
      </w:r>
      <w:r w:rsidRPr="004F6613">
        <w:rPr>
          <w:rFonts w:ascii="Arial" w:hAnsi="Arial" w:cs="Arial"/>
          <w:i/>
          <w:iCs/>
        </w:rPr>
        <w:t>Angewandte Chemie International Edition</w:t>
      </w:r>
      <w:r w:rsidRPr="004F6613">
        <w:rPr>
          <w:rFonts w:ascii="Arial" w:hAnsi="Arial" w:cs="Arial"/>
        </w:rPr>
        <w:t xml:space="preserve"> </w:t>
      </w:r>
      <w:r w:rsidRPr="004F6613">
        <w:rPr>
          <w:rFonts w:ascii="Arial" w:hAnsi="Arial" w:cs="Arial"/>
          <w:b/>
          <w:bCs/>
        </w:rPr>
        <w:t>57</w:t>
      </w:r>
      <w:r w:rsidRPr="004F6613">
        <w:rPr>
          <w:rFonts w:ascii="Arial" w:hAnsi="Arial" w:cs="Arial"/>
        </w:rPr>
        <w:t>, 12303–12307 (2018).</w:t>
      </w:r>
    </w:p>
    <w:p w14:paraId="3773FC73" w14:textId="77777777" w:rsidR="004F6613" w:rsidRPr="004F6613" w:rsidRDefault="004F6613" w:rsidP="004F6613">
      <w:pPr>
        <w:pStyle w:val="Bibliography"/>
        <w:rPr>
          <w:rFonts w:ascii="Arial" w:hAnsi="Arial" w:cs="Arial"/>
        </w:rPr>
      </w:pPr>
      <w:r w:rsidRPr="004F6613">
        <w:rPr>
          <w:rFonts w:ascii="Arial" w:hAnsi="Arial" w:cs="Arial"/>
        </w:rPr>
        <w:t>5.</w:t>
      </w:r>
      <w:r w:rsidRPr="004F6613">
        <w:rPr>
          <w:rFonts w:ascii="Arial" w:hAnsi="Arial" w:cs="Arial"/>
        </w:rPr>
        <w:tab/>
        <w:t xml:space="preserve">Fouda, A. N., Duraia, E. S. M. &amp; Almaqwashi, A. A. Facile and scalable green synthesis of N-doped graphene/CNTs nanocomposites via ball milling. </w:t>
      </w:r>
      <w:r w:rsidRPr="004F6613">
        <w:rPr>
          <w:rFonts w:ascii="Arial" w:hAnsi="Arial" w:cs="Arial"/>
          <w:i/>
          <w:iCs/>
        </w:rPr>
        <w:t>Ain Shams Engineering Journal</w:t>
      </w:r>
      <w:r w:rsidRPr="004F6613">
        <w:rPr>
          <w:rFonts w:ascii="Arial" w:hAnsi="Arial" w:cs="Arial"/>
        </w:rPr>
        <w:t xml:space="preserve"> </w:t>
      </w:r>
      <w:r w:rsidRPr="004F6613">
        <w:rPr>
          <w:rFonts w:ascii="Arial" w:hAnsi="Arial" w:cs="Arial"/>
          <w:b/>
          <w:bCs/>
        </w:rPr>
        <w:t>12</w:t>
      </w:r>
      <w:r w:rsidRPr="004F6613">
        <w:rPr>
          <w:rFonts w:ascii="Arial" w:hAnsi="Arial" w:cs="Arial"/>
        </w:rPr>
        <w:t>, 1017–1024 (2021).</w:t>
      </w:r>
    </w:p>
    <w:p w14:paraId="77A8A031" w14:textId="77777777" w:rsidR="004F6613" w:rsidRPr="004F6613" w:rsidRDefault="004F6613" w:rsidP="004F6613">
      <w:pPr>
        <w:pStyle w:val="Bibliography"/>
        <w:rPr>
          <w:rFonts w:ascii="Arial" w:hAnsi="Arial" w:cs="Arial"/>
        </w:rPr>
      </w:pPr>
      <w:r w:rsidRPr="004F6613">
        <w:rPr>
          <w:rFonts w:ascii="Arial" w:hAnsi="Arial" w:cs="Arial"/>
        </w:rPr>
        <w:t>6.</w:t>
      </w:r>
      <w:r w:rsidRPr="004F6613">
        <w:rPr>
          <w:rFonts w:ascii="Arial" w:hAnsi="Arial" w:cs="Arial"/>
        </w:rPr>
        <w:tab/>
        <w:t xml:space="preserve">Jeon, I.-Y. </w:t>
      </w:r>
      <w:r w:rsidRPr="004F6613">
        <w:rPr>
          <w:rFonts w:ascii="Arial" w:hAnsi="Arial" w:cs="Arial"/>
          <w:i/>
          <w:iCs/>
        </w:rPr>
        <w:t>et al.</w:t>
      </w:r>
      <w:r w:rsidRPr="004F6613">
        <w:rPr>
          <w:rFonts w:ascii="Arial" w:hAnsi="Arial" w:cs="Arial"/>
        </w:rPr>
        <w:t xml:space="preserve"> Direct nitrogen fixation at the edges of graphene nanoplatelets as efficient electrocatalysts for energy conversion. </w:t>
      </w:r>
      <w:r w:rsidRPr="004F6613">
        <w:rPr>
          <w:rFonts w:ascii="Arial" w:hAnsi="Arial" w:cs="Arial"/>
          <w:i/>
          <w:iCs/>
        </w:rPr>
        <w:t>Sci Rep</w:t>
      </w:r>
      <w:r w:rsidRPr="004F6613">
        <w:rPr>
          <w:rFonts w:ascii="Arial" w:hAnsi="Arial" w:cs="Arial"/>
        </w:rPr>
        <w:t xml:space="preserve"> </w:t>
      </w:r>
      <w:r w:rsidRPr="004F6613">
        <w:rPr>
          <w:rFonts w:ascii="Arial" w:hAnsi="Arial" w:cs="Arial"/>
          <w:b/>
          <w:bCs/>
        </w:rPr>
        <w:t>3</w:t>
      </w:r>
      <w:r w:rsidRPr="004F6613">
        <w:rPr>
          <w:rFonts w:ascii="Arial" w:hAnsi="Arial" w:cs="Arial"/>
        </w:rPr>
        <w:t>, 2260 (2013).</w:t>
      </w:r>
    </w:p>
    <w:p w14:paraId="1B165E88" w14:textId="77777777" w:rsidR="004F6613" w:rsidRPr="004F6613" w:rsidRDefault="004F6613" w:rsidP="004F6613">
      <w:pPr>
        <w:pStyle w:val="Bibliography"/>
        <w:rPr>
          <w:rFonts w:ascii="Arial" w:hAnsi="Arial" w:cs="Arial"/>
        </w:rPr>
      </w:pPr>
      <w:r w:rsidRPr="004F6613">
        <w:rPr>
          <w:rFonts w:ascii="Arial" w:hAnsi="Arial" w:cs="Arial"/>
        </w:rPr>
        <w:t>7.</w:t>
      </w:r>
      <w:r w:rsidRPr="004F6613">
        <w:rPr>
          <w:rFonts w:ascii="Arial" w:hAnsi="Arial" w:cs="Arial"/>
        </w:rPr>
        <w:tab/>
        <w:t xml:space="preserve">Schwyn, S., Garwin, E. &amp; Schmidt-Ott, A. Aerosol generation by spark discharge. </w:t>
      </w:r>
      <w:r w:rsidRPr="004F6613">
        <w:rPr>
          <w:rFonts w:ascii="Arial" w:hAnsi="Arial" w:cs="Arial"/>
          <w:i/>
          <w:iCs/>
        </w:rPr>
        <w:t>Journal of Aerosol Science</w:t>
      </w:r>
      <w:r w:rsidRPr="004F6613">
        <w:rPr>
          <w:rFonts w:ascii="Arial" w:hAnsi="Arial" w:cs="Arial"/>
        </w:rPr>
        <w:t xml:space="preserve"> </w:t>
      </w:r>
      <w:r w:rsidRPr="004F6613">
        <w:rPr>
          <w:rFonts w:ascii="Arial" w:hAnsi="Arial" w:cs="Arial"/>
          <w:b/>
          <w:bCs/>
        </w:rPr>
        <w:t>19</w:t>
      </w:r>
      <w:r w:rsidRPr="004F6613">
        <w:rPr>
          <w:rFonts w:ascii="Arial" w:hAnsi="Arial" w:cs="Arial"/>
        </w:rPr>
        <w:t>, 639–642 (1988).</w:t>
      </w:r>
    </w:p>
    <w:p w14:paraId="44353C15" w14:textId="77777777" w:rsidR="004F6613" w:rsidRPr="004F6613" w:rsidRDefault="004F6613" w:rsidP="004F6613">
      <w:pPr>
        <w:pStyle w:val="Bibliography"/>
        <w:rPr>
          <w:rFonts w:ascii="Arial" w:hAnsi="Arial" w:cs="Arial"/>
        </w:rPr>
      </w:pPr>
      <w:r w:rsidRPr="004F6613">
        <w:rPr>
          <w:rFonts w:ascii="Arial" w:hAnsi="Arial" w:cs="Arial"/>
        </w:rPr>
        <w:t>8.</w:t>
      </w:r>
      <w:r w:rsidRPr="004F6613">
        <w:rPr>
          <w:rFonts w:ascii="Arial" w:hAnsi="Arial" w:cs="Arial"/>
        </w:rPr>
        <w:tab/>
        <w:t xml:space="preserve">Peineke, C., Attoui, M. B. &amp; Schmidt-Ott, A. Using a glowing wire generator for production of charged, uniformly sized nanoparticles at high concentrations. </w:t>
      </w:r>
      <w:r w:rsidRPr="004F6613">
        <w:rPr>
          <w:rFonts w:ascii="Arial" w:hAnsi="Arial" w:cs="Arial"/>
          <w:i/>
          <w:iCs/>
        </w:rPr>
        <w:t>Journal of Aerosol Science</w:t>
      </w:r>
      <w:r w:rsidRPr="004F6613">
        <w:rPr>
          <w:rFonts w:ascii="Arial" w:hAnsi="Arial" w:cs="Arial"/>
        </w:rPr>
        <w:t xml:space="preserve"> </w:t>
      </w:r>
      <w:r w:rsidRPr="004F6613">
        <w:rPr>
          <w:rFonts w:ascii="Arial" w:hAnsi="Arial" w:cs="Arial"/>
          <w:b/>
          <w:bCs/>
        </w:rPr>
        <w:t>37</w:t>
      </w:r>
      <w:r w:rsidRPr="004F6613">
        <w:rPr>
          <w:rFonts w:ascii="Arial" w:hAnsi="Arial" w:cs="Arial"/>
        </w:rPr>
        <w:t>, 1651–1661 (2006).</w:t>
      </w:r>
    </w:p>
    <w:p w14:paraId="494EBFB4" w14:textId="77777777" w:rsidR="004F6613" w:rsidRPr="004F6613" w:rsidRDefault="004F6613" w:rsidP="004F6613">
      <w:pPr>
        <w:pStyle w:val="Bibliography"/>
        <w:rPr>
          <w:rFonts w:ascii="Arial" w:hAnsi="Arial" w:cs="Arial"/>
        </w:rPr>
      </w:pPr>
      <w:r w:rsidRPr="004F6613">
        <w:rPr>
          <w:rFonts w:ascii="Arial" w:hAnsi="Arial" w:cs="Arial"/>
        </w:rPr>
        <w:t>9.</w:t>
      </w:r>
      <w:r w:rsidRPr="004F6613">
        <w:rPr>
          <w:rFonts w:ascii="Arial" w:hAnsi="Arial" w:cs="Arial"/>
        </w:rPr>
        <w:tab/>
        <w:t xml:space="preserve">Feng, J., Ramlawi, N., Biskos, G. &amp; Schmidt-Ott, A. Internally mixed nanoparticles from oscillatory spark ablation between electrodes of different materials. </w:t>
      </w:r>
      <w:r w:rsidRPr="004F6613">
        <w:rPr>
          <w:rFonts w:ascii="Arial" w:hAnsi="Arial" w:cs="Arial"/>
          <w:i/>
          <w:iCs/>
        </w:rPr>
        <w:t>Aerosol Science and Technology</w:t>
      </w:r>
      <w:r w:rsidRPr="004F6613">
        <w:rPr>
          <w:rFonts w:ascii="Arial" w:hAnsi="Arial" w:cs="Arial"/>
        </w:rPr>
        <w:t xml:space="preserve"> </w:t>
      </w:r>
      <w:r w:rsidRPr="004F6613">
        <w:rPr>
          <w:rFonts w:ascii="Arial" w:hAnsi="Arial" w:cs="Arial"/>
          <w:b/>
          <w:bCs/>
        </w:rPr>
        <w:t>52</w:t>
      </w:r>
      <w:r w:rsidRPr="004F6613">
        <w:rPr>
          <w:rFonts w:ascii="Arial" w:hAnsi="Arial" w:cs="Arial"/>
        </w:rPr>
        <w:t>, 505–514 (2018).</w:t>
      </w:r>
    </w:p>
    <w:p w14:paraId="6D1D4091" w14:textId="77777777" w:rsidR="004F6613" w:rsidRPr="004F6613" w:rsidRDefault="004F6613" w:rsidP="004F6613">
      <w:pPr>
        <w:pStyle w:val="Bibliography"/>
        <w:rPr>
          <w:rFonts w:ascii="Arial" w:hAnsi="Arial" w:cs="Arial"/>
        </w:rPr>
      </w:pPr>
      <w:r w:rsidRPr="004F6613">
        <w:rPr>
          <w:rFonts w:ascii="Arial" w:hAnsi="Arial" w:cs="Arial"/>
        </w:rPr>
        <w:t>10.</w:t>
      </w:r>
      <w:r w:rsidRPr="004F6613">
        <w:rPr>
          <w:rFonts w:ascii="Arial" w:hAnsi="Arial" w:cs="Arial"/>
        </w:rPr>
        <w:tab/>
        <w:t xml:space="preserve">Feng, J. </w:t>
      </w:r>
      <w:r w:rsidRPr="004F6613">
        <w:rPr>
          <w:rFonts w:ascii="Arial" w:hAnsi="Arial" w:cs="Arial"/>
          <w:i/>
          <w:iCs/>
        </w:rPr>
        <w:t>et al.</w:t>
      </w:r>
      <w:r w:rsidRPr="004F6613">
        <w:rPr>
          <w:rFonts w:ascii="Arial" w:hAnsi="Arial" w:cs="Arial"/>
        </w:rPr>
        <w:t xml:space="preserve"> Unconventional Alloys Confined in Nanoparticles: Building Blocks for New Matter. </w:t>
      </w:r>
      <w:r w:rsidRPr="004F6613">
        <w:rPr>
          <w:rFonts w:ascii="Arial" w:hAnsi="Arial" w:cs="Arial"/>
          <w:i/>
          <w:iCs/>
        </w:rPr>
        <w:t>Matter</w:t>
      </w:r>
      <w:r w:rsidRPr="004F6613">
        <w:rPr>
          <w:rFonts w:ascii="Arial" w:hAnsi="Arial" w:cs="Arial"/>
        </w:rPr>
        <w:t xml:space="preserve"> </w:t>
      </w:r>
      <w:r w:rsidRPr="004F6613">
        <w:rPr>
          <w:rFonts w:ascii="Arial" w:hAnsi="Arial" w:cs="Arial"/>
          <w:b/>
          <w:bCs/>
        </w:rPr>
        <w:t>3</w:t>
      </w:r>
      <w:r w:rsidRPr="004F6613">
        <w:rPr>
          <w:rFonts w:ascii="Arial" w:hAnsi="Arial" w:cs="Arial"/>
        </w:rPr>
        <w:t>, 1646–1663 (2020).</w:t>
      </w:r>
    </w:p>
    <w:p w14:paraId="1642F543" w14:textId="77777777" w:rsidR="004F6613" w:rsidRPr="004F6613" w:rsidRDefault="004F6613" w:rsidP="004F6613">
      <w:pPr>
        <w:pStyle w:val="Bibliography"/>
        <w:rPr>
          <w:rFonts w:ascii="Arial" w:hAnsi="Arial" w:cs="Arial"/>
        </w:rPr>
      </w:pPr>
      <w:r w:rsidRPr="004F6613">
        <w:rPr>
          <w:rFonts w:ascii="Arial" w:hAnsi="Arial" w:cs="Arial"/>
        </w:rPr>
        <w:t>11.</w:t>
      </w:r>
      <w:r w:rsidRPr="004F6613">
        <w:rPr>
          <w:rFonts w:ascii="Arial" w:hAnsi="Arial" w:cs="Arial"/>
        </w:rPr>
        <w:tab/>
        <w:t xml:space="preserve">Maisser, A. </w:t>
      </w:r>
      <w:r w:rsidRPr="004F6613">
        <w:rPr>
          <w:rFonts w:ascii="Arial" w:hAnsi="Arial" w:cs="Arial"/>
          <w:i/>
          <w:iCs/>
        </w:rPr>
        <w:t>et al.</w:t>
      </w:r>
      <w:r w:rsidRPr="004F6613">
        <w:rPr>
          <w:rFonts w:ascii="Arial" w:hAnsi="Arial" w:cs="Arial"/>
        </w:rPr>
        <w:t xml:space="preserve"> Characterization of atmospheric-pressure spark generated atomic silver and gold clusters by time-of-flight mass spectrometry. </w:t>
      </w:r>
      <w:r w:rsidRPr="004F6613">
        <w:rPr>
          <w:rFonts w:ascii="Arial" w:hAnsi="Arial" w:cs="Arial"/>
          <w:i/>
          <w:iCs/>
        </w:rPr>
        <w:t>Journal of Aerosol Science</w:t>
      </w:r>
      <w:r w:rsidRPr="004F6613">
        <w:rPr>
          <w:rFonts w:ascii="Arial" w:hAnsi="Arial" w:cs="Arial"/>
        </w:rPr>
        <w:t xml:space="preserve"> </w:t>
      </w:r>
      <w:r w:rsidRPr="004F6613">
        <w:rPr>
          <w:rFonts w:ascii="Arial" w:hAnsi="Arial" w:cs="Arial"/>
          <w:b/>
          <w:bCs/>
        </w:rPr>
        <w:t>156</w:t>
      </w:r>
      <w:r w:rsidRPr="004F6613">
        <w:rPr>
          <w:rFonts w:ascii="Arial" w:hAnsi="Arial" w:cs="Arial"/>
        </w:rPr>
        <w:t>, 105780 (2021).</w:t>
      </w:r>
    </w:p>
    <w:p w14:paraId="21C7C51D" w14:textId="77777777" w:rsidR="004F6613" w:rsidRPr="004F6613" w:rsidRDefault="004F6613" w:rsidP="004F6613">
      <w:pPr>
        <w:pStyle w:val="Bibliography"/>
        <w:rPr>
          <w:rFonts w:ascii="Arial" w:hAnsi="Arial" w:cs="Arial"/>
        </w:rPr>
      </w:pPr>
      <w:r w:rsidRPr="004F6613">
        <w:rPr>
          <w:rFonts w:ascii="Arial" w:hAnsi="Arial" w:cs="Arial"/>
        </w:rPr>
        <w:t>12.</w:t>
      </w:r>
      <w:r w:rsidRPr="004F6613">
        <w:rPr>
          <w:rFonts w:ascii="Arial" w:hAnsi="Arial" w:cs="Arial"/>
        </w:rPr>
        <w:tab/>
        <w:t xml:space="preserve">Tabrizi, N. S., Xu, Q., van der Pers, N. M. &amp; Schmidt-Ott, A. Generation of mixed metallic nanoparticles from immiscible metals by spark discharge. </w:t>
      </w:r>
      <w:r w:rsidRPr="004F6613">
        <w:rPr>
          <w:rFonts w:ascii="Arial" w:hAnsi="Arial" w:cs="Arial"/>
          <w:i/>
          <w:iCs/>
        </w:rPr>
        <w:t>J Nanopart Res</w:t>
      </w:r>
      <w:r w:rsidRPr="004F6613">
        <w:rPr>
          <w:rFonts w:ascii="Arial" w:hAnsi="Arial" w:cs="Arial"/>
        </w:rPr>
        <w:t xml:space="preserve"> </w:t>
      </w:r>
      <w:r w:rsidRPr="004F6613">
        <w:rPr>
          <w:rFonts w:ascii="Arial" w:hAnsi="Arial" w:cs="Arial"/>
          <w:b/>
          <w:bCs/>
        </w:rPr>
        <w:t>12</w:t>
      </w:r>
      <w:r w:rsidRPr="004F6613">
        <w:rPr>
          <w:rFonts w:ascii="Arial" w:hAnsi="Arial" w:cs="Arial"/>
        </w:rPr>
        <w:t>, 247–259 (2010).</w:t>
      </w:r>
    </w:p>
    <w:p w14:paraId="07E19EBD" w14:textId="77777777" w:rsidR="004F6613" w:rsidRPr="004F6613" w:rsidRDefault="004F6613" w:rsidP="004F6613">
      <w:pPr>
        <w:pStyle w:val="Bibliography"/>
        <w:rPr>
          <w:rFonts w:ascii="Arial" w:hAnsi="Arial" w:cs="Arial"/>
        </w:rPr>
      </w:pPr>
      <w:r w:rsidRPr="004F6613">
        <w:rPr>
          <w:rFonts w:ascii="Arial" w:hAnsi="Arial" w:cs="Arial"/>
        </w:rPr>
        <w:t>13.</w:t>
      </w:r>
      <w:r w:rsidRPr="004F6613">
        <w:rPr>
          <w:rFonts w:ascii="Arial" w:hAnsi="Arial" w:cs="Arial"/>
        </w:rPr>
        <w:tab/>
        <w:t xml:space="preserve">Maisser, A., Barmpounis, K., Attoui, M. B., Biskos, G. &amp; Schmidt-Ott, A. Atomic Cluster Generation with an Atmospheric Pressure Spark Discharge Generator. </w:t>
      </w:r>
      <w:r w:rsidRPr="004F6613">
        <w:rPr>
          <w:rFonts w:ascii="Arial" w:hAnsi="Arial" w:cs="Arial"/>
          <w:i/>
          <w:iCs/>
        </w:rPr>
        <w:t>Aerosol Science and Technology</w:t>
      </w:r>
      <w:r w:rsidRPr="004F6613">
        <w:rPr>
          <w:rFonts w:ascii="Arial" w:hAnsi="Arial" w:cs="Arial"/>
        </w:rPr>
        <w:t xml:space="preserve"> </w:t>
      </w:r>
      <w:r w:rsidRPr="004F6613">
        <w:rPr>
          <w:rFonts w:ascii="Arial" w:hAnsi="Arial" w:cs="Arial"/>
          <w:b/>
          <w:bCs/>
        </w:rPr>
        <w:t>49</w:t>
      </w:r>
      <w:r w:rsidRPr="004F6613">
        <w:rPr>
          <w:rFonts w:ascii="Arial" w:hAnsi="Arial" w:cs="Arial"/>
        </w:rPr>
        <w:t>, 886–894 (2015).</w:t>
      </w:r>
    </w:p>
    <w:p w14:paraId="75936AC9" w14:textId="77777777" w:rsidR="004F6613" w:rsidRPr="004F6613" w:rsidRDefault="004F6613" w:rsidP="004F6613">
      <w:pPr>
        <w:pStyle w:val="Bibliography"/>
        <w:rPr>
          <w:rFonts w:ascii="Arial" w:hAnsi="Arial" w:cs="Arial"/>
        </w:rPr>
      </w:pPr>
      <w:r w:rsidRPr="004F6613">
        <w:rPr>
          <w:rFonts w:ascii="Arial" w:hAnsi="Arial" w:cs="Arial"/>
        </w:rPr>
        <w:t>14.</w:t>
      </w:r>
      <w:r w:rsidRPr="004F6613">
        <w:rPr>
          <w:rFonts w:ascii="Arial" w:hAnsi="Arial" w:cs="Arial"/>
        </w:rPr>
        <w:tab/>
        <w:t xml:space="preserve">Preger, C., Overgaard, N. C., Messing, M. E. &amp; Magnusson, M. H. Predicting the deposition spot radius and the nanoparticle concentration distribution in an electrostatic precipitator. </w:t>
      </w:r>
      <w:r w:rsidRPr="004F6613">
        <w:rPr>
          <w:rFonts w:ascii="Arial" w:hAnsi="Arial" w:cs="Arial"/>
          <w:i/>
          <w:iCs/>
        </w:rPr>
        <w:t>Aerosol Science and Technology</w:t>
      </w:r>
      <w:r w:rsidRPr="004F6613">
        <w:rPr>
          <w:rFonts w:ascii="Arial" w:hAnsi="Arial" w:cs="Arial"/>
        </w:rPr>
        <w:t xml:space="preserve"> </w:t>
      </w:r>
      <w:r w:rsidRPr="004F6613">
        <w:rPr>
          <w:rFonts w:ascii="Arial" w:hAnsi="Arial" w:cs="Arial"/>
          <w:b/>
          <w:bCs/>
        </w:rPr>
        <w:t>54</w:t>
      </w:r>
      <w:r w:rsidRPr="004F6613">
        <w:rPr>
          <w:rFonts w:ascii="Arial" w:hAnsi="Arial" w:cs="Arial"/>
        </w:rPr>
        <w:t>, 718–728 (2020).</w:t>
      </w:r>
    </w:p>
    <w:p w14:paraId="33748EB7" w14:textId="77777777" w:rsidR="004F6613" w:rsidRPr="004F6613" w:rsidRDefault="004F6613" w:rsidP="004F6613">
      <w:pPr>
        <w:pStyle w:val="Bibliography"/>
        <w:rPr>
          <w:rFonts w:ascii="Arial" w:hAnsi="Arial" w:cs="Arial"/>
        </w:rPr>
      </w:pPr>
      <w:r w:rsidRPr="004F6613">
        <w:rPr>
          <w:rFonts w:ascii="Arial" w:hAnsi="Arial" w:cs="Arial"/>
        </w:rPr>
        <w:t>15.</w:t>
      </w:r>
      <w:r w:rsidRPr="004F6613">
        <w:rPr>
          <w:rFonts w:ascii="Arial" w:hAnsi="Arial" w:cs="Arial"/>
        </w:rPr>
        <w:tab/>
        <w:t xml:space="preserve">Feng, J., Biskos, G. &amp; Schmidt-Ott, A. Toward industrial scale synthesis of ultrapure singlet nanoparticles with controllable sizes in a continuous gas-phase process. </w:t>
      </w:r>
      <w:r w:rsidRPr="004F6613">
        <w:rPr>
          <w:rFonts w:ascii="Arial" w:hAnsi="Arial" w:cs="Arial"/>
          <w:i/>
          <w:iCs/>
        </w:rPr>
        <w:t>Sci Rep</w:t>
      </w:r>
      <w:r w:rsidRPr="004F6613">
        <w:rPr>
          <w:rFonts w:ascii="Arial" w:hAnsi="Arial" w:cs="Arial"/>
        </w:rPr>
        <w:t xml:space="preserve"> </w:t>
      </w:r>
      <w:r w:rsidRPr="004F6613">
        <w:rPr>
          <w:rFonts w:ascii="Arial" w:hAnsi="Arial" w:cs="Arial"/>
          <w:b/>
          <w:bCs/>
        </w:rPr>
        <w:t>5</w:t>
      </w:r>
      <w:r w:rsidRPr="004F6613">
        <w:rPr>
          <w:rFonts w:ascii="Arial" w:hAnsi="Arial" w:cs="Arial"/>
        </w:rPr>
        <w:t>, 15788 (2015).</w:t>
      </w:r>
    </w:p>
    <w:p w14:paraId="1993D953" w14:textId="77777777" w:rsidR="004F6613" w:rsidRPr="004F6613" w:rsidRDefault="004F6613" w:rsidP="004F6613">
      <w:pPr>
        <w:pStyle w:val="Bibliography"/>
        <w:rPr>
          <w:rFonts w:ascii="Arial" w:hAnsi="Arial" w:cs="Arial"/>
        </w:rPr>
      </w:pPr>
      <w:r w:rsidRPr="004F6613">
        <w:rPr>
          <w:rFonts w:ascii="Arial" w:hAnsi="Arial" w:cs="Arial"/>
        </w:rPr>
        <w:t>16.</w:t>
      </w:r>
      <w:r w:rsidRPr="004F6613">
        <w:rPr>
          <w:rFonts w:ascii="Arial" w:hAnsi="Arial" w:cs="Arial"/>
        </w:rPr>
        <w:tab/>
        <w:t xml:space="preserve">Feng, J. </w:t>
      </w:r>
      <w:r w:rsidRPr="004F6613">
        <w:rPr>
          <w:rFonts w:ascii="Arial" w:hAnsi="Arial" w:cs="Arial"/>
          <w:i/>
          <w:iCs/>
        </w:rPr>
        <w:t>et al.</w:t>
      </w:r>
      <w:r w:rsidRPr="004F6613">
        <w:rPr>
          <w:rFonts w:ascii="Arial" w:hAnsi="Arial" w:cs="Arial"/>
        </w:rPr>
        <w:t xml:space="preserve"> General Approach to the Evolution of Singlet Nanoparticles from a Rapidly Quenched Point Source. </w:t>
      </w:r>
      <w:r w:rsidRPr="004F6613">
        <w:rPr>
          <w:rFonts w:ascii="Arial" w:hAnsi="Arial" w:cs="Arial"/>
          <w:i/>
          <w:iCs/>
        </w:rPr>
        <w:t>J. Phys. Chem. C</w:t>
      </w:r>
      <w:r w:rsidRPr="004F6613">
        <w:rPr>
          <w:rFonts w:ascii="Arial" w:hAnsi="Arial" w:cs="Arial"/>
        </w:rPr>
        <w:t xml:space="preserve"> </w:t>
      </w:r>
      <w:r w:rsidRPr="004F6613">
        <w:rPr>
          <w:rFonts w:ascii="Arial" w:hAnsi="Arial" w:cs="Arial"/>
          <w:b/>
          <w:bCs/>
        </w:rPr>
        <w:t>120</w:t>
      </w:r>
      <w:r w:rsidRPr="004F6613">
        <w:rPr>
          <w:rFonts w:ascii="Arial" w:hAnsi="Arial" w:cs="Arial"/>
        </w:rPr>
        <w:t>, 621–630 (2016).</w:t>
      </w:r>
    </w:p>
    <w:p w14:paraId="58050CA2" w14:textId="77777777" w:rsidR="004F6613" w:rsidRPr="004F6613" w:rsidRDefault="004F6613" w:rsidP="004F6613">
      <w:pPr>
        <w:pStyle w:val="Bibliography"/>
        <w:rPr>
          <w:rFonts w:ascii="Arial" w:hAnsi="Arial" w:cs="Arial"/>
        </w:rPr>
      </w:pPr>
      <w:r w:rsidRPr="004F6613">
        <w:rPr>
          <w:rFonts w:ascii="Arial" w:hAnsi="Arial" w:cs="Arial"/>
        </w:rPr>
        <w:t>17.</w:t>
      </w:r>
      <w:r w:rsidRPr="004F6613">
        <w:rPr>
          <w:rFonts w:ascii="Arial" w:hAnsi="Arial" w:cs="Arial"/>
        </w:rPr>
        <w:tab/>
        <w:t xml:space="preserve">Megyeri, D., Kohut, A. &amp; Geretovszky, Z. Effect of flow geometry on the nanoparticle output of a spark discharge generator. </w:t>
      </w:r>
      <w:r w:rsidRPr="004F6613">
        <w:rPr>
          <w:rFonts w:ascii="Arial" w:hAnsi="Arial" w:cs="Arial"/>
          <w:i/>
          <w:iCs/>
        </w:rPr>
        <w:t>Journal of Aerosol Science</w:t>
      </w:r>
      <w:r w:rsidRPr="004F6613">
        <w:rPr>
          <w:rFonts w:ascii="Arial" w:hAnsi="Arial" w:cs="Arial"/>
        </w:rPr>
        <w:t xml:space="preserve"> </w:t>
      </w:r>
      <w:r w:rsidRPr="004F6613">
        <w:rPr>
          <w:rFonts w:ascii="Arial" w:hAnsi="Arial" w:cs="Arial"/>
          <w:b/>
          <w:bCs/>
        </w:rPr>
        <w:t>154</w:t>
      </w:r>
      <w:r w:rsidRPr="004F6613">
        <w:rPr>
          <w:rFonts w:ascii="Arial" w:hAnsi="Arial" w:cs="Arial"/>
        </w:rPr>
        <w:t>, 105758 (2021).</w:t>
      </w:r>
    </w:p>
    <w:p w14:paraId="54C287A1" w14:textId="77777777" w:rsidR="004F6613" w:rsidRPr="004F6613" w:rsidRDefault="004F6613" w:rsidP="004F6613">
      <w:pPr>
        <w:pStyle w:val="Bibliography"/>
        <w:rPr>
          <w:rFonts w:ascii="Arial" w:hAnsi="Arial" w:cs="Arial"/>
        </w:rPr>
      </w:pPr>
      <w:r w:rsidRPr="004F6613">
        <w:rPr>
          <w:rFonts w:ascii="Arial" w:hAnsi="Arial" w:cs="Arial"/>
        </w:rPr>
        <w:t>18.</w:t>
      </w:r>
      <w:r w:rsidRPr="004F6613">
        <w:rPr>
          <w:rFonts w:ascii="Arial" w:hAnsi="Arial" w:cs="Arial"/>
        </w:rPr>
        <w:tab/>
        <w:t>Feng, J. Scalable Spark Ablation Synthesis of Nanoparticles: Fundamental Considerations and Application in Textile Nanofinishing. (Delft University of Technology, 2016). doi:10.4233/UUID:FB6C0122-587B-471D-8009-B52EF9B69B07.</w:t>
      </w:r>
    </w:p>
    <w:p w14:paraId="45DA1117" w14:textId="77777777" w:rsidR="004F6613" w:rsidRPr="004F6613" w:rsidRDefault="004F6613" w:rsidP="004F6613">
      <w:pPr>
        <w:pStyle w:val="Bibliography"/>
        <w:rPr>
          <w:rFonts w:ascii="Arial" w:hAnsi="Arial" w:cs="Arial"/>
        </w:rPr>
      </w:pPr>
      <w:r w:rsidRPr="004F6613">
        <w:rPr>
          <w:rFonts w:ascii="Arial" w:hAnsi="Arial" w:cs="Arial"/>
        </w:rPr>
        <w:t>19.</w:t>
      </w:r>
      <w:r w:rsidRPr="004F6613">
        <w:rPr>
          <w:rFonts w:ascii="Arial" w:hAnsi="Arial" w:cs="Arial"/>
        </w:rPr>
        <w:tab/>
        <w:t xml:space="preserve">Voloshko, A., Itina, T. E., Voloshko, A. &amp; Itina, T. E. </w:t>
      </w:r>
      <w:r w:rsidRPr="004F6613">
        <w:rPr>
          <w:rFonts w:ascii="Arial" w:hAnsi="Arial" w:cs="Arial"/>
          <w:i/>
          <w:iCs/>
        </w:rPr>
        <w:t>Nanoparticle Formation by Laser Ablation and by Spark Discharges — Properties, Mechanisms, and Control Possibilities</w:t>
      </w:r>
      <w:r w:rsidRPr="004F6613">
        <w:rPr>
          <w:rFonts w:ascii="Arial" w:hAnsi="Arial" w:cs="Arial"/>
        </w:rPr>
        <w:t xml:space="preserve">. </w:t>
      </w:r>
      <w:r w:rsidRPr="004F6613">
        <w:rPr>
          <w:rFonts w:ascii="Arial" w:hAnsi="Arial" w:cs="Arial"/>
          <w:i/>
          <w:iCs/>
        </w:rPr>
        <w:t>Nanoparticles Technology</w:t>
      </w:r>
      <w:r w:rsidRPr="004F6613">
        <w:rPr>
          <w:rFonts w:ascii="Arial" w:hAnsi="Arial" w:cs="Arial"/>
        </w:rPr>
        <w:t xml:space="preserve"> (IntechOpen, 2015). doi:10.5772/61303.</w:t>
      </w:r>
    </w:p>
    <w:p w14:paraId="59CE84E2" w14:textId="77777777" w:rsidR="004F6613" w:rsidRPr="004F6613" w:rsidRDefault="004F6613" w:rsidP="004F6613">
      <w:pPr>
        <w:pStyle w:val="Bibliography"/>
        <w:rPr>
          <w:rFonts w:ascii="Arial" w:hAnsi="Arial" w:cs="Arial"/>
        </w:rPr>
      </w:pPr>
      <w:r w:rsidRPr="004F6613">
        <w:rPr>
          <w:rFonts w:ascii="Arial" w:hAnsi="Arial" w:cs="Arial"/>
        </w:rPr>
        <w:lastRenderedPageBreak/>
        <w:t>20.</w:t>
      </w:r>
      <w:r w:rsidRPr="004F6613">
        <w:rPr>
          <w:rFonts w:ascii="Arial" w:hAnsi="Arial" w:cs="Arial"/>
        </w:rPr>
        <w:tab/>
        <w:t xml:space="preserve">Dietsche, R. </w:t>
      </w:r>
      <w:r w:rsidRPr="004F6613">
        <w:rPr>
          <w:rFonts w:ascii="Arial" w:hAnsi="Arial" w:cs="Arial"/>
          <w:i/>
          <w:iCs/>
        </w:rPr>
        <w:t>et al.</w:t>
      </w:r>
      <w:r w:rsidRPr="004F6613">
        <w:rPr>
          <w:rFonts w:ascii="Arial" w:hAnsi="Arial" w:cs="Arial"/>
        </w:rPr>
        <w:t xml:space="preserve"> Comparison of electronic structures of mass-selected Ag clusters and thermally grown Ag islands on sputter-damaged graphite surfaces. </w:t>
      </w:r>
      <w:r w:rsidRPr="004F6613">
        <w:rPr>
          <w:rFonts w:ascii="Arial" w:hAnsi="Arial" w:cs="Arial"/>
          <w:i/>
          <w:iCs/>
        </w:rPr>
        <w:t>Appl. Phys. A</w:t>
      </w:r>
      <w:r w:rsidRPr="004F6613">
        <w:rPr>
          <w:rFonts w:ascii="Arial" w:hAnsi="Arial" w:cs="Arial"/>
        </w:rPr>
        <w:t xml:space="preserve"> </w:t>
      </w:r>
      <w:r w:rsidRPr="004F6613">
        <w:rPr>
          <w:rFonts w:ascii="Arial" w:hAnsi="Arial" w:cs="Arial"/>
          <w:b/>
          <w:bCs/>
        </w:rPr>
        <w:t>90</w:t>
      </w:r>
      <w:r w:rsidRPr="004F6613">
        <w:rPr>
          <w:rFonts w:ascii="Arial" w:hAnsi="Arial" w:cs="Arial"/>
        </w:rPr>
        <w:t>, 395–398 (2008).</w:t>
      </w:r>
    </w:p>
    <w:p w14:paraId="62CCB0A9" w14:textId="77777777" w:rsidR="004F6613" w:rsidRPr="004F6613" w:rsidRDefault="004F6613" w:rsidP="004F6613">
      <w:pPr>
        <w:pStyle w:val="Bibliography"/>
        <w:rPr>
          <w:rFonts w:ascii="Arial" w:hAnsi="Arial" w:cs="Arial"/>
        </w:rPr>
      </w:pPr>
      <w:r w:rsidRPr="004F6613">
        <w:rPr>
          <w:rFonts w:ascii="Arial" w:hAnsi="Arial" w:cs="Arial"/>
        </w:rPr>
        <w:t>21.</w:t>
      </w:r>
      <w:r w:rsidRPr="004F6613">
        <w:rPr>
          <w:rFonts w:ascii="Arial" w:hAnsi="Arial" w:cs="Arial"/>
        </w:rPr>
        <w:tab/>
        <w:t xml:space="preserve">Lai, X., St.Clair, T. P. &amp; Wayne Goodman, D. Oxygen-induced morphological changes of Ag nanoclusters supported on TiO2(110). </w:t>
      </w:r>
      <w:r w:rsidRPr="004F6613">
        <w:rPr>
          <w:rFonts w:ascii="Arial" w:hAnsi="Arial" w:cs="Arial"/>
          <w:i/>
          <w:iCs/>
        </w:rPr>
        <w:t>Faraday Disc.</w:t>
      </w:r>
      <w:r w:rsidRPr="004F6613">
        <w:rPr>
          <w:rFonts w:ascii="Arial" w:hAnsi="Arial" w:cs="Arial"/>
        </w:rPr>
        <w:t xml:space="preserve"> </w:t>
      </w:r>
      <w:r w:rsidRPr="004F6613">
        <w:rPr>
          <w:rFonts w:ascii="Arial" w:hAnsi="Arial" w:cs="Arial"/>
          <w:b/>
          <w:bCs/>
        </w:rPr>
        <w:t>114</w:t>
      </w:r>
      <w:r w:rsidRPr="004F6613">
        <w:rPr>
          <w:rFonts w:ascii="Arial" w:hAnsi="Arial" w:cs="Arial"/>
        </w:rPr>
        <w:t>, 279–284 (1999).</w:t>
      </w:r>
    </w:p>
    <w:p w14:paraId="61A22613" w14:textId="77777777" w:rsidR="004F6613" w:rsidRPr="004F6613" w:rsidRDefault="004F6613" w:rsidP="004F6613">
      <w:pPr>
        <w:pStyle w:val="Bibliography"/>
        <w:rPr>
          <w:rFonts w:ascii="Arial" w:hAnsi="Arial" w:cs="Arial"/>
        </w:rPr>
      </w:pPr>
      <w:r w:rsidRPr="004F6613">
        <w:rPr>
          <w:rFonts w:ascii="Arial" w:hAnsi="Arial" w:cs="Arial"/>
        </w:rPr>
        <w:t>22.</w:t>
      </w:r>
      <w:r w:rsidRPr="004F6613">
        <w:rPr>
          <w:rFonts w:ascii="Arial" w:hAnsi="Arial" w:cs="Arial"/>
        </w:rPr>
        <w:tab/>
        <w:t xml:space="preserve">Bera, S., Gangopadhyay, P., Nair, K. G. M., Panigrahi, B. K. &amp; Narasimhan, S. V. Electron spectroscopic analysis of silver nanoparticles in a soda-glass matrix. </w:t>
      </w:r>
      <w:r w:rsidRPr="004F6613">
        <w:rPr>
          <w:rFonts w:ascii="Arial" w:hAnsi="Arial" w:cs="Arial"/>
          <w:i/>
          <w:iCs/>
        </w:rPr>
        <w:t>Journal of Electron Spectroscopy and Related Phenomena</w:t>
      </w:r>
      <w:r w:rsidRPr="004F6613">
        <w:rPr>
          <w:rFonts w:ascii="Arial" w:hAnsi="Arial" w:cs="Arial"/>
        </w:rPr>
        <w:t xml:space="preserve"> </w:t>
      </w:r>
      <w:r w:rsidRPr="004F6613">
        <w:rPr>
          <w:rFonts w:ascii="Arial" w:hAnsi="Arial" w:cs="Arial"/>
          <w:b/>
          <w:bCs/>
        </w:rPr>
        <w:t>152</w:t>
      </w:r>
      <w:r w:rsidRPr="004F6613">
        <w:rPr>
          <w:rFonts w:ascii="Arial" w:hAnsi="Arial" w:cs="Arial"/>
        </w:rPr>
        <w:t>, 91–95 (2006).</w:t>
      </w:r>
    </w:p>
    <w:p w14:paraId="249B8936" w14:textId="77777777" w:rsidR="004F6613" w:rsidRPr="004F6613" w:rsidRDefault="004F6613" w:rsidP="004F6613">
      <w:pPr>
        <w:pStyle w:val="Bibliography"/>
        <w:rPr>
          <w:rFonts w:ascii="Arial" w:hAnsi="Arial" w:cs="Arial"/>
        </w:rPr>
      </w:pPr>
      <w:r w:rsidRPr="004F6613">
        <w:rPr>
          <w:rFonts w:ascii="Arial" w:hAnsi="Arial" w:cs="Arial"/>
        </w:rPr>
        <w:t>23.</w:t>
      </w:r>
      <w:r w:rsidRPr="004F6613">
        <w:rPr>
          <w:rFonts w:ascii="Arial" w:hAnsi="Arial" w:cs="Arial"/>
        </w:rPr>
        <w:tab/>
        <w:t xml:space="preserve">Bunău, O. &amp; Joly, Y. Self-consistent aspects of x-ray absorption calculations. </w:t>
      </w:r>
      <w:r w:rsidRPr="004F6613">
        <w:rPr>
          <w:rFonts w:ascii="Arial" w:hAnsi="Arial" w:cs="Arial"/>
          <w:i/>
          <w:iCs/>
        </w:rPr>
        <w:t>J. Phys.: Condens. Matter</w:t>
      </w:r>
      <w:r w:rsidRPr="004F6613">
        <w:rPr>
          <w:rFonts w:ascii="Arial" w:hAnsi="Arial" w:cs="Arial"/>
        </w:rPr>
        <w:t xml:space="preserve"> </w:t>
      </w:r>
      <w:r w:rsidRPr="004F6613">
        <w:rPr>
          <w:rFonts w:ascii="Arial" w:hAnsi="Arial" w:cs="Arial"/>
          <w:b/>
          <w:bCs/>
        </w:rPr>
        <w:t>21</w:t>
      </w:r>
      <w:r w:rsidRPr="004F6613">
        <w:rPr>
          <w:rFonts w:ascii="Arial" w:hAnsi="Arial" w:cs="Arial"/>
        </w:rPr>
        <w:t>, 345501 (2009).</w:t>
      </w:r>
    </w:p>
    <w:p w14:paraId="7DEB9C14" w14:textId="77777777" w:rsidR="004F6613" w:rsidRPr="004F6613" w:rsidRDefault="004F6613" w:rsidP="004F6613">
      <w:pPr>
        <w:pStyle w:val="Bibliography"/>
        <w:rPr>
          <w:rFonts w:ascii="Arial" w:hAnsi="Arial" w:cs="Arial"/>
        </w:rPr>
      </w:pPr>
      <w:r w:rsidRPr="004F6613">
        <w:rPr>
          <w:rFonts w:ascii="Arial" w:hAnsi="Arial" w:cs="Arial"/>
        </w:rPr>
        <w:t>24.</w:t>
      </w:r>
      <w:r w:rsidRPr="004F6613">
        <w:rPr>
          <w:rFonts w:ascii="Arial" w:hAnsi="Arial" w:cs="Arial"/>
        </w:rPr>
        <w:tab/>
        <w:t xml:space="preserve">Zhang, J., Luo, W. &amp; Züttel, A. Crossover of liquid products from electrochemical CO2 reduction through gas diffusion electrode and anion exchange membrane. </w:t>
      </w:r>
      <w:r w:rsidRPr="004F6613">
        <w:rPr>
          <w:rFonts w:ascii="Arial" w:hAnsi="Arial" w:cs="Arial"/>
          <w:i/>
          <w:iCs/>
        </w:rPr>
        <w:t>Journal of Catalysis</w:t>
      </w:r>
      <w:r w:rsidRPr="004F6613">
        <w:rPr>
          <w:rFonts w:ascii="Arial" w:hAnsi="Arial" w:cs="Arial"/>
        </w:rPr>
        <w:t xml:space="preserve"> </w:t>
      </w:r>
      <w:r w:rsidRPr="004F6613">
        <w:rPr>
          <w:rFonts w:ascii="Arial" w:hAnsi="Arial" w:cs="Arial"/>
          <w:b/>
          <w:bCs/>
        </w:rPr>
        <w:t>385</w:t>
      </w:r>
      <w:r w:rsidRPr="004F6613">
        <w:rPr>
          <w:rFonts w:ascii="Arial" w:hAnsi="Arial" w:cs="Arial"/>
        </w:rPr>
        <w:t>, 140–145 (2020).</w:t>
      </w:r>
    </w:p>
    <w:p w14:paraId="52CFA5B3" w14:textId="77777777" w:rsidR="004F6613" w:rsidRPr="004F6613" w:rsidRDefault="004F6613" w:rsidP="004F6613">
      <w:pPr>
        <w:pStyle w:val="Bibliography"/>
        <w:rPr>
          <w:rFonts w:ascii="Arial" w:hAnsi="Arial" w:cs="Arial"/>
        </w:rPr>
      </w:pPr>
      <w:r w:rsidRPr="004F6613">
        <w:rPr>
          <w:rFonts w:ascii="Arial" w:hAnsi="Arial" w:cs="Arial"/>
        </w:rPr>
        <w:t>25.</w:t>
      </w:r>
      <w:r w:rsidRPr="004F6613">
        <w:rPr>
          <w:rFonts w:ascii="Arial" w:hAnsi="Arial" w:cs="Arial"/>
        </w:rPr>
        <w:tab/>
        <w:t xml:space="preserve">Kuhl, K. P., Cave, E. R., Abram, D. N. &amp; Jaramillo, T. F. New insights into the electrochemical reduction of carbon dioxide on metallic copper surfaces. </w:t>
      </w:r>
      <w:r w:rsidRPr="004F6613">
        <w:rPr>
          <w:rFonts w:ascii="Arial" w:hAnsi="Arial" w:cs="Arial"/>
          <w:i/>
          <w:iCs/>
        </w:rPr>
        <w:t>Energy Environ. Sci.</w:t>
      </w:r>
      <w:r w:rsidRPr="004F6613">
        <w:rPr>
          <w:rFonts w:ascii="Arial" w:hAnsi="Arial" w:cs="Arial"/>
        </w:rPr>
        <w:t xml:space="preserve"> </w:t>
      </w:r>
      <w:r w:rsidRPr="004F6613">
        <w:rPr>
          <w:rFonts w:ascii="Arial" w:hAnsi="Arial" w:cs="Arial"/>
          <w:b/>
          <w:bCs/>
        </w:rPr>
        <w:t>5</w:t>
      </w:r>
      <w:r w:rsidRPr="004F6613">
        <w:rPr>
          <w:rFonts w:ascii="Arial" w:hAnsi="Arial" w:cs="Arial"/>
        </w:rPr>
        <w:t>, 7050–7059 (2012).</w:t>
      </w:r>
    </w:p>
    <w:p w14:paraId="03149661" w14:textId="77777777" w:rsidR="004F6613" w:rsidRPr="004F6613" w:rsidRDefault="004F6613" w:rsidP="004F6613">
      <w:pPr>
        <w:pStyle w:val="Bibliography"/>
        <w:rPr>
          <w:rFonts w:ascii="Arial" w:hAnsi="Arial" w:cs="Arial"/>
        </w:rPr>
      </w:pPr>
      <w:r w:rsidRPr="004F6613">
        <w:rPr>
          <w:rFonts w:ascii="Arial" w:hAnsi="Arial" w:cs="Arial"/>
        </w:rPr>
        <w:t>26.</w:t>
      </w:r>
      <w:r w:rsidRPr="004F6613">
        <w:rPr>
          <w:rFonts w:ascii="Arial" w:hAnsi="Arial" w:cs="Arial"/>
        </w:rPr>
        <w:tab/>
        <w:t xml:space="preserve">Chan, K., Tsai, C., Hansen, H. A. &amp; Nørskov, J. K. Molybdenum Sulfides and Selenides as Possible Electrocatalysts for CO2 Reduction. </w:t>
      </w:r>
      <w:r w:rsidRPr="004F6613">
        <w:rPr>
          <w:rFonts w:ascii="Arial" w:hAnsi="Arial" w:cs="Arial"/>
          <w:i/>
          <w:iCs/>
        </w:rPr>
        <w:t>ChemCatChem</w:t>
      </w:r>
      <w:r w:rsidRPr="004F6613">
        <w:rPr>
          <w:rFonts w:ascii="Arial" w:hAnsi="Arial" w:cs="Arial"/>
        </w:rPr>
        <w:t xml:space="preserve"> </w:t>
      </w:r>
      <w:r w:rsidRPr="004F6613">
        <w:rPr>
          <w:rFonts w:ascii="Arial" w:hAnsi="Arial" w:cs="Arial"/>
          <w:b/>
          <w:bCs/>
        </w:rPr>
        <w:t>6</w:t>
      </w:r>
      <w:r w:rsidRPr="004F6613">
        <w:rPr>
          <w:rFonts w:ascii="Arial" w:hAnsi="Arial" w:cs="Arial"/>
        </w:rPr>
        <w:t>, 1899–1905 (2014).</w:t>
      </w:r>
    </w:p>
    <w:p w14:paraId="03F92283" w14:textId="04B2091E" w:rsidR="005E4531" w:rsidRDefault="006B323D">
      <w:pPr>
        <w:jc w:val="both"/>
        <w:rPr>
          <w:sz w:val="24"/>
          <w:szCs w:val="24"/>
        </w:rPr>
      </w:pPr>
      <w:r w:rsidRPr="00320FDF">
        <w:rPr>
          <w:rFonts w:ascii="Arial" w:hAnsi="Arial"/>
          <w:lang w:val="en-US"/>
        </w:rPr>
        <w:fldChar w:fldCharType="end"/>
      </w:r>
    </w:p>
    <w:p w14:paraId="07ADBEBB" w14:textId="77777777" w:rsidR="005E4531" w:rsidRDefault="005E4531">
      <w:pPr>
        <w:jc w:val="both"/>
        <w:rPr>
          <w:sz w:val="24"/>
          <w:szCs w:val="24"/>
        </w:rPr>
      </w:pPr>
    </w:p>
    <w:sectPr w:rsidR="005E4531" w:rsidSect="00D62D8A">
      <w:headerReference w:type="default" r:id="rId46"/>
      <w:footerReference w:type="default" r:id="rId47"/>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F49F0" w14:textId="77777777" w:rsidR="00847F96" w:rsidRDefault="00847F96" w:rsidP="009C7E3E">
      <w:pPr>
        <w:spacing w:after="0" w:line="240" w:lineRule="auto"/>
      </w:pPr>
      <w:r>
        <w:separator/>
      </w:r>
    </w:p>
  </w:endnote>
  <w:endnote w:type="continuationSeparator" w:id="0">
    <w:p w14:paraId="62B4EC74" w14:textId="77777777" w:rsidR="00847F96" w:rsidRDefault="00847F96" w:rsidP="009C7E3E">
      <w:pPr>
        <w:spacing w:after="0" w:line="240" w:lineRule="auto"/>
      </w:pPr>
      <w:r>
        <w:continuationSeparator/>
      </w:r>
    </w:p>
  </w:endnote>
  <w:endnote w:type="continuationNotice" w:id="1">
    <w:p w14:paraId="188C861C" w14:textId="77777777" w:rsidR="00847F96" w:rsidRDefault="00847F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DEB0" w14:textId="77777777" w:rsidR="009C7E3E" w:rsidRDefault="009C7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911BD" w14:textId="77777777" w:rsidR="00847F96" w:rsidRDefault="00847F96" w:rsidP="009C7E3E">
      <w:pPr>
        <w:spacing w:after="0" w:line="240" w:lineRule="auto"/>
      </w:pPr>
      <w:r>
        <w:separator/>
      </w:r>
    </w:p>
  </w:footnote>
  <w:footnote w:type="continuationSeparator" w:id="0">
    <w:p w14:paraId="24502BDD" w14:textId="77777777" w:rsidR="00847F96" w:rsidRDefault="00847F96" w:rsidP="009C7E3E">
      <w:pPr>
        <w:spacing w:after="0" w:line="240" w:lineRule="auto"/>
      </w:pPr>
      <w:r>
        <w:continuationSeparator/>
      </w:r>
    </w:p>
  </w:footnote>
  <w:footnote w:type="continuationNotice" w:id="1">
    <w:p w14:paraId="1417A5E1" w14:textId="77777777" w:rsidR="00847F96" w:rsidRDefault="00847F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9912" w14:textId="77777777" w:rsidR="009C7E3E" w:rsidRDefault="009C7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9ED"/>
    <w:multiLevelType w:val="hybridMultilevel"/>
    <w:tmpl w:val="7C509492"/>
    <w:lvl w:ilvl="0" w:tplc="F0D82FB4">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0360A0"/>
    <w:multiLevelType w:val="hybridMultilevel"/>
    <w:tmpl w:val="ABB007C4"/>
    <w:lvl w:ilvl="0" w:tplc="C8FAA0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86042"/>
    <w:multiLevelType w:val="hybridMultilevel"/>
    <w:tmpl w:val="437C63F4"/>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B5C7A05"/>
    <w:multiLevelType w:val="hybridMultilevel"/>
    <w:tmpl w:val="BF9696C4"/>
    <w:lvl w:ilvl="0" w:tplc="A4D069D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0C095728"/>
    <w:multiLevelType w:val="hybridMultilevel"/>
    <w:tmpl w:val="A642A43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15C72C04"/>
    <w:multiLevelType w:val="hybridMultilevel"/>
    <w:tmpl w:val="7D0C9B9E"/>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25172AE7"/>
    <w:multiLevelType w:val="multilevel"/>
    <w:tmpl w:val="4C62B4F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D56869"/>
    <w:multiLevelType w:val="hybridMultilevel"/>
    <w:tmpl w:val="1EC60866"/>
    <w:lvl w:ilvl="0" w:tplc="34BED1B2">
      <w:start w:val="2"/>
      <w:numFmt w:val="decimal"/>
      <w:lvlText w:val="%1."/>
      <w:lvlJc w:val="left"/>
      <w:pPr>
        <w:ind w:left="540" w:hanging="360"/>
      </w:pPr>
      <w:rPr>
        <w:rFonts w:hint="default"/>
      </w:rPr>
    </w:lvl>
    <w:lvl w:ilvl="1" w:tplc="20000019" w:tentative="1">
      <w:start w:val="1"/>
      <w:numFmt w:val="lowerLetter"/>
      <w:lvlText w:val="%2."/>
      <w:lvlJc w:val="left"/>
      <w:pPr>
        <w:ind w:left="1260" w:hanging="360"/>
      </w:pPr>
    </w:lvl>
    <w:lvl w:ilvl="2" w:tplc="2000001B" w:tentative="1">
      <w:start w:val="1"/>
      <w:numFmt w:val="lowerRoman"/>
      <w:lvlText w:val="%3."/>
      <w:lvlJc w:val="right"/>
      <w:pPr>
        <w:ind w:left="1980" w:hanging="180"/>
      </w:pPr>
    </w:lvl>
    <w:lvl w:ilvl="3" w:tplc="2000000F" w:tentative="1">
      <w:start w:val="1"/>
      <w:numFmt w:val="decimal"/>
      <w:lvlText w:val="%4."/>
      <w:lvlJc w:val="left"/>
      <w:pPr>
        <w:ind w:left="2700" w:hanging="360"/>
      </w:pPr>
    </w:lvl>
    <w:lvl w:ilvl="4" w:tplc="20000019" w:tentative="1">
      <w:start w:val="1"/>
      <w:numFmt w:val="lowerLetter"/>
      <w:lvlText w:val="%5."/>
      <w:lvlJc w:val="left"/>
      <w:pPr>
        <w:ind w:left="3420" w:hanging="360"/>
      </w:pPr>
    </w:lvl>
    <w:lvl w:ilvl="5" w:tplc="2000001B" w:tentative="1">
      <w:start w:val="1"/>
      <w:numFmt w:val="lowerRoman"/>
      <w:lvlText w:val="%6."/>
      <w:lvlJc w:val="right"/>
      <w:pPr>
        <w:ind w:left="4140" w:hanging="180"/>
      </w:pPr>
    </w:lvl>
    <w:lvl w:ilvl="6" w:tplc="2000000F" w:tentative="1">
      <w:start w:val="1"/>
      <w:numFmt w:val="decimal"/>
      <w:lvlText w:val="%7."/>
      <w:lvlJc w:val="left"/>
      <w:pPr>
        <w:ind w:left="4860" w:hanging="360"/>
      </w:pPr>
    </w:lvl>
    <w:lvl w:ilvl="7" w:tplc="20000019" w:tentative="1">
      <w:start w:val="1"/>
      <w:numFmt w:val="lowerLetter"/>
      <w:lvlText w:val="%8."/>
      <w:lvlJc w:val="left"/>
      <w:pPr>
        <w:ind w:left="5580" w:hanging="360"/>
      </w:pPr>
    </w:lvl>
    <w:lvl w:ilvl="8" w:tplc="2000001B" w:tentative="1">
      <w:start w:val="1"/>
      <w:numFmt w:val="lowerRoman"/>
      <w:lvlText w:val="%9."/>
      <w:lvlJc w:val="right"/>
      <w:pPr>
        <w:ind w:left="6300" w:hanging="180"/>
      </w:pPr>
    </w:lvl>
  </w:abstractNum>
  <w:abstractNum w:abstractNumId="8" w15:restartNumberingAfterBreak="0">
    <w:nsid w:val="30A61CBA"/>
    <w:multiLevelType w:val="multilevel"/>
    <w:tmpl w:val="984E707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470E8D"/>
    <w:multiLevelType w:val="hybridMultilevel"/>
    <w:tmpl w:val="B7D27D5E"/>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43137C3D"/>
    <w:multiLevelType w:val="hybridMultilevel"/>
    <w:tmpl w:val="1402F06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50104D4C"/>
    <w:multiLevelType w:val="hybridMultilevel"/>
    <w:tmpl w:val="7EC019AA"/>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 w15:restartNumberingAfterBreak="0">
    <w:nsid w:val="514D3665"/>
    <w:multiLevelType w:val="hybridMultilevel"/>
    <w:tmpl w:val="DE5E812E"/>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3" w15:restartNumberingAfterBreak="0">
    <w:nsid w:val="524E434C"/>
    <w:multiLevelType w:val="multilevel"/>
    <w:tmpl w:val="F25C4AB4"/>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35F3681"/>
    <w:multiLevelType w:val="hybridMultilevel"/>
    <w:tmpl w:val="7ACC7DD6"/>
    <w:lvl w:ilvl="0" w:tplc="917CC3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3306A34"/>
    <w:multiLevelType w:val="hybridMultilevel"/>
    <w:tmpl w:val="BF9A2C46"/>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679C0889"/>
    <w:multiLevelType w:val="hybridMultilevel"/>
    <w:tmpl w:val="B34CDC0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185489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90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5882449"/>
    <w:multiLevelType w:val="multilevel"/>
    <w:tmpl w:val="9CB8A4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CD54AEF"/>
    <w:multiLevelType w:val="hybridMultilevel"/>
    <w:tmpl w:val="9C501F9A"/>
    <w:lvl w:ilvl="0" w:tplc="2000000F">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1479616815">
    <w:abstractNumId w:val="5"/>
  </w:num>
  <w:num w:numId="2" w16cid:durableId="700204673">
    <w:abstractNumId w:val="17"/>
  </w:num>
  <w:num w:numId="3" w16cid:durableId="1045252392">
    <w:abstractNumId w:val="13"/>
  </w:num>
  <w:num w:numId="4" w16cid:durableId="1168135989">
    <w:abstractNumId w:val="3"/>
  </w:num>
  <w:num w:numId="5" w16cid:durableId="1598127686">
    <w:abstractNumId w:val="10"/>
  </w:num>
  <w:num w:numId="6" w16cid:durableId="4155639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4126749">
    <w:abstractNumId w:val="15"/>
  </w:num>
  <w:num w:numId="8" w16cid:durableId="3725370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3771840">
    <w:abstractNumId w:val="12"/>
  </w:num>
  <w:num w:numId="10" w16cid:durableId="1940793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745162">
    <w:abstractNumId w:val="9"/>
  </w:num>
  <w:num w:numId="12" w16cid:durableId="341974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9264057">
    <w:abstractNumId w:val="11"/>
  </w:num>
  <w:num w:numId="14" w16cid:durableId="577517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0953586">
    <w:abstractNumId w:val="14"/>
  </w:num>
  <w:num w:numId="16" w16cid:durableId="1356729328">
    <w:abstractNumId w:val="0"/>
  </w:num>
  <w:num w:numId="17" w16cid:durableId="812255730">
    <w:abstractNumId w:val="1"/>
  </w:num>
  <w:num w:numId="18" w16cid:durableId="952177586">
    <w:abstractNumId w:val="16"/>
  </w:num>
  <w:num w:numId="19" w16cid:durableId="1187476012">
    <w:abstractNumId w:val="7"/>
  </w:num>
  <w:num w:numId="20" w16cid:durableId="1342708582">
    <w:abstractNumId w:val="6"/>
  </w:num>
  <w:num w:numId="21" w16cid:durableId="1246914790">
    <w:abstractNumId w:val="18"/>
  </w:num>
  <w:num w:numId="22" w16cid:durableId="412095080">
    <w:abstractNumId w:val="4"/>
  </w:num>
  <w:num w:numId="23" w16cid:durableId="1334258975">
    <w:abstractNumId w:val="2"/>
  </w:num>
  <w:num w:numId="24" w16cid:durableId="1257209548">
    <w:abstractNumId w:val="8"/>
  </w:num>
  <w:num w:numId="25" w16cid:durableId="2146195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59881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54682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531"/>
    <w:rsid w:val="00001AF5"/>
    <w:rsid w:val="0000266E"/>
    <w:rsid w:val="0001246B"/>
    <w:rsid w:val="00014443"/>
    <w:rsid w:val="00015350"/>
    <w:rsid w:val="000176A6"/>
    <w:rsid w:val="00017A16"/>
    <w:rsid w:val="00023BE0"/>
    <w:rsid w:val="000302F1"/>
    <w:rsid w:val="00033807"/>
    <w:rsid w:val="00035428"/>
    <w:rsid w:val="000406B5"/>
    <w:rsid w:val="00043167"/>
    <w:rsid w:val="00044FE9"/>
    <w:rsid w:val="00045A91"/>
    <w:rsid w:val="00047427"/>
    <w:rsid w:val="0004795E"/>
    <w:rsid w:val="00050637"/>
    <w:rsid w:val="000533FA"/>
    <w:rsid w:val="0005357E"/>
    <w:rsid w:val="00055001"/>
    <w:rsid w:val="000663F5"/>
    <w:rsid w:val="00067512"/>
    <w:rsid w:val="00067970"/>
    <w:rsid w:val="00071235"/>
    <w:rsid w:val="00074D4A"/>
    <w:rsid w:val="0007554F"/>
    <w:rsid w:val="0008072F"/>
    <w:rsid w:val="00091F7A"/>
    <w:rsid w:val="00093AD2"/>
    <w:rsid w:val="00094394"/>
    <w:rsid w:val="000967ED"/>
    <w:rsid w:val="000A1DD8"/>
    <w:rsid w:val="000A68A2"/>
    <w:rsid w:val="000C0CA2"/>
    <w:rsid w:val="000D192D"/>
    <w:rsid w:val="000D3DB3"/>
    <w:rsid w:val="000D44D8"/>
    <w:rsid w:val="000D5116"/>
    <w:rsid w:val="000D5A5B"/>
    <w:rsid w:val="000D7FC6"/>
    <w:rsid w:val="000E2ED4"/>
    <w:rsid w:val="000E3EA2"/>
    <w:rsid w:val="000F395C"/>
    <w:rsid w:val="000F5A55"/>
    <w:rsid w:val="000F736A"/>
    <w:rsid w:val="00106248"/>
    <w:rsid w:val="001068FF"/>
    <w:rsid w:val="00106F84"/>
    <w:rsid w:val="00111420"/>
    <w:rsid w:val="00111D98"/>
    <w:rsid w:val="00121C79"/>
    <w:rsid w:val="0012757F"/>
    <w:rsid w:val="001314BF"/>
    <w:rsid w:val="001408C3"/>
    <w:rsid w:val="00160A73"/>
    <w:rsid w:val="00165FAF"/>
    <w:rsid w:val="00174F17"/>
    <w:rsid w:val="0017694F"/>
    <w:rsid w:val="0018580C"/>
    <w:rsid w:val="00187947"/>
    <w:rsid w:val="0019338A"/>
    <w:rsid w:val="00196EF0"/>
    <w:rsid w:val="001A2A1F"/>
    <w:rsid w:val="001B75E8"/>
    <w:rsid w:val="001C066A"/>
    <w:rsid w:val="001C1FB4"/>
    <w:rsid w:val="001C384D"/>
    <w:rsid w:val="001C425C"/>
    <w:rsid w:val="001C660A"/>
    <w:rsid w:val="001C7509"/>
    <w:rsid w:val="001C797D"/>
    <w:rsid w:val="001D2D79"/>
    <w:rsid w:val="001D306D"/>
    <w:rsid w:val="001E3C11"/>
    <w:rsid w:val="001F6F63"/>
    <w:rsid w:val="002003F7"/>
    <w:rsid w:val="00200819"/>
    <w:rsid w:val="00201A04"/>
    <w:rsid w:val="00201C9C"/>
    <w:rsid w:val="0020379F"/>
    <w:rsid w:val="002057F2"/>
    <w:rsid w:val="002102F4"/>
    <w:rsid w:val="00223318"/>
    <w:rsid w:val="00230931"/>
    <w:rsid w:val="0024357E"/>
    <w:rsid w:val="00243695"/>
    <w:rsid w:val="00252DD2"/>
    <w:rsid w:val="0026202E"/>
    <w:rsid w:val="00263CAF"/>
    <w:rsid w:val="00266194"/>
    <w:rsid w:val="00266643"/>
    <w:rsid w:val="00271E07"/>
    <w:rsid w:val="0027348B"/>
    <w:rsid w:val="00273A41"/>
    <w:rsid w:val="00276BF0"/>
    <w:rsid w:val="002775F3"/>
    <w:rsid w:val="00281A4D"/>
    <w:rsid w:val="00283922"/>
    <w:rsid w:val="00294EAA"/>
    <w:rsid w:val="002A3289"/>
    <w:rsid w:val="002B0711"/>
    <w:rsid w:val="002B1EA6"/>
    <w:rsid w:val="002B27CE"/>
    <w:rsid w:val="002B3A72"/>
    <w:rsid w:val="002B54A6"/>
    <w:rsid w:val="002C0A36"/>
    <w:rsid w:val="002C1C6F"/>
    <w:rsid w:val="002C2809"/>
    <w:rsid w:val="002C33A5"/>
    <w:rsid w:val="002C4BB3"/>
    <w:rsid w:val="002C5C84"/>
    <w:rsid w:val="002D7842"/>
    <w:rsid w:val="002D7B29"/>
    <w:rsid w:val="002E79CD"/>
    <w:rsid w:val="002F3F48"/>
    <w:rsid w:val="002F409C"/>
    <w:rsid w:val="002F4E38"/>
    <w:rsid w:val="003022E5"/>
    <w:rsid w:val="00307404"/>
    <w:rsid w:val="0031669D"/>
    <w:rsid w:val="00317635"/>
    <w:rsid w:val="003205C7"/>
    <w:rsid w:val="00320FDF"/>
    <w:rsid w:val="00322E69"/>
    <w:rsid w:val="00330492"/>
    <w:rsid w:val="00337C4E"/>
    <w:rsid w:val="003403B4"/>
    <w:rsid w:val="003405AD"/>
    <w:rsid w:val="00340E43"/>
    <w:rsid w:val="00342586"/>
    <w:rsid w:val="003479D3"/>
    <w:rsid w:val="003507B5"/>
    <w:rsid w:val="00350860"/>
    <w:rsid w:val="00350E65"/>
    <w:rsid w:val="00353A62"/>
    <w:rsid w:val="00356A0E"/>
    <w:rsid w:val="00361176"/>
    <w:rsid w:val="00361C04"/>
    <w:rsid w:val="00367ED8"/>
    <w:rsid w:val="00372BDE"/>
    <w:rsid w:val="00374AF3"/>
    <w:rsid w:val="003764A6"/>
    <w:rsid w:val="00380307"/>
    <w:rsid w:val="0038539A"/>
    <w:rsid w:val="00390A06"/>
    <w:rsid w:val="003A394D"/>
    <w:rsid w:val="003A3EE9"/>
    <w:rsid w:val="003A436C"/>
    <w:rsid w:val="003B3408"/>
    <w:rsid w:val="003B6AB0"/>
    <w:rsid w:val="003C2117"/>
    <w:rsid w:val="003C34BF"/>
    <w:rsid w:val="003C59EB"/>
    <w:rsid w:val="003C6572"/>
    <w:rsid w:val="003E068E"/>
    <w:rsid w:val="003E1456"/>
    <w:rsid w:val="003E1A70"/>
    <w:rsid w:val="003E7393"/>
    <w:rsid w:val="003F28F0"/>
    <w:rsid w:val="00402482"/>
    <w:rsid w:val="0040379A"/>
    <w:rsid w:val="00405851"/>
    <w:rsid w:val="00411262"/>
    <w:rsid w:val="004164EA"/>
    <w:rsid w:val="00421130"/>
    <w:rsid w:val="00425E97"/>
    <w:rsid w:val="00432001"/>
    <w:rsid w:val="00432F78"/>
    <w:rsid w:val="00433AA9"/>
    <w:rsid w:val="0043733D"/>
    <w:rsid w:val="00443744"/>
    <w:rsid w:val="00447319"/>
    <w:rsid w:val="0045365C"/>
    <w:rsid w:val="00463583"/>
    <w:rsid w:val="00467B86"/>
    <w:rsid w:val="00485A9B"/>
    <w:rsid w:val="00485F59"/>
    <w:rsid w:val="00496DD3"/>
    <w:rsid w:val="004A0C1A"/>
    <w:rsid w:val="004A1999"/>
    <w:rsid w:val="004A3321"/>
    <w:rsid w:val="004A62D0"/>
    <w:rsid w:val="004B39C0"/>
    <w:rsid w:val="004B7639"/>
    <w:rsid w:val="004C1BF8"/>
    <w:rsid w:val="004C58C8"/>
    <w:rsid w:val="004D010D"/>
    <w:rsid w:val="004D634B"/>
    <w:rsid w:val="004D65AE"/>
    <w:rsid w:val="004E42D7"/>
    <w:rsid w:val="004F6613"/>
    <w:rsid w:val="004F749A"/>
    <w:rsid w:val="005015AE"/>
    <w:rsid w:val="00505B1E"/>
    <w:rsid w:val="00505DBB"/>
    <w:rsid w:val="00507242"/>
    <w:rsid w:val="00514FA9"/>
    <w:rsid w:val="00517F16"/>
    <w:rsid w:val="00531850"/>
    <w:rsid w:val="005325EA"/>
    <w:rsid w:val="00535224"/>
    <w:rsid w:val="00535669"/>
    <w:rsid w:val="00537091"/>
    <w:rsid w:val="00555230"/>
    <w:rsid w:val="00555749"/>
    <w:rsid w:val="00561360"/>
    <w:rsid w:val="00561FF4"/>
    <w:rsid w:val="00564115"/>
    <w:rsid w:val="00573ACC"/>
    <w:rsid w:val="00580600"/>
    <w:rsid w:val="0059235A"/>
    <w:rsid w:val="005A130C"/>
    <w:rsid w:val="005A3CF0"/>
    <w:rsid w:val="005B3C3A"/>
    <w:rsid w:val="005C2ACF"/>
    <w:rsid w:val="005C4F23"/>
    <w:rsid w:val="005D5703"/>
    <w:rsid w:val="005E4531"/>
    <w:rsid w:val="005F3602"/>
    <w:rsid w:val="0060472A"/>
    <w:rsid w:val="00604D71"/>
    <w:rsid w:val="00613F86"/>
    <w:rsid w:val="0061453C"/>
    <w:rsid w:val="00614CFB"/>
    <w:rsid w:val="00617B0A"/>
    <w:rsid w:val="00620B13"/>
    <w:rsid w:val="00621F1C"/>
    <w:rsid w:val="0062224F"/>
    <w:rsid w:val="0062395D"/>
    <w:rsid w:val="006270F1"/>
    <w:rsid w:val="00634E28"/>
    <w:rsid w:val="00637DD6"/>
    <w:rsid w:val="006444EA"/>
    <w:rsid w:val="0064789F"/>
    <w:rsid w:val="00650B67"/>
    <w:rsid w:val="00656D2E"/>
    <w:rsid w:val="0066076C"/>
    <w:rsid w:val="0066443E"/>
    <w:rsid w:val="0067795A"/>
    <w:rsid w:val="00682243"/>
    <w:rsid w:val="00685249"/>
    <w:rsid w:val="006857A8"/>
    <w:rsid w:val="00694A86"/>
    <w:rsid w:val="006A0E85"/>
    <w:rsid w:val="006A5296"/>
    <w:rsid w:val="006A7A1C"/>
    <w:rsid w:val="006B09BA"/>
    <w:rsid w:val="006B323D"/>
    <w:rsid w:val="006B63A4"/>
    <w:rsid w:val="006C6020"/>
    <w:rsid w:val="006C6E11"/>
    <w:rsid w:val="006C75C8"/>
    <w:rsid w:val="006D1078"/>
    <w:rsid w:val="006D16E4"/>
    <w:rsid w:val="006D4552"/>
    <w:rsid w:val="006D4A1F"/>
    <w:rsid w:val="006D7205"/>
    <w:rsid w:val="006E144E"/>
    <w:rsid w:val="006E1FF9"/>
    <w:rsid w:val="006F0817"/>
    <w:rsid w:val="006F1553"/>
    <w:rsid w:val="006F3AA2"/>
    <w:rsid w:val="00700D69"/>
    <w:rsid w:val="00713BC3"/>
    <w:rsid w:val="00716DB1"/>
    <w:rsid w:val="00720BC7"/>
    <w:rsid w:val="00724A0F"/>
    <w:rsid w:val="007252E3"/>
    <w:rsid w:val="00727CD0"/>
    <w:rsid w:val="00731044"/>
    <w:rsid w:val="00740CC7"/>
    <w:rsid w:val="007423F1"/>
    <w:rsid w:val="00744A35"/>
    <w:rsid w:val="00745165"/>
    <w:rsid w:val="00747187"/>
    <w:rsid w:val="0075293D"/>
    <w:rsid w:val="00763208"/>
    <w:rsid w:val="00764955"/>
    <w:rsid w:val="00765944"/>
    <w:rsid w:val="007661C1"/>
    <w:rsid w:val="00773589"/>
    <w:rsid w:val="0077456E"/>
    <w:rsid w:val="00793A62"/>
    <w:rsid w:val="00794EB9"/>
    <w:rsid w:val="00795F6C"/>
    <w:rsid w:val="0079691D"/>
    <w:rsid w:val="007A3B8E"/>
    <w:rsid w:val="007A5570"/>
    <w:rsid w:val="007A6C66"/>
    <w:rsid w:val="007C4F0A"/>
    <w:rsid w:val="007C5764"/>
    <w:rsid w:val="007C5A0D"/>
    <w:rsid w:val="007C7113"/>
    <w:rsid w:val="007C7249"/>
    <w:rsid w:val="007D2B1E"/>
    <w:rsid w:val="007D38A0"/>
    <w:rsid w:val="007D4A10"/>
    <w:rsid w:val="007F045C"/>
    <w:rsid w:val="007F294F"/>
    <w:rsid w:val="007F7115"/>
    <w:rsid w:val="0080254B"/>
    <w:rsid w:val="00805E5C"/>
    <w:rsid w:val="00814AAE"/>
    <w:rsid w:val="00815244"/>
    <w:rsid w:val="00825BD5"/>
    <w:rsid w:val="00826616"/>
    <w:rsid w:val="0083001B"/>
    <w:rsid w:val="0083109E"/>
    <w:rsid w:val="00834E1E"/>
    <w:rsid w:val="008379F3"/>
    <w:rsid w:val="00845A23"/>
    <w:rsid w:val="00845AD8"/>
    <w:rsid w:val="00847F96"/>
    <w:rsid w:val="00852A06"/>
    <w:rsid w:val="008566B9"/>
    <w:rsid w:val="00857310"/>
    <w:rsid w:val="0086050E"/>
    <w:rsid w:val="0086082C"/>
    <w:rsid w:val="008715C1"/>
    <w:rsid w:val="00871AF0"/>
    <w:rsid w:val="00872FCB"/>
    <w:rsid w:val="00874628"/>
    <w:rsid w:val="00875244"/>
    <w:rsid w:val="00881486"/>
    <w:rsid w:val="00883254"/>
    <w:rsid w:val="008930A7"/>
    <w:rsid w:val="0089392A"/>
    <w:rsid w:val="008A2580"/>
    <w:rsid w:val="008A2D45"/>
    <w:rsid w:val="008A3685"/>
    <w:rsid w:val="008A3FCF"/>
    <w:rsid w:val="008A4742"/>
    <w:rsid w:val="008A6BF1"/>
    <w:rsid w:val="008C1B95"/>
    <w:rsid w:val="008C41E3"/>
    <w:rsid w:val="008D0289"/>
    <w:rsid w:val="008D19A8"/>
    <w:rsid w:val="008D3B9B"/>
    <w:rsid w:val="008D3D50"/>
    <w:rsid w:val="008D5356"/>
    <w:rsid w:val="008D67F1"/>
    <w:rsid w:val="008E3FAE"/>
    <w:rsid w:val="008E740A"/>
    <w:rsid w:val="008F25A0"/>
    <w:rsid w:val="008F3FF5"/>
    <w:rsid w:val="008F4302"/>
    <w:rsid w:val="00901AF3"/>
    <w:rsid w:val="009036E8"/>
    <w:rsid w:val="00904985"/>
    <w:rsid w:val="009068B2"/>
    <w:rsid w:val="00907C1C"/>
    <w:rsid w:val="00924299"/>
    <w:rsid w:val="00925076"/>
    <w:rsid w:val="00932EFA"/>
    <w:rsid w:val="009355E4"/>
    <w:rsid w:val="00946047"/>
    <w:rsid w:val="009462E6"/>
    <w:rsid w:val="00953AF3"/>
    <w:rsid w:val="00956E9B"/>
    <w:rsid w:val="00963CC7"/>
    <w:rsid w:val="00965B1F"/>
    <w:rsid w:val="00965EFB"/>
    <w:rsid w:val="009670EF"/>
    <w:rsid w:val="00967672"/>
    <w:rsid w:val="009736F1"/>
    <w:rsid w:val="009860D0"/>
    <w:rsid w:val="009866A3"/>
    <w:rsid w:val="00987FE6"/>
    <w:rsid w:val="00994CB2"/>
    <w:rsid w:val="009A5784"/>
    <w:rsid w:val="009B76AD"/>
    <w:rsid w:val="009C2149"/>
    <w:rsid w:val="009C7E3E"/>
    <w:rsid w:val="009F1478"/>
    <w:rsid w:val="009F55B9"/>
    <w:rsid w:val="009F789A"/>
    <w:rsid w:val="00A20241"/>
    <w:rsid w:val="00A22DF2"/>
    <w:rsid w:val="00A3349A"/>
    <w:rsid w:val="00A419F0"/>
    <w:rsid w:val="00A42201"/>
    <w:rsid w:val="00A4588E"/>
    <w:rsid w:val="00A5180A"/>
    <w:rsid w:val="00A57806"/>
    <w:rsid w:val="00A57C2D"/>
    <w:rsid w:val="00A57EF4"/>
    <w:rsid w:val="00A63F49"/>
    <w:rsid w:val="00A6523F"/>
    <w:rsid w:val="00A75958"/>
    <w:rsid w:val="00A80448"/>
    <w:rsid w:val="00A874F6"/>
    <w:rsid w:val="00A95337"/>
    <w:rsid w:val="00A96E76"/>
    <w:rsid w:val="00A9735C"/>
    <w:rsid w:val="00A978C5"/>
    <w:rsid w:val="00A97A09"/>
    <w:rsid w:val="00AA2591"/>
    <w:rsid w:val="00AB0E3D"/>
    <w:rsid w:val="00AB1809"/>
    <w:rsid w:val="00AB5846"/>
    <w:rsid w:val="00AB6039"/>
    <w:rsid w:val="00AB642C"/>
    <w:rsid w:val="00AC7E6C"/>
    <w:rsid w:val="00AE22E6"/>
    <w:rsid w:val="00AE26EE"/>
    <w:rsid w:val="00AE767E"/>
    <w:rsid w:val="00AF2B8C"/>
    <w:rsid w:val="00AF4DFD"/>
    <w:rsid w:val="00AF6834"/>
    <w:rsid w:val="00B12A2F"/>
    <w:rsid w:val="00B130A7"/>
    <w:rsid w:val="00B15994"/>
    <w:rsid w:val="00B166C3"/>
    <w:rsid w:val="00B2112E"/>
    <w:rsid w:val="00B21E69"/>
    <w:rsid w:val="00B3321D"/>
    <w:rsid w:val="00B36533"/>
    <w:rsid w:val="00B45B84"/>
    <w:rsid w:val="00B46C9F"/>
    <w:rsid w:val="00B50606"/>
    <w:rsid w:val="00B57BB9"/>
    <w:rsid w:val="00B632C1"/>
    <w:rsid w:val="00B632EE"/>
    <w:rsid w:val="00B718CA"/>
    <w:rsid w:val="00B725E8"/>
    <w:rsid w:val="00B74356"/>
    <w:rsid w:val="00B9112B"/>
    <w:rsid w:val="00B96329"/>
    <w:rsid w:val="00BA75B2"/>
    <w:rsid w:val="00BB3E6A"/>
    <w:rsid w:val="00BB4ED1"/>
    <w:rsid w:val="00BB5211"/>
    <w:rsid w:val="00BC158C"/>
    <w:rsid w:val="00BC545A"/>
    <w:rsid w:val="00BC62CA"/>
    <w:rsid w:val="00BD206E"/>
    <w:rsid w:val="00BD3B93"/>
    <w:rsid w:val="00BE0B6E"/>
    <w:rsid w:val="00BE30DF"/>
    <w:rsid w:val="00BE54FE"/>
    <w:rsid w:val="00BE56E5"/>
    <w:rsid w:val="00BF6EA3"/>
    <w:rsid w:val="00C01420"/>
    <w:rsid w:val="00C018CA"/>
    <w:rsid w:val="00C0355B"/>
    <w:rsid w:val="00C057FA"/>
    <w:rsid w:val="00C07A6C"/>
    <w:rsid w:val="00C07ADC"/>
    <w:rsid w:val="00C11181"/>
    <w:rsid w:val="00C14A0A"/>
    <w:rsid w:val="00C16699"/>
    <w:rsid w:val="00C268BC"/>
    <w:rsid w:val="00C26C29"/>
    <w:rsid w:val="00C314CB"/>
    <w:rsid w:val="00C32BED"/>
    <w:rsid w:val="00C32F5B"/>
    <w:rsid w:val="00C36DFB"/>
    <w:rsid w:val="00C42371"/>
    <w:rsid w:val="00C437AF"/>
    <w:rsid w:val="00C44F31"/>
    <w:rsid w:val="00C5328F"/>
    <w:rsid w:val="00C53BB9"/>
    <w:rsid w:val="00C53DC0"/>
    <w:rsid w:val="00C60072"/>
    <w:rsid w:val="00C601C4"/>
    <w:rsid w:val="00C625F7"/>
    <w:rsid w:val="00C645AB"/>
    <w:rsid w:val="00C64647"/>
    <w:rsid w:val="00C77A87"/>
    <w:rsid w:val="00C837E6"/>
    <w:rsid w:val="00C86DCE"/>
    <w:rsid w:val="00C9487F"/>
    <w:rsid w:val="00C95108"/>
    <w:rsid w:val="00C95EFB"/>
    <w:rsid w:val="00C968FA"/>
    <w:rsid w:val="00CA1050"/>
    <w:rsid w:val="00CA5537"/>
    <w:rsid w:val="00CC1F7E"/>
    <w:rsid w:val="00CC3076"/>
    <w:rsid w:val="00CD0FD9"/>
    <w:rsid w:val="00CD16E0"/>
    <w:rsid w:val="00CE1BD7"/>
    <w:rsid w:val="00CE6C99"/>
    <w:rsid w:val="00CE7BA9"/>
    <w:rsid w:val="00CF10B3"/>
    <w:rsid w:val="00CF6DDE"/>
    <w:rsid w:val="00CF7B2F"/>
    <w:rsid w:val="00D11817"/>
    <w:rsid w:val="00D121CE"/>
    <w:rsid w:val="00D21E8D"/>
    <w:rsid w:val="00D2371E"/>
    <w:rsid w:val="00D2384F"/>
    <w:rsid w:val="00D30976"/>
    <w:rsid w:val="00D31F24"/>
    <w:rsid w:val="00D32318"/>
    <w:rsid w:val="00D34275"/>
    <w:rsid w:val="00D43CCB"/>
    <w:rsid w:val="00D43F54"/>
    <w:rsid w:val="00D4669B"/>
    <w:rsid w:val="00D50560"/>
    <w:rsid w:val="00D50FA7"/>
    <w:rsid w:val="00D5546D"/>
    <w:rsid w:val="00D60649"/>
    <w:rsid w:val="00D607CB"/>
    <w:rsid w:val="00D62D8A"/>
    <w:rsid w:val="00D64C60"/>
    <w:rsid w:val="00D65EF5"/>
    <w:rsid w:val="00D6717B"/>
    <w:rsid w:val="00D72EFD"/>
    <w:rsid w:val="00D75CEC"/>
    <w:rsid w:val="00D766AD"/>
    <w:rsid w:val="00D80685"/>
    <w:rsid w:val="00D80BE9"/>
    <w:rsid w:val="00D84026"/>
    <w:rsid w:val="00D87426"/>
    <w:rsid w:val="00D87E4A"/>
    <w:rsid w:val="00D87F21"/>
    <w:rsid w:val="00D92817"/>
    <w:rsid w:val="00D96832"/>
    <w:rsid w:val="00D97B3E"/>
    <w:rsid w:val="00DA6733"/>
    <w:rsid w:val="00DA6D58"/>
    <w:rsid w:val="00DB0903"/>
    <w:rsid w:val="00DB1192"/>
    <w:rsid w:val="00DB307B"/>
    <w:rsid w:val="00DB30FC"/>
    <w:rsid w:val="00DB53D4"/>
    <w:rsid w:val="00DC2D19"/>
    <w:rsid w:val="00DD511D"/>
    <w:rsid w:val="00DD5BA6"/>
    <w:rsid w:val="00DD6C3E"/>
    <w:rsid w:val="00DE3176"/>
    <w:rsid w:val="00DF2541"/>
    <w:rsid w:val="00DF68BA"/>
    <w:rsid w:val="00E06ED9"/>
    <w:rsid w:val="00E10FF7"/>
    <w:rsid w:val="00E119EA"/>
    <w:rsid w:val="00E23016"/>
    <w:rsid w:val="00E23AF7"/>
    <w:rsid w:val="00E37B63"/>
    <w:rsid w:val="00E4046A"/>
    <w:rsid w:val="00E405BE"/>
    <w:rsid w:val="00E4500A"/>
    <w:rsid w:val="00E521FB"/>
    <w:rsid w:val="00E553A6"/>
    <w:rsid w:val="00E55B76"/>
    <w:rsid w:val="00E60056"/>
    <w:rsid w:val="00E657CB"/>
    <w:rsid w:val="00E7279D"/>
    <w:rsid w:val="00E72E9E"/>
    <w:rsid w:val="00E77B58"/>
    <w:rsid w:val="00E82BF0"/>
    <w:rsid w:val="00E905C4"/>
    <w:rsid w:val="00E9394A"/>
    <w:rsid w:val="00E94835"/>
    <w:rsid w:val="00E96997"/>
    <w:rsid w:val="00EA34E7"/>
    <w:rsid w:val="00EA51BF"/>
    <w:rsid w:val="00EA7B38"/>
    <w:rsid w:val="00EB0E6E"/>
    <w:rsid w:val="00EB63D4"/>
    <w:rsid w:val="00EB7EE1"/>
    <w:rsid w:val="00EC374C"/>
    <w:rsid w:val="00EC5CC8"/>
    <w:rsid w:val="00EC6676"/>
    <w:rsid w:val="00EC66D3"/>
    <w:rsid w:val="00EE18D4"/>
    <w:rsid w:val="00EE264F"/>
    <w:rsid w:val="00EE4508"/>
    <w:rsid w:val="00EE683E"/>
    <w:rsid w:val="00EE6F53"/>
    <w:rsid w:val="00F111C8"/>
    <w:rsid w:val="00F22E59"/>
    <w:rsid w:val="00F2438C"/>
    <w:rsid w:val="00F26A21"/>
    <w:rsid w:val="00F26B5C"/>
    <w:rsid w:val="00F338BB"/>
    <w:rsid w:val="00F33EE1"/>
    <w:rsid w:val="00F42C3D"/>
    <w:rsid w:val="00F43994"/>
    <w:rsid w:val="00F54095"/>
    <w:rsid w:val="00F55A51"/>
    <w:rsid w:val="00F5746B"/>
    <w:rsid w:val="00F57E25"/>
    <w:rsid w:val="00F65D98"/>
    <w:rsid w:val="00F70303"/>
    <w:rsid w:val="00F8091D"/>
    <w:rsid w:val="00F80D76"/>
    <w:rsid w:val="00F81720"/>
    <w:rsid w:val="00F84401"/>
    <w:rsid w:val="00F85639"/>
    <w:rsid w:val="00F86C71"/>
    <w:rsid w:val="00F90B5A"/>
    <w:rsid w:val="00FA18FB"/>
    <w:rsid w:val="00FA1F00"/>
    <w:rsid w:val="00FA7DB3"/>
    <w:rsid w:val="00FA7FAB"/>
    <w:rsid w:val="00FC0C69"/>
    <w:rsid w:val="00FC1EDB"/>
    <w:rsid w:val="00FC1F69"/>
    <w:rsid w:val="00FD11C2"/>
    <w:rsid w:val="00FD3776"/>
    <w:rsid w:val="00FD4D0D"/>
    <w:rsid w:val="00FD60AE"/>
    <w:rsid w:val="00FD6D6E"/>
    <w:rsid w:val="00FE3951"/>
    <w:rsid w:val="00FE4DDD"/>
    <w:rsid w:val="00FF0BA0"/>
    <w:rsid w:val="00FF27E1"/>
    <w:rsid w:val="00FF5897"/>
    <w:rsid w:val="00FF6920"/>
    <w:rsid w:val="00FF7A00"/>
    <w:rsid w:val="025881D4"/>
    <w:rsid w:val="0263A8CA"/>
    <w:rsid w:val="02E638FA"/>
    <w:rsid w:val="02F15F09"/>
    <w:rsid w:val="03359060"/>
    <w:rsid w:val="045DC2AD"/>
    <w:rsid w:val="046DEE8C"/>
    <w:rsid w:val="04EB4E98"/>
    <w:rsid w:val="05873468"/>
    <w:rsid w:val="058A4E93"/>
    <w:rsid w:val="06F8E099"/>
    <w:rsid w:val="072B73F8"/>
    <w:rsid w:val="07C29AED"/>
    <w:rsid w:val="07CE3FD7"/>
    <w:rsid w:val="085D40B1"/>
    <w:rsid w:val="08C19C27"/>
    <w:rsid w:val="0BC77FBC"/>
    <w:rsid w:val="0C7DFD73"/>
    <w:rsid w:val="0D79574F"/>
    <w:rsid w:val="0E086D85"/>
    <w:rsid w:val="0ECDEA95"/>
    <w:rsid w:val="0EFB6851"/>
    <w:rsid w:val="1137DCA4"/>
    <w:rsid w:val="11C8FEB0"/>
    <w:rsid w:val="121C94BD"/>
    <w:rsid w:val="12668854"/>
    <w:rsid w:val="12A51B6F"/>
    <w:rsid w:val="14476E82"/>
    <w:rsid w:val="14AAFA3B"/>
    <w:rsid w:val="14DD1B5F"/>
    <w:rsid w:val="15C5AC21"/>
    <w:rsid w:val="16D6DD83"/>
    <w:rsid w:val="170E981C"/>
    <w:rsid w:val="17CC013C"/>
    <w:rsid w:val="17E0AC3D"/>
    <w:rsid w:val="191ABB52"/>
    <w:rsid w:val="1B53242E"/>
    <w:rsid w:val="1CFB4970"/>
    <w:rsid w:val="1DE6D762"/>
    <w:rsid w:val="1E9719D1"/>
    <w:rsid w:val="20269551"/>
    <w:rsid w:val="21B6AB81"/>
    <w:rsid w:val="21E93C16"/>
    <w:rsid w:val="2320C708"/>
    <w:rsid w:val="23450DB6"/>
    <w:rsid w:val="2402BE54"/>
    <w:rsid w:val="24232C70"/>
    <w:rsid w:val="26149FCB"/>
    <w:rsid w:val="2A686A0E"/>
    <w:rsid w:val="2A71B85A"/>
    <w:rsid w:val="2A73F90E"/>
    <w:rsid w:val="2AD2F0F4"/>
    <w:rsid w:val="2B3202DB"/>
    <w:rsid w:val="2BA7FBE3"/>
    <w:rsid w:val="2C62FE4B"/>
    <w:rsid w:val="2CC19DC7"/>
    <w:rsid w:val="2CF7FD62"/>
    <w:rsid w:val="2D090297"/>
    <w:rsid w:val="2D50E170"/>
    <w:rsid w:val="2D6D021C"/>
    <w:rsid w:val="2DCC8E0C"/>
    <w:rsid w:val="2E068953"/>
    <w:rsid w:val="2E595410"/>
    <w:rsid w:val="2F40AC21"/>
    <w:rsid w:val="2F6C6583"/>
    <w:rsid w:val="31845FF8"/>
    <w:rsid w:val="324E16B2"/>
    <w:rsid w:val="32B0B82D"/>
    <w:rsid w:val="33CDBD69"/>
    <w:rsid w:val="357C6FAC"/>
    <w:rsid w:val="3679C99B"/>
    <w:rsid w:val="37D23D5B"/>
    <w:rsid w:val="38797839"/>
    <w:rsid w:val="387EBF83"/>
    <w:rsid w:val="39493BFA"/>
    <w:rsid w:val="39F68B67"/>
    <w:rsid w:val="3AA0CF1A"/>
    <w:rsid w:val="3AF00B44"/>
    <w:rsid w:val="3BB246F9"/>
    <w:rsid w:val="3BF920BC"/>
    <w:rsid w:val="3C35BFAA"/>
    <w:rsid w:val="3D0087CF"/>
    <w:rsid w:val="3E4284F9"/>
    <w:rsid w:val="3EAF5659"/>
    <w:rsid w:val="3FA25125"/>
    <w:rsid w:val="41762E28"/>
    <w:rsid w:val="41BC8158"/>
    <w:rsid w:val="43BD0ACF"/>
    <w:rsid w:val="4617D68B"/>
    <w:rsid w:val="47010072"/>
    <w:rsid w:val="4778A87C"/>
    <w:rsid w:val="480F44E8"/>
    <w:rsid w:val="49037119"/>
    <w:rsid w:val="4953D95F"/>
    <w:rsid w:val="4A17FB88"/>
    <w:rsid w:val="4A26866F"/>
    <w:rsid w:val="4C6E9E2B"/>
    <w:rsid w:val="4C91D292"/>
    <w:rsid w:val="51C924E2"/>
    <w:rsid w:val="51E35EAC"/>
    <w:rsid w:val="55E00AE4"/>
    <w:rsid w:val="565F4E9E"/>
    <w:rsid w:val="574CA0B6"/>
    <w:rsid w:val="5933F8D6"/>
    <w:rsid w:val="59D864CA"/>
    <w:rsid w:val="5B43E117"/>
    <w:rsid w:val="5BB7FD2A"/>
    <w:rsid w:val="5CBE0EE5"/>
    <w:rsid w:val="5D10EBA2"/>
    <w:rsid w:val="5D51FE26"/>
    <w:rsid w:val="5DBCE3EA"/>
    <w:rsid w:val="5E68E271"/>
    <w:rsid w:val="5F00C06B"/>
    <w:rsid w:val="5F58B44B"/>
    <w:rsid w:val="5F7B74E0"/>
    <w:rsid w:val="600904C9"/>
    <w:rsid w:val="607A0377"/>
    <w:rsid w:val="619FAEB0"/>
    <w:rsid w:val="61D4DEED"/>
    <w:rsid w:val="61F07C65"/>
    <w:rsid w:val="644124BF"/>
    <w:rsid w:val="64F2B0E3"/>
    <w:rsid w:val="66962341"/>
    <w:rsid w:val="6766E2C6"/>
    <w:rsid w:val="67C2646B"/>
    <w:rsid w:val="696D2D42"/>
    <w:rsid w:val="6A26F788"/>
    <w:rsid w:val="6AA3F94C"/>
    <w:rsid w:val="6BC2385A"/>
    <w:rsid w:val="6C4288EA"/>
    <w:rsid w:val="6C7AFF52"/>
    <w:rsid w:val="6E888156"/>
    <w:rsid w:val="6EE85347"/>
    <w:rsid w:val="6FF53E97"/>
    <w:rsid w:val="70AF1D8F"/>
    <w:rsid w:val="70B0D4B0"/>
    <w:rsid w:val="70C4489B"/>
    <w:rsid w:val="7134C8CA"/>
    <w:rsid w:val="71D133EB"/>
    <w:rsid w:val="7263BC08"/>
    <w:rsid w:val="7276B249"/>
    <w:rsid w:val="72F8C1ED"/>
    <w:rsid w:val="73CB997C"/>
    <w:rsid w:val="73E167DA"/>
    <w:rsid w:val="741C3A98"/>
    <w:rsid w:val="747B9470"/>
    <w:rsid w:val="74FFF59E"/>
    <w:rsid w:val="75B75334"/>
    <w:rsid w:val="76012984"/>
    <w:rsid w:val="76204436"/>
    <w:rsid w:val="765190E6"/>
    <w:rsid w:val="770C3646"/>
    <w:rsid w:val="77338A1F"/>
    <w:rsid w:val="7781D780"/>
    <w:rsid w:val="7840756F"/>
    <w:rsid w:val="795007FC"/>
    <w:rsid w:val="79BB3B85"/>
    <w:rsid w:val="79CA8A5C"/>
    <w:rsid w:val="7A50A95E"/>
    <w:rsid w:val="7AF118AE"/>
    <w:rsid w:val="7BE049AA"/>
    <w:rsid w:val="7C305A05"/>
    <w:rsid w:val="7C5986CE"/>
    <w:rsid w:val="7CE2AEBD"/>
    <w:rsid w:val="7D26EAD3"/>
    <w:rsid w:val="7D80F5D0"/>
    <w:rsid w:val="7D9190CC"/>
    <w:rsid w:val="7E01F592"/>
    <w:rsid w:val="7E4EC71B"/>
    <w:rsid w:val="7F8A5189"/>
    <w:rsid w:val="7FB55E4A"/>
    <w:rsid w:val="7FB78907"/>
  </w:rsids>
  <m:mathPr>
    <m:mathFont m:val="Cambria Math"/>
    <m:brkBin m:val="before"/>
    <m:brkBinSub m:val="--"/>
    <m:smallFrac m:val="0"/>
    <m:dispDef/>
    <m:lMargin m:val="0"/>
    <m:rMargin m:val="0"/>
    <m:defJc m:val="centerGroup"/>
    <m:wrapIndent m:val="1440"/>
    <m:intLim m:val="subSup"/>
    <m:naryLim m:val="undOvr"/>
  </m:mathPr>
  <w:themeFontLang w:val="en-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A1DF6"/>
  <w15:docId w15:val="{E2D2570A-4092-4173-8E7E-4E2E240A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266643"/>
    <w:pPr>
      <w:suppressAutoHyphens w:val="0"/>
      <w:spacing w:after="160" w:line="259" w:lineRule="auto"/>
    </w:pPr>
    <w:rPr>
      <w:rFonts w:eastAsiaTheme="minorEastAsia"/>
    </w:rPr>
  </w:style>
  <w:style w:type="paragraph" w:styleId="Heading1">
    <w:name w:val="heading 1"/>
    <w:basedOn w:val="Normal"/>
    <w:next w:val="Normal"/>
    <w:link w:val="Heading1Char"/>
    <w:uiPriority w:val="9"/>
    <w:qFormat/>
    <w:rsid w:val="00266643"/>
    <w:pPr>
      <w:keepNext/>
      <w:keepLines/>
      <w:spacing w:before="240" w:after="0" w:line="360"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2666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6643"/>
    <w:pPr>
      <w:keepNext/>
      <w:keepLines/>
      <w:spacing w:before="260" w:after="260" w:line="415" w:lineRule="auto"/>
      <w:outlineLvl w:val="2"/>
    </w:pPr>
    <w:rPr>
      <w:rFonts w:eastAsia="SimSun"/>
      <w:b/>
      <w:bCs/>
      <w:sz w:val="32"/>
      <w:szCs w:val="32"/>
      <w:lang w:val="en-US"/>
    </w:rPr>
  </w:style>
  <w:style w:type="paragraph" w:styleId="Heading4">
    <w:name w:val="heading 4"/>
    <w:basedOn w:val="Normal"/>
    <w:next w:val="Normal"/>
    <w:link w:val="Heading4Char"/>
    <w:uiPriority w:val="9"/>
    <w:unhideWhenUsed/>
    <w:qFormat/>
    <w:rsid w:val="00266643"/>
    <w:pPr>
      <w:keepNext/>
      <w:keepLines/>
      <w:spacing w:before="40" w:after="0"/>
      <w:ind w:left="864" w:hanging="864"/>
      <w:outlineLvl w:val="3"/>
    </w:pPr>
    <w:rPr>
      <w:rFonts w:asciiTheme="majorHAnsi" w:eastAsiaTheme="majorEastAsia" w:hAnsiTheme="majorHAnsi" w:cstheme="majorBidi"/>
      <w:i/>
      <w:iCs/>
      <w:color w:val="2F5496" w:themeColor="accent1" w:themeShade="BF"/>
      <w:lang w:val="en-US" w:eastAsia="zh-CN"/>
    </w:rPr>
  </w:style>
  <w:style w:type="paragraph" w:styleId="Heading5">
    <w:name w:val="heading 5"/>
    <w:basedOn w:val="Normal"/>
    <w:next w:val="Normal"/>
    <w:link w:val="Heading5Char"/>
    <w:uiPriority w:val="9"/>
    <w:semiHidden/>
    <w:unhideWhenUsed/>
    <w:qFormat/>
    <w:rsid w:val="00266643"/>
    <w:pPr>
      <w:keepNext/>
      <w:keepLines/>
      <w:spacing w:before="40" w:after="0"/>
      <w:ind w:left="1008" w:hanging="1008"/>
      <w:outlineLvl w:val="4"/>
    </w:pPr>
    <w:rPr>
      <w:rFonts w:asciiTheme="majorHAnsi" w:eastAsiaTheme="majorEastAsia" w:hAnsiTheme="majorHAnsi" w:cstheme="majorBidi"/>
      <w:color w:val="2F5496" w:themeColor="accent1" w:themeShade="BF"/>
      <w:lang w:val="en-US" w:eastAsia="zh-CN"/>
    </w:rPr>
  </w:style>
  <w:style w:type="paragraph" w:styleId="Heading6">
    <w:name w:val="heading 6"/>
    <w:basedOn w:val="Normal"/>
    <w:next w:val="Normal"/>
    <w:link w:val="Heading6Char"/>
    <w:uiPriority w:val="9"/>
    <w:semiHidden/>
    <w:unhideWhenUsed/>
    <w:qFormat/>
    <w:rsid w:val="00266643"/>
    <w:pPr>
      <w:keepNext/>
      <w:keepLines/>
      <w:spacing w:before="40" w:after="0"/>
      <w:ind w:left="1152" w:hanging="1152"/>
      <w:outlineLvl w:val="5"/>
    </w:pPr>
    <w:rPr>
      <w:rFonts w:asciiTheme="majorHAnsi" w:eastAsiaTheme="majorEastAsia" w:hAnsiTheme="majorHAnsi" w:cstheme="majorBidi"/>
      <w:color w:val="1F3763" w:themeColor="accent1" w:themeShade="7F"/>
      <w:lang w:val="en-US" w:eastAsia="zh-CN"/>
    </w:rPr>
  </w:style>
  <w:style w:type="paragraph" w:styleId="Heading7">
    <w:name w:val="heading 7"/>
    <w:basedOn w:val="Normal"/>
    <w:next w:val="Normal"/>
    <w:link w:val="Heading7Char"/>
    <w:uiPriority w:val="9"/>
    <w:semiHidden/>
    <w:unhideWhenUsed/>
    <w:qFormat/>
    <w:rsid w:val="00266643"/>
    <w:pPr>
      <w:keepNext/>
      <w:keepLines/>
      <w:spacing w:before="40" w:after="0"/>
      <w:ind w:left="1296" w:hanging="1296"/>
      <w:outlineLvl w:val="6"/>
    </w:pPr>
    <w:rPr>
      <w:rFonts w:asciiTheme="majorHAnsi" w:eastAsiaTheme="majorEastAsia" w:hAnsiTheme="majorHAnsi" w:cstheme="majorBidi"/>
      <w:i/>
      <w:iCs/>
      <w:color w:val="1F3763" w:themeColor="accent1" w:themeShade="7F"/>
      <w:lang w:val="en-US" w:eastAsia="zh-CN"/>
    </w:rPr>
  </w:style>
  <w:style w:type="paragraph" w:styleId="Heading8">
    <w:name w:val="heading 8"/>
    <w:basedOn w:val="Normal"/>
    <w:next w:val="Normal"/>
    <w:link w:val="Heading8Char"/>
    <w:uiPriority w:val="9"/>
    <w:semiHidden/>
    <w:unhideWhenUsed/>
    <w:qFormat/>
    <w:rsid w:val="0026664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lang w:val="en-US" w:eastAsia="zh-CN"/>
    </w:rPr>
  </w:style>
  <w:style w:type="paragraph" w:styleId="Heading9">
    <w:name w:val="heading 9"/>
    <w:basedOn w:val="Normal"/>
    <w:next w:val="Normal"/>
    <w:link w:val="Heading9Char"/>
    <w:uiPriority w:val="9"/>
    <w:semiHidden/>
    <w:unhideWhenUsed/>
    <w:qFormat/>
    <w:rsid w:val="0026664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9A5784"/>
    <w:rPr>
      <w:sz w:val="16"/>
      <w:szCs w:val="16"/>
    </w:rPr>
  </w:style>
  <w:style w:type="character" w:customStyle="1" w:styleId="CommentTextChar">
    <w:name w:val="Comment Text Char"/>
    <w:basedOn w:val="DefaultParagraphFont"/>
    <w:link w:val="CommentText"/>
    <w:uiPriority w:val="99"/>
    <w:qFormat/>
    <w:rsid w:val="009A5784"/>
    <w:rPr>
      <w:sz w:val="20"/>
      <w:szCs w:val="20"/>
    </w:rPr>
  </w:style>
  <w:style w:type="character" w:customStyle="1" w:styleId="CommentSubjectChar">
    <w:name w:val="Comment Subject Char"/>
    <w:basedOn w:val="CommentTextChar"/>
    <w:link w:val="CommentSubject"/>
    <w:uiPriority w:val="99"/>
    <w:semiHidden/>
    <w:qFormat/>
    <w:rsid w:val="009A5784"/>
    <w:rPr>
      <w:b/>
      <w:bCs/>
      <w:sz w:val="20"/>
      <w:szCs w:val="20"/>
    </w:rPr>
  </w:style>
  <w:style w:type="character" w:customStyle="1" w:styleId="BalloonTextChar">
    <w:name w:val="Balloon Text Char"/>
    <w:basedOn w:val="DefaultParagraphFont"/>
    <w:link w:val="BalloonText"/>
    <w:uiPriority w:val="99"/>
    <w:semiHidden/>
    <w:qFormat/>
    <w:rsid w:val="009A5784"/>
    <w:rPr>
      <w:rFonts w:ascii="Segoe UI" w:eastAsiaTheme="minorEastAsia" w:hAnsi="Segoe UI" w:cs="Segoe UI"/>
      <w:sz w:val="18"/>
      <w:szCs w:val="18"/>
    </w:rPr>
  </w:style>
  <w:style w:type="character" w:customStyle="1" w:styleId="Heading1Char">
    <w:name w:val="Heading 1 Char"/>
    <w:basedOn w:val="DefaultParagraphFont"/>
    <w:link w:val="Heading1"/>
    <w:uiPriority w:val="9"/>
    <w:qFormat/>
    <w:rsid w:val="005015A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qFormat/>
    <w:rsid w:val="005015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5015AE"/>
    <w:rPr>
      <w:rFonts w:eastAsia="SimSun"/>
      <w:b/>
      <w:bCs/>
      <w:sz w:val="32"/>
      <w:szCs w:val="32"/>
      <w:lang w:val="en-US"/>
    </w:rPr>
  </w:style>
  <w:style w:type="character" w:customStyle="1" w:styleId="Heading4Char">
    <w:name w:val="Heading 4 Char"/>
    <w:basedOn w:val="DefaultParagraphFont"/>
    <w:link w:val="Heading4"/>
    <w:uiPriority w:val="9"/>
    <w:qFormat/>
    <w:rsid w:val="005015AE"/>
    <w:rPr>
      <w:rFonts w:asciiTheme="majorHAnsi" w:eastAsiaTheme="majorEastAsia" w:hAnsiTheme="majorHAnsi" w:cstheme="majorBidi"/>
      <w:i/>
      <w:iCs/>
      <w:color w:val="2F5496" w:themeColor="accent1" w:themeShade="BF"/>
      <w:lang w:val="en-US" w:eastAsia="zh-CN"/>
    </w:rPr>
  </w:style>
  <w:style w:type="character" w:customStyle="1" w:styleId="Heading5Char">
    <w:name w:val="Heading 5 Char"/>
    <w:basedOn w:val="DefaultParagraphFont"/>
    <w:link w:val="Heading5"/>
    <w:uiPriority w:val="9"/>
    <w:semiHidden/>
    <w:qFormat/>
    <w:rsid w:val="005015AE"/>
    <w:rPr>
      <w:rFonts w:asciiTheme="majorHAnsi" w:eastAsiaTheme="majorEastAsia" w:hAnsiTheme="majorHAnsi" w:cstheme="majorBidi"/>
      <w:color w:val="2F5496" w:themeColor="accent1" w:themeShade="BF"/>
      <w:lang w:val="en-US" w:eastAsia="zh-CN"/>
    </w:rPr>
  </w:style>
  <w:style w:type="character" w:customStyle="1" w:styleId="Heading6Char">
    <w:name w:val="Heading 6 Char"/>
    <w:basedOn w:val="DefaultParagraphFont"/>
    <w:link w:val="Heading6"/>
    <w:uiPriority w:val="9"/>
    <w:semiHidden/>
    <w:qFormat/>
    <w:rsid w:val="005015AE"/>
    <w:rPr>
      <w:rFonts w:asciiTheme="majorHAnsi" w:eastAsiaTheme="majorEastAsia" w:hAnsiTheme="majorHAnsi" w:cstheme="majorBidi"/>
      <w:color w:val="1F3763" w:themeColor="accent1" w:themeShade="7F"/>
      <w:lang w:val="en-US" w:eastAsia="zh-CN"/>
    </w:rPr>
  </w:style>
  <w:style w:type="character" w:customStyle="1" w:styleId="Heading7Char">
    <w:name w:val="Heading 7 Char"/>
    <w:basedOn w:val="DefaultParagraphFont"/>
    <w:link w:val="Heading7"/>
    <w:uiPriority w:val="9"/>
    <w:semiHidden/>
    <w:qFormat/>
    <w:rsid w:val="005015AE"/>
    <w:rPr>
      <w:rFonts w:asciiTheme="majorHAnsi" w:eastAsiaTheme="majorEastAsia" w:hAnsiTheme="majorHAnsi" w:cstheme="majorBidi"/>
      <w:i/>
      <w:iCs/>
      <w:color w:val="1F3763" w:themeColor="accent1" w:themeShade="7F"/>
      <w:lang w:val="en-US" w:eastAsia="zh-CN"/>
    </w:rPr>
  </w:style>
  <w:style w:type="character" w:customStyle="1" w:styleId="Heading8Char">
    <w:name w:val="Heading 8 Char"/>
    <w:basedOn w:val="DefaultParagraphFont"/>
    <w:link w:val="Heading8"/>
    <w:uiPriority w:val="9"/>
    <w:semiHidden/>
    <w:qFormat/>
    <w:rsid w:val="005015AE"/>
    <w:rPr>
      <w:rFonts w:asciiTheme="majorHAnsi" w:eastAsiaTheme="majorEastAsia" w:hAnsiTheme="majorHAnsi" w:cstheme="majorBidi"/>
      <w:color w:val="272727" w:themeColor="text1" w:themeTint="D8"/>
      <w:sz w:val="21"/>
      <w:szCs w:val="21"/>
      <w:lang w:val="en-US" w:eastAsia="zh-CN"/>
    </w:rPr>
  </w:style>
  <w:style w:type="character" w:customStyle="1" w:styleId="Heading9Char">
    <w:name w:val="Heading 9 Char"/>
    <w:basedOn w:val="DefaultParagraphFont"/>
    <w:link w:val="Heading9"/>
    <w:uiPriority w:val="9"/>
    <w:semiHidden/>
    <w:qFormat/>
    <w:rsid w:val="005015AE"/>
    <w:rPr>
      <w:rFonts w:asciiTheme="majorHAnsi" w:eastAsiaTheme="majorEastAsia" w:hAnsiTheme="majorHAnsi" w:cstheme="majorBidi"/>
      <w:i/>
      <w:iCs/>
      <w:color w:val="272727" w:themeColor="text1" w:themeTint="D8"/>
      <w:sz w:val="21"/>
      <w:szCs w:val="21"/>
      <w:lang w:val="en-US" w:eastAsia="zh-CN"/>
    </w:rPr>
  </w:style>
  <w:style w:type="character" w:customStyle="1" w:styleId="HeaderChar">
    <w:name w:val="Header Char"/>
    <w:basedOn w:val="DefaultParagraphFont"/>
    <w:link w:val="Header"/>
    <w:uiPriority w:val="99"/>
    <w:qFormat/>
    <w:rsid w:val="00A42201"/>
    <w:rPr>
      <w:rFonts w:eastAsiaTheme="minorEastAsia"/>
      <w:sz w:val="18"/>
      <w:szCs w:val="18"/>
    </w:rPr>
  </w:style>
  <w:style w:type="character" w:customStyle="1" w:styleId="FooterChar">
    <w:name w:val="Footer Char"/>
    <w:basedOn w:val="DefaultParagraphFont"/>
    <w:link w:val="Footer"/>
    <w:uiPriority w:val="99"/>
    <w:qFormat/>
    <w:rsid w:val="00A42201"/>
    <w:rPr>
      <w:rFonts w:eastAsiaTheme="minorEastAsia"/>
      <w:sz w:val="18"/>
      <w:szCs w:val="18"/>
    </w:rPr>
  </w:style>
  <w:style w:type="character" w:customStyle="1" w:styleId="cit-title">
    <w:name w:val="cit-title"/>
    <w:basedOn w:val="DefaultParagraphFont"/>
    <w:rsid w:val="00A42201"/>
  </w:style>
  <w:style w:type="character" w:customStyle="1" w:styleId="cit-year-info">
    <w:name w:val="cit-year-info"/>
    <w:basedOn w:val="DefaultParagraphFont"/>
    <w:rsid w:val="00A42201"/>
  </w:style>
  <w:style w:type="character" w:customStyle="1" w:styleId="cit-volume">
    <w:name w:val="cit-volume"/>
    <w:basedOn w:val="DefaultParagraphFont"/>
    <w:rsid w:val="00A42201"/>
  </w:style>
  <w:style w:type="character" w:customStyle="1" w:styleId="cit-issue">
    <w:name w:val="cit-issue"/>
    <w:basedOn w:val="DefaultParagraphFont"/>
    <w:rsid w:val="00A42201"/>
  </w:style>
  <w:style w:type="character" w:customStyle="1" w:styleId="cit-pagerange">
    <w:name w:val="cit-pagerange"/>
    <w:basedOn w:val="DefaultParagraphFont"/>
    <w:rsid w:val="00A42201"/>
  </w:style>
  <w:style w:type="character" w:styleId="Hyperlink">
    <w:name w:val="Hyperlink"/>
    <w:basedOn w:val="DefaultParagraphFont"/>
    <w:uiPriority w:val="99"/>
    <w:unhideWhenUsed/>
    <w:rsid w:val="00A42201"/>
    <w:rPr>
      <w:color w:val="0000FF"/>
      <w:u w:val="single"/>
    </w:rPr>
  </w:style>
  <w:style w:type="character" w:customStyle="1" w:styleId="FNBChar">
    <w:name w:val="FNB Char"/>
    <w:link w:val="FNB"/>
    <w:qFormat/>
    <w:rsid w:val="00A42201"/>
    <w:rPr>
      <w:rFonts w:ascii="Times" w:eastAsia="MS Mincho" w:hAnsi="Times" w:cs="Times New Roman"/>
      <w:sz w:val="14"/>
      <w:szCs w:val="3276"/>
      <w:lang w:val="en-GB" w:eastAsia="de-DE"/>
    </w:rPr>
  </w:style>
  <w:style w:type="character" w:customStyle="1" w:styleId="FootnoteTextChar">
    <w:name w:val="Footnote Text Char"/>
    <w:basedOn w:val="DefaultParagraphFont"/>
    <w:link w:val="FootnoteText"/>
    <w:semiHidden/>
    <w:qFormat/>
    <w:rsid w:val="00A42201"/>
    <w:rPr>
      <w:rFonts w:ascii="Times New Roman" w:eastAsia="Times New Roman" w:hAnsi="Times New Roman" w:cs="Times New Roman"/>
      <w:sz w:val="20"/>
      <w:szCs w:val="20"/>
      <w:lang w:val="en-GB" w:eastAsia="ro-RO"/>
    </w:rPr>
  </w:style>
  <w:style w:type="character" w:customStyle="1" w:styleId="STOEChar1">
    <w:name w:val="STOE Char1"/>
    <w:link w:val="STOE"/>
    <w:qFormat/>
    <w:rsid w:val="00A42201"/>
    <w:rPr>
      <w:rFonts w:ascii="Times" w:eastAsia="MS Mincho" w:hAnsi="Times" w:cs="Times New Roman"/>
      <w:sz w:val="18"/>
      <w:szCs w:val="3276"/>
      <w:lang w:val="en-GB" w:eastAsia="de-DE"/>
    </w:rPr>
  </w:style>
  <w:style w:type="character" w:customStyle="1" w:styleId="MainTextChar">
    <w:name w:val="Main Text Char"/>
    <w:link w:val="MainText"/>
    <w:qFormat/>
    <w:rsid w:val="00A42201"/>
    <w:rPr>
      <w:rFonts w:ascii="Times New Roman" w:eastAsia="MS Mincho" w:hAnsi="Times New Roman" w:cs="Times New Roman"/>
      <w:sz w:val="24"/>
      <w:szCs w:val="24"/>
      <w:lang w:val="en-US" w:eastAsia="ja-JP"/>
    </w:rPr>
  </w:style>
  <w:style w:type="character" w:customStyle="1" w:styleId="ExperimentalTextChar">
    <w:name w:val="Experimental Text Char"/>
    <w:link w:val="ExperimentalText"/>
    <w:qFormat/>
    <w:rsid w:val="00A42201"/>
    <w:rPr>
      <w:rFonts w:ascii="Times New Roman" w:eastAsia="MS Mincho" w:hAnsi="Times New Roman" w:cs="Times New Roman"/>
      <w:sz w:val="24"/>
      <w:szCs w:val="24"/>
      <w:lang w:val="en-US" w:eastAsia="ja-JP"/>
    </w:rPr>
  </w:style>
  <w:style w:type="character" w:customStyle="1" w:styleId="MaintextChar0">
    <w:name w:val="Main text Char"/>
    <w:link w:val="Maintext0"/>
    <w:qFormat/>
    <w:rsid w:val="00A42201"/>
    <w:rPr>
      <w:rFonts w:ascii="Times New Roman" w:eastAsia="MS Mincho" w:hAnsi="Times New Roman" w:cs="Times New Roman"/>
      <w:sz w:val="24"/>
      <w:szCs w:val="24"/>
      <w:lang w:val="en-US" w:eastAsia="ja-JP"/>
    </w:rPr>
  </w:style>
  <w:style w:type="character" w:customStyle="1" w:styleId="a">
    <w:name w:val="_"/>
    <w:basedOn w:val="DefaultParagraphFont"/>
    <w:rsid w:val="00A42201"/>
  </w:style>
  <w:style w:type="character" w:customStyle="1" w:styleId="ff9">
    <w:name w:val="ff9"/>
    <w:basedOn w:val="DefaultParagraphFont"/>
    <w:rsid w:val="00A42201"/>
  </w:style>
  <w:style w:type="character" w:customStyle="1" w:styleId="ls36">
    <w:name w:val="ls36"/>
    <w:basedOn w:val="DefaultParagraphFont"/>
    <w:rsid w:val="00A42201"/>
  </w:style>
  <w:style w:type="character" w:customStyle="1" w:styleId="ls1">
    <w:name w:val="ls1"/>
    <w:basedOn w:val="DefaultParagraphFont"/>
    <w:rsid w:val="00A42201"/>
  </w:style>
  <w:style w:type="character" w:customStyle="1" w:styleId="ffa">
    <w:name w:val="ffa"/>
    <w:basedOn w:val="DefaultParagraphFont"/>
    <w:rsid w:val="00A42201"/>
  </w:style>
  <w:style w:type="character" w:customStyle="1" w:styleId="ff6">
    <w:name w:val="ff6"/>
    <w:basedOn w:val="DefaultParagraphFont"/>
    <w:rsid w:val="00A42201"/>
  </w:style>
  <w:style w:type="character" w:customStyle="1" w:styleId="ls37">
    <w:name w:val="ls37"/>
    <w:basedOn w:val="DefaultParagraphFont"/>
    <w:rsid w:val="00A42201"/>
  </w:style>
  <w:style w:type="character" w:customStyle="1" w:styleId="ff7">
    <w:name w:val="ff7"/>
    <w:basedOn w:val="DefaultParagraphFont"/>
    <w:rsid w:val="00A42201"/>
  </w:style>
  <w:style w:type="character" w:customStyle="1" w:styleId="fsb">
    <w:name w:val="fsb"/>
    <w:basedOn w:val="DefaultParagraphFont"/>
    <w:rsid w:val="00A42201"/>
  </w:style>
  <w:style w:type="character" w:customStyle="1" w:styleId="ls39">
    <w:name w:val="ls39"/>
    <w:basedOn w:val="DefaultParagraphFont"/>
    <w:rsid w:val="00A42201"/>
  </w:style>
  <w:style w:type="character" w:customStyle="1" w:styleId="ls38">
    <w:name w:val="ls38"/>
    <w:basedOn w:val="DefaultParagraphFont"/>
    <w:rsid w:val="00A42201"/>
  </w:style>
  <w:style w:type="character" w:customStyle="1" w:styleId="ls3a">
    <w:name w:val="ls3a"/>
    <w:basedOn w:val="DefaultParagraphFont"/>
    <w:rsid w:val="00A42201"/>
  </w:style>
  <w:style w:type="character" w:customStyle="1" w:styleId="ls3b">
    <w:name w:val="ls3b"/>
    <w:basedOn w:val="DefaultParagraphFont"/>
    <w:rsid w:val="00A42201"/>
  </w:style>
  <w:style w:type="character" w:customStyle="1" w:styleId="ls3c">
    <w:name w:val="ls3c"/>
    <w:basedOn w:val="DefaultParagraphFont"/>
    <w:rsid w:val="00A42201"/>
  </w:style>
  <w:style w:type="character" w:customStyle="1" w:styleId="ls3d">
    <w:name w:val="ls3d"/>
    <w:basedOn w:val="DefaultParagraphFont"/>
    <w:rsid w:val="00A42201"/>
  </w:style>
  <w:style w:type="character" w:customStyle="1" w:styleId="ls3e">
    <w:name w:val="ls3e"/>
    <w:basedOn w:val="DefaultParagraphFont"/>
    <w:rsid w:val="00A42201"/>
  </w:style>
  <w:style w:type="character" w:customStyle="1" w:styleId="lsb">
    <w:name w:val="lsb"/>
    <w:basedOn w:val="DefaultParagraphFont"/>
    <w:rsid w:val="00A42201"/>
  </w:style>
  <w:style w:type="character" w:customStyle="1" w:styleId="ls3f">
    <w:name w:val="ls3f"/>
    <w:basedOn w:val="DefaultParagraphFont"/>
    <w:rsid w:val="00A42201"/>
  </w:style>
  <w:style w:type="character" w:customStyle="1" w:styleId="ls40">
    <w:name w:val="ls40"/>
    <w:basedOn w:val="DefaultParagraphFont"/>
    <w:rsid w:val="00A42201"/>
  </w:style>
  <w:style w:type="character" w:customStyle="1" w:styleId="ls31">
    <w:name w:val="ls31"/>
    <w:basedOn w:val="DefaultParagraphFont"/>
    <w:rsid w:val="00A42201"/>
  </w:style>
  <w:style w:type="character" w:customStyle="1" w:styleId="identifier">
    <w:name w:val="identifier"/>
    <w:basedOn w:val="DefaultParagraphFont"/>
    <w:rsid w:val="00A42201"/>
  </w:style>
  <w:style w:type="character" w:styleId="Emphasis">
    <w:name w:val="Emphasis"/>
    <w:basedOn w:val="DefaultParagraphFont"/>
    <w:uiPriority w:val="20"/>
    <w:qFormat/>
    <w:rsid w:val="00A42201"/>
    <w:rPr>
      <w:i/>
      <w:iCs/>
    </w:rPr>
  </w:style>
  <w:style w:type="character" w:customStyle="1" w:styleId="BodyTextChar">
    <w:name w:val="Body Text Char"/>
    <w:basedOn w:val="DefaultParagraphFont"/>
    <w:link w:val="BodyText"/>
    <w:uiPriority w:val="1"/>
    <w:qFormat/>
    <w:rsid w:val="00A42201"/>
    <w:rPr>
      <w:rFonts w:ascii="Arial" w:hAnsi="Arial" w:cs="Arial"/>
      <w:b/>
      <w:bCs/>
      <w:kern w:val="2"/>
      <w:sz w:val="20"/>
      <w:szCs w:val="20"/>
      <w:lang w:val="fr-CH" w:eastAsia="fr-CH"/>
      <w14:ligatures w14:val="standardContextual"/>
    </w:rPr>
  </w:style>
  <w:style w:type="character" w:customStyle="1" w:styleId="Internet">
    <w:name w:val="Internet 链接"/>
    <w:basedOn w:val="DefaultParagraphFont"/>
    <w:uiPriority w:val="99"/>
    <w:unhideWhenUsed/>
    <w:rsid w:val="00A42201"/>
    <w:rPr>
      <w:color w:val="0563C1" w:themeColor="hyperlink"/>
      <w:u w:val="single"/>
    </w:rPr>
  </w:style>
  <w:style w:type="character" w:styleId="UnresolvedMention">
    <w:name w:val="Unresolved Mention"/>
    <w:basedOn w:val="DefaultParagraphFont"/>
    <w:uiPriority w:val="99"/>
    <w:semiHidden/>
    <w:unhideWhenUsed/>
    <w:qFormat/>
    <w:rsid w:val="00A42201"/>
    <w:rPr>
      <w:color w:val="605E5C"/>
      <w:shd w:val="clear" w:color="auto" w:fill="E1DFDD"/>
    </w:rPr>
  </w:style>
  <w:style w:type="character" w:customStyle="1" w:styleId="1">
    <w:name w:val="行号1"/>
    <w:rsid w:val="00A42201"/>
  </w:style>
  <w:style w:type="character" w:customStyle="1" w:styleId="BodyTextChar1">
    <w:name w:val="Body Text Char1"/>
    <w:basedOn w:val="DefaultParagraphFont"/>
    <w:uiPriority w:val="99"/>
    <w:semiHidden/>
    <w:rsid w:val="00A42201"/>
  </w:style>
  <w:style w:type="character" w:styleId="Strong">
    <w:name w:val="Strong"/>
    <w:basedOn w:val="DefaultParagraphFont"/>
    <w:uiPriority w:val="22"/>
    <w:qFormat/>
    <w:rsid w:val="00A42201"/>
    <w:rPr>
      <w:b/>
      <w:bCs/>
    </w:rPr>
  </w:style>
  <w:style w:type="character" w:styleId="PlaceholderText">
    <w:name w:val="Placeholder Text"/>
    <w:basedOn w:val="DefaultParagraphFont"/>
    <w:uiPriority w:val="99"/>
    <w:semiHidden/>
    <w:qFormat/>
    <w:rsid w:val="00A42201"/>
    <w:rPr>
      <w:color w:val="808080"/>
    </w:rPr>
  </w:style>
  <w:style w:type="character" w:customStyle="1" w:styleId="conrtib-corresp">
    <w:name w:val="conrtib-corresp"/>
    <w:basedOn w:val="DefaultParagraphFont"/>
    <w:rsid w:val="00A42201"/>
  </w:style>
  <w:style w:type="character" w:styleId="SubtleEmphasis">
    <w:name w:val="Subtle Emphasis"/>
    <w:basedOn w:val="DefaultParagraphFont"/>
    <w:uiPriority w:val="19"/>
    <w:qFormat/>
    <w:rsid w:val="00A42201"/>
    <w:rPr>
      <w:i/>
      <w:iCs/>
      <w:color w:val="404040" w:themeColor="text1" w:themeTint="BF"/>
    </w:rPr>
  </w:style>
  <w:style w:type="character" w:styleId="FollowedHyperlink">
    <w:name w:val="FollowedHyperlink"/>
    <w:basedOn w:val="DefaultParagraphFont"/>
    <w:uiPriority w:val="99"/>
    <w:semiHidden/>
    <w:unhideWhenUsed/>
    <w:rsid w:val="00A42201"/>
    <w:rPr>
      <w:color w:val="954F72" w:themeColor="followedHyperlink"/>
      <w:u w:val="single"/>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Noto Sans"/>
      <w:sz w:val="28"/>
      <w:szCs w:val="28"/>
    </w:rPr>
  </w:style>
  <w:style w:type="paragraph" w:styleId="BodyText">
    <w:name w:val="Body Text"/>
    <w:basedOn w:val="Normal"/>
    <w:link w:val="BodyTextChar"/>
    <w:uiPriority w:val="1"/>
    <w:qFormat/>
    <w:rsid w:val="00266643"/>
    <w:pPr>
      <w:widowControl w:val="0"/>
      <w:suppressAutoHyphens/>
      <w:spacing w:before="108" w:after="0" w:line="240" w:lineRule="auto"/>
      <w:ind w:left="280"/>
    </w:pPr>
    <w:rPr>
      <w:rFonts w:ascii="Arial" w:eastAsiaTheme="minorHAnsi" w:hAnsi="Arial" w:cs="Arial"/>
      <w:b/>
      <w:bCs/>
      <w:kern w:val="2"/>
      <w:sz w:val="20"/>
      <w:szCs w:val="20"/>
      <w:lang w:val="fr-CH" w:eastAsia="fr-CH"/>
      <w14:ligatures w14:val="standardContextual"/>
    </w:rPr>
  </w:style>
  <w:style w:type="paragraph" w:styleId="List">
    <w:name w:val="List"/>
    <w:basedOn w:val="BodyText"/>
    <w:rsid w:val="00A42201"/>
    <w:rPr>
      <w:rFonts w:cs="Arial Unicode MS"/>
    </w:rPr>
  </w:style>
  <w:style w:type="paragraph" w:styleId="Caption">
    <w:name w:val="caption"/>
    <w:basedOn w:val="Normal"/>
    <w:qFormat/>
    <w:rsid w:val="00A42201"/>
    <w:pPr>
      <w:suppressLineNumbers/>
      <w:suppressAutoHyphens/>
      <w:spacing w:before="120" w:after="120" w:line="360" w:lineRule="auto"/>
    </w:pPr>
    <w:rPr>
      <w:rFonts w:cs="Arial Unicode MS"/>
      <w:i/>
      <w:iCs/>
      <w:sz w:val="24"/>
      <w:szCs w:val="24"/>
      <w:lang w:val="en-US"/>
    </w:rPr>
  </w:style>
  <w:style w:type="paragraph" w:customStyle="1" w:styleId="Index">
    <w:name w:val="Index"/>
    <w:basedOn w:val="Normal"/>
    <w:qFormat/>
    <w:pPr>
      <w:suppressLineNumbers/>
    </w:pPr>
    <w:rPr>
      <w:rFonts w:cs="Noto Sans"/>
    </w:rPr>
  </w:style>
  <w:style w:type="paragraph" w:styleId="Bibliography">
    <w:name w:val="Bibliography"/>
    <w:basedOn w:val="Normal"/>
    <w:next w:val="Normal"/>
    <w:uiPriority w:val="37"/>
    <w:unhideWhenUsed/>
    <w:qFormat/>
    <w:rsid w:val="00266643"/>
    <w:pPr>
      <w:tabs>
        <w:tab w:val="left" w:pos="744"/>
      </w:tabs>
      <w:spacing w:after="0" w:line="240" w:lineRule="auto"/>
      <w:ind w:left="744" w:hanging="744"/>
    </w:pPr>
    <w:rPr>
      <w:lang w:val="en-US"/>
    </w:rPr>
  </w:style>
  <w:style w:type="paragraph" w:styleId="ListParagraph">
    <w:name w:val="List Paragraph"/>
    <w:basedOn w:val="Normal"/>
    <w:uiPriority w:val="34"/>
    <w:qFormat/>
    <w:rsid w:val="0066443E"/>
    <w:pPr>
      <w:ind w:left="720"/>
      <w:contextualSpacing/>
    </w:pPr>
  </w:style>
  <w:style w:type="paragraph" w:styleId="CommentText">
    <w:name w:val="annotation text"/>
    <w:basedOn w:val="Normal"/>
    <w:link w:val="CommentTextChar"/>
    <w:uiPriority w:val="99"/>
    <w:unhideWhenUsed/>
    <w:qFormat/>
    <w:rsid w:val="009A578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A5784"/>
    <w:rPr>
      <w:b/>
      <w:bCs/>
    </w:rPr>
  </w:style>
  <w:style w:type="paragraph" w:styleId="BalloonText">
    <w:name w:val="Balloon Text"/>
    <w:basedOn w:val="Normal"/>
    <w:link w:val="BalloonTextChar"/>
    <w:uiPriority w:val="99"/>
    <w:semiHidden/>
    <w:unhideWhenUsed/>
    <w:qFormat/>
    <w:rsid w:val="009A5784"/>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6643"/>
    <w:pPr>
      <w:pBdr>
        <w:bottom w:val="single" w:sz="6" w:space="1" w:color="auto"/>
      </w:pBdr>
      <w:tabs>
        <w:tab w:val="center" w:pos="4153"/>
        <w:tab w:val="right" w:pos="8306"/>
      </w:tabs>
      <w:snapToGrid w:val="0"/>
      <w:spacing w:line="240" w:lineRule="auto"/>
      <w:jc w:val="center"/>
    </w:pPr>
    <w:rPr>
      <w:sz w:val="18"/>
      <w:szCs w:val="18"/>
    </w:rPr>
  </w:style>
  <w:style w:type="paragraph" w:styleId="Footer">
    <w:name w:val="footer"/>
    <w:basedOn w:val="Normal"/>
    <w:link w:val="FooterChar"/>
    <w:uiPriority w:val="99"/>
    <w:unhideWhenUsed/>
    <w:rsid w:val="00266643"/>
    <w:pPr>
      <w:tabs>
        <w:tab w:val="center" w:pos="4153"/>
        <w:tab w:val="right" w:pos="8306"/>
      </w:tabs>
      <w:snapToGrid w:val="0"/>
      <w:spacing w:line="240" w:lineRule="auto"/>
    </w:pPr>
    <w:rPr>
      <w:sz w:val="18"/>
      <w:szCs w:val="18"/>
    </w:rPr>
  </w:style>
  <w:style w:type="paragraph" w:styleId="Revision">
    <w:name w:val="Revision"/>
    <w:hidden/>
    <w:uiPriority w:val="99"/>
    <w:semiHidden/>
    <w:qFormat/>
    <w:rsid w:val="00266643"/>
    <w:pPr>
      <w:suppressAutoHyphens w:val="0"/>
    </w:pPr>
    <w:rPr>
      <w:rFonts w:eastAsiaTheme="minorEastAsia"/>
    </w:rPr>
  </w:style>
  <w:style w:type="paragraph" w:customStyle="1" w:styleId="dates">
    <w:name w:val="dates"/>
    <w:basedOn w:val="Normal"/>
    <w:rsid w:val="00A42201"/>
    <w:pPr>
      <w:spacing w:after="0" w:line="240" w:lineRule="auto"/>
      <w:jc w:val="right"/>
    </w:pPr>
    <w:rPr>
      <w:rFonts w:ascii="Times New Roman" w:eastAsia="MS Mincho" w:hAnsi="Times New Roman" w:cs="Times New Roman"/>
      <w:sz w:val="24"/>
      <w:szCs w:val="24"/>
      <w:lang w:val="en-US" w:eastAsia="ja-JP"/>
    </w:rPr>
  </w:style>
  <w:style w:type="paragraph" w:customStyle="1" w:styleId="History">
    <w:name w:val="History"/>
    <w:basedOn w:val="Normal"/>
    <w:rsid w:val="00A42201"/>
    <w:pPr>
      <w:spacing w:before="230" w:after="460" w:line="180" w:lineRule="exact"/>
      <w:jc w:val="right"/>
    </w:pPr>
    <w:rPr>
      <w:rFonts w:ascii="Arial" w:eastAsia="MS Mincho" w:hAnsi="Arial" w:cs="Times New Roman"/>
      <w:sz w:val="14"/>
      <w:szCs w:val="16"/>
      <w:lang w:val="en-US" w:eastAsia="ja-JP"/>
    </w:rPr>
  </w:style>
  <w:style w:type="paragraph" w:customStyle="1" w:styleId="References">
    <w:name w:val="References"/>
    <w:basedOn w:val="Normal"/>
    <w:rsid w:val="00A42201"/>
    <w:pPr>
      <w:spacing w:after="0" w:line="200" w:lineRule="exact"/>
      <w:ind w:left="425" w:hanging="425"/>
      <w:jc w:val="both"/>
    </w:pPr>
    <w:rPr>
      <w:rFonts w:ascii="Times New Roman" w:eastAsia="MS Mincho" w:hAnsi="Times New Roman" w:cs="Times New Roman"/>
      <w:sz w:val="15"/>
      <w:szCs w:val="14"/>
      <w:lang w:val="en-GB" w:eastAsia="ja-JP"/>
    </w:rPr>
  </w:style>
  <w:style w:type="paragraph" w:customStyle="1" w:styleId="HExperimentalSection">
    <w:name w:val="HExperimental_Section"/>
    <w:basedOn w:val="Normal"/>
    <w:rsid w:val="00A42201"/>
    <w:pPr>
      <w:spacing w:before="460" w:after="230" w:line="230" w:lineRule="atLeast"/>
    </w:pPr>
    <w:rPr>
      <w:rFonts w:ascii="Times New Roman" w:eastAsia="MS Mincho" w:hAnsi="Times New Roman" w:cs="Times New Roman"/>
      <w:i/>
      <w:sz w:val="24"/>
      <w:szCs w:val="20"/>
      <w:lang w:val="en-US" w:eastAsia="ja-JP"/>
    </w:rPr>
  </w:style>
  <w:style w:type="paragraph" w:customStyle="1" w:styleId="ExperimentalSection">
    <w:name w:val="ExperimentalSection"/>
    <w:basedOn w:val="Normal"/>
    <w:rsid w:val="00A42201"/>
    <w:pPr>
      <w:spacing w:after="240" w:line="200" w:lineRule="exact"/>
      <w:ind w:firstLine="170"/>
      <w:jc w:val="both"/>
    </w:pPr>
    <w:rPr>
      <w:rFonts w:ascii="Times New Roman" w:eastAsia="MS Mincho" w:hAnsi="Times New Roman" w:cs="Times New Roman"/>
      <w:sz w:val="16"/>
      <w:szCs w:val="14"/>
      <w:lang w:val="en-GB" w:eastAsia="ja-JP"/>
    </w:rPr>
  </w:style>
  <w:style w:type="paragraph" w:customStyle="1" w:styleId="FNB">
    <w:name w:val="FNB"/>
    <w:basedOn w:val="Normal"/>
    <w:link w:val="FNBChar"/>
    <w:rsid w:val="00A42201"/>
    <w:pPr>
      <w:widowControl w:val="0"/>
      <w:spacing w:after="40" w:line="160" w:lineRule="exact"/>
      <w:ind w:left="567" w:right="4434" w:hanging="567"/>
      <w:jc w:val="both"/>
    </w:pPr>
    <w:rPr>
      <w:rFonts w:ascii="Times" w:eastAsia="MS Mincho" w:hAnsi="Times" w:cs="Times New Roman"/>
      <w:sz w:val="14"/>
      <w:szCs w:val="3276"/>
      <w:lang w:val="en-GB" w:eastAsia="de-DE"/>
    </w:rPr>
  </w:style>
  <w:style w:type="paragraph" w:customStyle="1" w:styleId="Ack">
    <w:name w:val="Ack"/>
    <w:basedOn w:val="Normal"/>
    <w:rsid w:val="00A42201"/>
    <w:pPr>
      <w:spacing w:after="0" w:line="240" w:lineRule="auto"/>
    </w:pPr>
    <w:rPr>
      <w:rFonts w:ascii="Times New Roman" w:eastAsia="MS Mincho" w:hAnsi="Times New Roman" w:cs="Times New Roman"/>
      <w:sz w:val="24"/>
      <w:szCs w:val="24"/>
      <w:lang w:val="en-US" w:eastAsia="ja-JP"/>
    </w:rPr>
  </w:style>
  <w:style w:type="paragraph" w:customStyle="1" w:styleId="TableCaption">
    <w:name w:val="TableCaption"/>
    <w:basedOn w:val="Normal"/>
    <w:rsid w:val="00A42201"/>
    <w:pPr>
      <w:spacing w:after="120" w:line="190" w:lineRule="exact"/>
      <w:jc w:val="both"/>
    </w:pPr>
    <w:rPr>
      <w:rFonts w:ascii="Arial" w:eastAsia="MS Mincho" w:hAnsi="Arial" w:cs="Times New Roman"/>
      <w:sz w:val="16"/>
      <w:szCs w:val="14"/>
      <w:lang w:val="en-GB" w:eastAsia="ja-JP"/>
    </w:rPr>
  </w:style>
  <w:style w:type="paragraph" w:customStyle="1" w:styleId="TableHead">
    <w:name w:val="TableHead"/>
    <w:basedOn w:val="TableCaption"/>
    <w:rsid w:val="00A42201"/>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A42201"/>
  </w:style>
  <w:style w:type="paragraph" w:customStyle="1" w:styleId="TableFoot">
    <w:name w:val="TableFoot"/>
    <w:basedOn w:val="TableBody"/>
    <w:rsid w:val="00A42201"/>
    <w:pPr>
      <w:spacing w:before="60" w:after="60"/>
    </w:pPr>
  </w:style>
  <w:style w:type="paragraph" w:customStyle="1" w:styleId="SchemeCaption">
    <w:name w:val="SchemeCaption"/>
    <w:basedOn w:val="Normal"/>
    <w:rsid w:val="00A42201"/>
    <w:pPr>
      <w:spacing w:before="230" w:after="460" w:line="190" w:lineRule="exact"/>
      <w:jc w:val="both"/>
    </w:pPr>
    <w:rPr>
      <w:rFonts w:ascii="Arial" w:eastAsia="MS Mincho" w:hAnsi="Arial" w:cs="Times New Roman"/>
      <w:sz w:val="16"/>
      <w:szCs w:val="14"/>
      <w:lang w:val="en-GB" w:eastAsia="ja-JP"/>
    </w:rPr>
  </w:style>
  <w:style w:type="paragraph" w:styleId="FootnoteText">
    <w:name w:val="footnote text"/>
    <w:basedOn w:val="Normal"/>
    <w:link w:val="FootnoteTextChar"/>
    <w:semiHidden/>
    <w:rsid w:val="00A42201"/>
    <w:pPr>
      <w:keepLines/>
      <w:widowControl w:val="0"/>
      <w:spacing w:after="0" w:line="240" w:lineRule="auto"/>
      <w:jc w:val="both"/>
    </w:pPr>
    <w:rPr>
      <w:rFonts w:ascii="Times New Roman" w:eastAsia="Times New Roman" w:hAnsi="Times New Roman" w:cs="Times New Roman"/>
      <w:sz w:val="20"/>
      <w:szCs w:val="20"/>
      <w:lang w:val="en-GB" w:eastAsia="ro-RO"/>
    </w:rPr>
  </w:style>
  <w:style w:type="paragraph" w:customStyle="1" w:styleId="STOE">
    <w:name w:val="STOE"/>
    <w:basedOn w:val="Normal"/>
    <w:link w:val="STOEChar1"/>
    <w:rsid w:val="00A42201"/>
    <w:pPr>
      <w:widowControl w:val="0"/>
      <w:spacing w:after="0" w:line="236" w:lineRule="exact"/>
      <w:ind w:right="4434"/>
      <w:jc w:val="both"/>
    </w:pPr>
    <w:rPr>
      <w:rFonts w:ascii="Times" w:eastAsia="MS Mincho" w:hAnsi="Times" w:cs="Times New Roman"/>
      <w:sz w:val="18"/>
      <w:szCs w:val="3276"/>
      <w:lang w:val="en-GB" w:eastAsia="de-DE"/>
    </w:rPr>
  </w:style>
  <w:style w:type="paragraph" w:customStyle="1" w:styleId="Title1">
    <w:name w:val="Title1"/>
    <w:basedOn w:val="Normal"/>
    <w:qFormat/>
    <w:rsid w:val="00A42201"/>
    <w:pPr>
      <w:spacing w:after="0" w:line="240" w:lineRule="auto"/>
    </w:pPr>
    <w:rPr>
      <w:rFonts w:ascii="Times New Roman" w:eastAsia="MS Mincho" w:hAnsi="Times New Roman" w:cs="Times New Roman"/>
      <w:b/>
      <w:sz w:val="24"/>
      <w:szCs w:val="24"/>
      <w:lang w:val="en-US" w:eastAsia="ja-JP"/>
    </w:rPr>
  </w:style>
  <w:style w:type="paragraph" w:customStyle="1" w:styleId="AuthorsFull">
    <w:name w:val="Authors Full"/>
    <w:basedOn w:val="Normal"/>
    <w:rsid w:val="00A42201"/>
    <w:pPr>
      <w:spacing w:after="0" w:line="240" w:lineRule="auto"/>
    </w:pPr>
    <w:rPr>
      <w:rFonts w:ascii="Times New Roman" w:eastAsia="MS Mincho" w:hAnsi="Times New Roman" w:cs="Times New Roman"/>
      <w:i/>
      <w:sz w:val="24"/>
      <w:szCs w:val="24"/>
      <w:lang w:val="en-US" w:eastAsia="ja-JP"/>
    </w:rPr>
  </w:style>
  <w:style w:type="paragraph" w:customStyle="1" w:styleId="dedication">
    <w:name w:val="dedication"/>
    <w:basedOn w:val="Normal"/>
    <w:rsid w:val="00A42201"/>
    <w:pPr>
      <w:spacing w:after="0" w:line="240" w:lineRule="auto"/>
    </w:pPr>
    <w:rPr>
      <w:rFonts w:ascii="Times New Roman" w:eastAsia="MS Mincho" w:hAnsi="Times New Roman" w:cs="Times New Roman"/>
      <w:i/>
      <w:sz w:val="24"/>
      <w:szCs w:val="24"/>
      <w:lang w:val="en-US" w:eastAsia="ja-JP"/>
    </w:rPr>
  </w:style>
  <w:style w:type="paragraph" w:customStyle="1" w:styleId="Addresses">
    <w:name w:val="Addresses"/>
    <w:basedOn w:val="Normal"/>
    <w:rsid w:val="00A42201"/>
    <w:pPr>
      <w:spacing w:after="0" w:line="240" w:lineRule="auto"/>
    </w:pPr>
    <w:rPr>
      <w:rFonts w:ascii="Times New Roman" w:eastAsia="MS Mincho" w:hAnsi="Times New Roman" w:cs="Times New Roman"/>
      <w:sz w:val="24"/>
      <w:szCs w:val="24"/>
      <w:lang w:val="en-US" w:eastAsia="ja-JP"/>
    </w:rPr>
  </w:style>
  <w:style w:type="paragraph" w:customStyle="1" w:styleId="Acknowledgements">
    <w:name w:val="Acknowledgements"/>
    <w:basedOn w:val="Normal"/>
    <w:rsid w:val="00A42201"/>
    <w:pPr>
      <w:spacing w:after="0" w:line="240" w:lineRule="auto"/>
    </w:pPr>
    <w:rPr>
      <w:rFonts w:ascii="Times New Roman" w:eastAsia="MS Mincho" w:hAnsi="Times New Roman" w:cs="Times New Roman"/>
      <w:sz w:val="24"/>
      <w:szCs w:val="24"/>
      <w:lang w:val="en-US" w:eastAsia="ja-JP"/>
    </w:rPr>
  </w:style>
  <w:style w:type="paragraph" w:customStyle="1" w:styleId="Abstract">
    <w:name w:val="Abstract"/>
    <w:basedOn w:val="Normal"/>
    <w:autoRedefine/>
    <w:rsid w:val="00A42201"/>
    <w:pPr>
      <w:spacing w:after="0" w:line="480" w:lineRule="auto"/>
    </w:pPr>
    <w:rPr>
      <w:rFonts w:ascii="Times New Roman" w:eastAsia="MS Mincho" w:hAnsi="Times New Roman" w:cs="Times New Roman"/>
      <w:sz w:val="24"/>
      <w:szCs w:val="24"/>
      <w:lang w:val="en-US" w:eastAsia="ja-JP"/>
    </w:rPr>
  </w:style>
  <w:style w:type="paragraph" w:customStyle="1" w:styleId="Head1">
    <w:name w:val="Head 1"/>
    <w:basedOn w:val="Normal"/>
    <w:autoRedefine/>
    <w:rsid w:val="00A42201"/>
    <w:pPr>
      <w:spacing w:after="0" w:line="360" w:lineRule="auto"/>
    </w:pPr>
    <w:rPr>
      <w:rFonts w:ascii="Times New Roman" w:eastAsia="MS Mincho" w:hAnsi="Times New Roman" w:cs="Times New Roman"/>
      <w:b/>
      <w:sz w:val="24"/>
      <w:szCs w:val="24"/>
      <w:lang w:val="en-US" w:eastAsia="ja-JP"/>
    </w:rPr>
  </w:style>
  <w:style w:type="paragraph" w:customStyle="1" w:styleId="Head2">
    <w:name w:val="Head 2"/>
    <w:basedOn w:val="Normal"/>
    <w:autoRedefine/>
    <w:rsid w:val="00A42201"/>
    <w:pPr>
      <w:spacing w:after="0" w:line="360" w:lineRule="auto"/>
      <w:jc w:val="both"/>
    </w:pPr>
    <w:rPr>
      <w:rFonts w:ascii="Times New Roman" w:eastAsia="Times New Roman" w:hAnsi="Times New Roman" w:cs="Times New Roman"/>
      <w:b/>
      <w:bCs/>
      <w:iCs/>
      <w:sz w:val="28"/>
      <w:szCs w:val="28"/>
      <w:lang w:val="en-US" w:eastAsia="ja-JP"/>
    </w:rPr>
  </w:style>
  <w:style w:type="paragraph" w:customStyle="1" w:styleId="Literature">
    <w:name w:val="Literature"/>
    <w:basedOn w:val="Normal"/>
    <w:rsid w:val="00A42201"/>
    <w:pPr>
      <w:spacing w:after="0" w:line="480" w:lineRule="auto"/>
    </w:pPr>
    <w:rPr>
      <w:rFonts w:ascii="Times New Roman" w:eastAsia="MS Mincho" w:hAnsi="Times New Roman" w:cs="Times New Roman"/>
      <w:sz w:val="24"/>
      <w:szCs w:val="24"/>
      <w:lang w:val="en-US" w:eastAsia="ja-JP"/>
    </w:rPr>
  </w:style>
  <w:style w:type="paragraph" w:customStyle="1" w:styleId="Legend">
    <w:name w:val="Legend"/>
    <w:basedOn w:val="Normal"/>
    <w:rsid w:val="00A42201"/>
    <w:pPr>
      <w:spacing w:after="0" w:line="240" w:lineRule="auto"/>
    </w:pPr>
    <w:rPr>
      <w:rFonts w:ascii="Times New Roman" w:eastAsia="MS Mincho" w:hAnsi="Times New Roman" w:cs="Times New Roman"/>
      <w:sz w:val="24"/>
      <w:szCs w:val="24"/>
      <w:lang w:val="en-US" w:eastAsia="ja-JP"/>
    </w:rPr>
  </w:style>
  <w:style w:type="paragraph" w:customStyle="1" w:styleId="MainText">
    <w:name w:val="Main Text"/>
    <w:basedOn w:val="Normal"/>
    <w:link w:val="MainTextChar"/>
    <w:rsid w:val="00A42201"/>
    <w:pPr>
      <w:spacing w:after="0" w:line="480" w:lineRule="auto"/>
    </w:pPr>
    <w:rPr>
      <w:rFonts w:ascii="Times New Roman" w:eastAsia="MS Mincho" w:hAnsi="Times New Roman" w:cs="Times New Roman"/>
      <w:sz w:val="24"/>
      <w:szCs w:val="24"/>
      <w:lang w:val="en-US" w:eastAsia="ja-JP"/>
    </w:rPr>
  </w:style>
  <w:style w:type="paragraph" w:customStyle="1" w:styleId="Tableofcontents">
    <w:name w:val="Table of contents"/>
    <w:basedOn w:val="Normal"/>
    <w:autoRedefine/>
    <w:rsid w:val="00A42201"/>
    <w:pPr>
      <w:spacing w:after="0" w:line="240" w:lineRule="auto"/>
    </w:pPr>
    <w:rPr>
      <w:rFonts w:ascii="Times New Roman" w:eastAsia="MS Mincho" w:hAnsi="Times New Roman" w:cs="Times New Roman"/>
      <w:sz w:val="24"/>
      <w:szCs w:val="24"/>
      <w:lang w:val="en-US" w:eastAsia="ja-JP"/>
    </w:rPr>
  </w:style>
  <w:style w:type="paragraph" w:customStyle="1" w:styleId="ExperimentalText">
    <w:name w:val="Experimental Text"/>
    <w:basedOn w:val="Normal"/>
    <w:link w:val="ExperimentalTextChar"/>
    <w:rsid w:val="00A42201"/>
    <w:pPr>
      <w:spacing w:after="0" w:line="480" w:lineRule="auto"/>
    </w:pPr>
    <w:rPr>
      <w:rFonts w:ascii="Times New Roman" w:eastAsia="MS Mincho" w:hAnsi="Times New Roman" w:cs="Times New Roman"/>
      <w:sz w:val="24"/>
      <w:szCs w:val="24"/>
      <w:lang w:val="en-US" w:eastAsia="ja-JP"/>
    </w:rPr>
  </w:style>
  <w:style w:type="paragraph" w:customStyle="1" w:styleId="Title2">
    <w:name w:val="Title2"/>
    <w:basedOn w:val="Normal"/>
    <w:rsid w:val="00A42201"/>
    <w:pPr>
      <w:spacing w:after="0" w:line="240" w:lineRule="auto"/>
    </w:pPr>
    <w:rPr>
      <w:rFonts w:ascii="Times New Roman" w:eastAsia="MS Mincho" w:hAnsi="Times New Roman" w:cs="Times New Roman"/>
      <w:b/>
      <w:sz w:val="24"/>
      <w:szCs w:val="24"/>
      <w:lang w:val="en-US" w:eastAsia="ja-JP"/>
    </w:rPr>
  </w:style>
  <w:style w:type="paragraph" w:customStyle="1" w:styleId="Dedication0">
    <w:name w:val="Dedication"/>
    <w:basedOn w:val="Normal"/>
    <w:autoRedefine/>
    <w:rsid w:val="00A42201"/>
    <w:pPr>
      <w:spacing w:after="0" w:line="240" w:lineRule="auto"/>
    </w:pPr>
    <w:rPr>
      <w:rFonts w:ascii="Times New Roman" w:eastAsia="MS Mincho" w:hAnsi="Times New Roman" w:cs="Times New Roman"/>
      <w:sz w:val="24"/>
      <w:szCs w:val="24"/>
      <w:lang w:val="en-US" w:eastAsia="ja-JP"/>
    </w:rPr>
  </w:style>
  <w:style w:type="paragraph" w:customStyle="1" w:styleId="Maintext0">
    <w:name w:val="Main text"/>
    <w:basedOn w:val="Normal"/>
    <w:link w:val="MaintextChar0"/>
    <w:autoRedefine/>
    <w:rsid w:val="00A42201"/>
    <w:pPr>
      <w:spacing w:after="0" w:line="480" w:lineRule="auto"/>
    </w:pPr>
    <w:rPr>
      <w:rFonts w:ascii="Times New Roman" w:eastAsia="MS Mincho" w:hAnsi="Times New Roman" w:cs="Times New Roman"/>
      <w:sz w:val="24"/>
      <w:szCs w:val="24"/>
      <w:lang w:val="en-US" w:eastAsia="ja-JP"/>
    </w:rPr>
  </w:style>
  <w:style w:type="paragraph" w:customStyle="1" w:styleId="Biography">
    <w:name w:val="Biography"/>
    <w:basedOn w:val="Normal"/>
    <w:autoRedefine/>
    <w:rsid w:val="00A42201"/>
    <w:pPr>
      <w:spacing w:after="0" w:line="240" w:lineRule="auto"/>
    </w:pPr>
    <w:rPr>
      <w:rFonts w:ascii="Times New Roman" w:eastAsia="MS Mincho" w:hAnsi="Times New Roman" w:cs="Times New Roman"/>
      <w:i/>
      <w:sz w:val="24"/>
      <w:szCs w:val="24"/>
      <w:lang w:val="en-US" w:eastAsia="ja-JP"/>
    </w:rPr>
  </w:style>
  <w:style w:type="paragraph" w:customStyle="1" w:styleId="msonormal0">
    <w:name w:val="msonormal"/>
    <w:basedOn w:val="Normal"/>
    <w:rsid w:val="00A42201"/>
    <w:pPr>
      <w:spacing w:before="100" w:beforeAutospacing="1" w:after="100" w:afterAutospacing="1" w:line="240" w:lineRule="auto"/>
    </w:pPr>
    <w:rPr>
      <w:rFonts w:ascii="SimSun" w:eastAsia="SimSun" w:hAnsi="SimSun" w:cs="SimSun"/>
      <w:sz w:val="24"/>
      <w:szCs w:val="24"/>
      <w:lang w:val="en-US" w:eastAsia="zh-CN"/>
    </w:rPr>
  </w:style>
  <w:style w:type="paragraph" w:styleId="TOC1">
    <w:name w:val="toc 1"/>
    <w:basedOn w:val="Normal"/>
    <w:next w:val="Normal"/>
    <w:autoRedefine/>
    <w:uiPriority w:val="39"/>
    <w:unhideWhenUsed/>
    <w:rsid w:val="00266643"/>
    <w:pPr>
      <w:spacing w:after="100" w:line="240" w:lineRule="auto"/>
    </w:pPr>
    <w:rPr>
      <w:rFonts w:eastAsiaTheme="minorHAnsi"/>
      <w:lang w:val="en-US"/>
    </w:rPr>
  </w:style>
  <w:style w:type="paragraph" w:customStyle="1" w:styleId="a0">
    <w:name w:val="标题样式"/>
    <w:basedOn w:val="Normal"/>
    <w:next w:val="BodyText"/>
    <w:qFormat/>
    <w:rsid w:val="00A42201"/>
    <w:pPr>
      <w:keepNext/>
      <w:suppressAutoHyphens/>
      <w:spacing w:before="240" w:after="120" w:line="360" w:lineRule="auto"/>
    </w:pPr>
    <w:rPr>
      <w:rFonts w:ascii="Liberation Sans" w:eastAsia="Arial Unicode MS" w:hAnsi="Liberation Sans" w:cs="Arial Unicode MS"/>
      <w:sz w:val="28"/>
      <w:szCs w:val="28"/>
      <w:lang w:val="en-US"/>
    </w:rPr>
  </w:style>
  <w:style w:type="paragraph" w:customStyle="1" w:styleId="a1">
    <w:name w:val="索引"/>
    <w:basedOn w:val="Normal"/>
    <w:qFormat/>
    <w:rsid w:val="00A42201"/>
    <w:pPr>
      <w:suppressLineNumbers/>
      <w:suppressAutoHyphens/>
      <w:spacing w:after="120" w:line="360" w:lineRule="auto"/>
    </w:pPr>
    <w:rPr>
      <w:rFonts w:cs="Arial Unicode MS"/>
      <w:lang w:val="en-US"/>
    </w:rPr>
  </w:style>
  <w:style w:type="paragraph" w:customStyle="1" w:styleId="a2">
    <w:name w:val="页眉与页脚"/>
    <w:basedOn w:val="Normal"/>
    <w:qFormat/>
    <w:rsid w:val="00266643"/>
    <w:pPr>
      <w:suppressAutoHyphens/>
      <w:spacing w:after="120" w:line="360" w:lineRule="auto"/>
    </w:pPr>
    <w:rPr>
      <w:lang w:val="en-US"/>
    </w:rPr>
  </w:style>
  <w:style w:type="paragraph" w:styleId="NormalWeb">
    <w:name w:val="Normal (Web)"/>
    <w:basedOn w:val="Normal"/>
    <w:uiPriority w:val="99"/>
    <w:semiHidden/>
    <w:unhideWhenUsed/>
    <w:rsid w:val="00A422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IndexHeading">
    <w:name w:val="index heading"/>
    <w:basedOn w:val="Heading"/>
  </w:style>
  <w:style w:type="paragraph" w:styleId="TOCHeading">
    <w:name w:val="TOC Heading"/>
    <w:basedOn w:val="Heading1"/>
    <w:next w:val="Normal"/>
    <w:uiPriority w:val="39"/>
    <w:unhideWhenUsed/>
    <w:qFormat/>
    <w:rsid w:val="00266643"/>
    <w:pPr>
      <w:spacing w:line="259" w:lineRule="auto"/>
      <w:outlineLvl w:val="9"/>
    </w:pPr>
  </w:style>
  <w:style w:type="paragraph" w:styleId="TOC3">
    <w:name w:val="toc 3"/>
    <w:basedOn w:val="Normal"/>
    <w:next w:val="Normal"/>
    <w:autoRedefine/>
    <w:uiPriority w:val="39"/>
    <w:unhideWhenUsed/>
    <w:rsid w:val="00266643"/>
    <w:pPr>
      <w:spacing w:after="100"/>
      <w:ind w:left="440"/>
    </w:pPr>
  </w:style>
  <w:style w:type="paragraph" w:styleId="TOC2">
    <w:name w:val="toc 2"/>
    <w:basedOn w:val="Normal"/>
    <w:next w:val="Normal"/>
    <w:autoRedefine/>
    <w:uiPriority w:val="39"/>
    <w:unhideWhenUsed/>
    <w:rsid w:val="00266643"/>
    <w:pPr>
      <w:spacing w:after="100"/>
      <w:ind w:left="220"/>
    </w:pPr>
  </w:style>
  <w:style w:type="paragraph" w:customStyle="1" w:styleId="Default">
    <w:name w:val="Default"/>
    <w:rsid w:val="00266643"/>
    <w:pPr>
      <w:suppressAutoHyphens w:val="0"/>
      <w:autoSpaceDE w:val="0"/>
      <w:autoSpaceDN w:val="0"/>
      <w:adjustRightInd w:val="0"/>
    </w:pPr>
    <w:rPr>
      <w:rFonts w:ascii="Arial" w:eastAsiaTheme="minorEastAsia" w:hAnsi="Arial" w:cs="Arial"/>
      <w:color w:val="000000"/>
      <w:sz w:val="24"/>
      <w:szCs w:val="24"/>
    </w:rPr>
  </w:style>
  <w:style w:type="paragraph" w:styleId="TableofFigures">
    <w:name w:val="table of figures"/>
    <w:basedOn w:val="Normal"/>
    <w:next w:val="Normal"/>
    <w:uiPriority w:val="99"/>
    <w:unhideWhenUsed/>
    <w:rsid w:val="00266643"/>
    <w:pPr>
      <w:spacing w:after="0"/>
    </w:pPr>
  </w:style>
  <w:style w:type="paragraph" w:customStyle="1" w:styleId="Patentanspruch">
    <w:name w:val="Patentanspruch"/>
    <w:basedOn w:val="Normal"/>
    <w:rsid w:val="00620B13"/>
    <w:pPr>
      <w:widowControl w:val="0"/>
      <w:spacing w:after="0" w:line="360" w:lineRule="auto"/>
      <w:ind w:firstLine="850"/>
      <w:jc w:val="both"/>
    </w:pPr>
    <w:rPr>
      <w:rFonts w:ascii="Arial" w:eastAsia="Times New Roman" w:hAnsi="Arial" w:cs="Arial"/>
      <w:lang w:val="en-GB" w:eastAsia="de-DE"/>
    </w:rPr>
  </w:style>
  <w:style w:type="table" w:styleId="TableGrid">
    <w:name w:val="Table Grid"/>
    <w:basedOn w:val="TableNormal"/>
    <w:uiPriority w:val="59"/>
    <w:rsid w:val="0041126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56A0E"/>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65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130A7"/>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A42201"/>
    <w:rPr>
      <w:rFonts w:eastAsiaTheme="minorEastAsia"/>
      <w:lang w:val="en-US"/>
    </w:rPr>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A42201"/>
    <w:rPr>
      <w:rFonts w:eastAsiaTheme="minorEastAsia"/>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GridTable2">
    <w:name w:val="Grid Table 2"/>
    <w:basedOn w:val="TableNormal"/>
    <w:uiPriority w:val="47"/>
    <w:rsid w:val="00A42201"/>
    <w:rPr>
      <w:rFonts w:eastAsiaTheme="minorEastAsia"/>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00335">
      <w:bodyDiv w:val="1"/>
      <w:marLeft w:val="0"/>
      <w:marRight w:val="0"/>
      <w:marTop w:val="0"/>
      <w:marBottom w:val="0"/>
      <w:divBdr>
        <w:top w:val="none" w:sz="0" w:space="0" w:color="auto"/>
        <w:left w:val="none" w:sz="0" w:space="0" w:color="auto"/>
        <w:bottom w:val="none" w:sz="0" w:space="0" w:color="auto"/>
        <w:right w:val="none" w:sz="0" w:space="0" w:color="auto"/>
      </w:divBdr>
    </w:div>
    <w:div w:id="335157910">
      <w:bodyDiv w:val="1"/>
      <w:marLeft w:val="0"/>
      <w:marRight w:val="0"/>
      <w:marTop w:val="0"/>
      <w:marBottom w:val="0"/>
      <w:divBdr>
        <w:top w:val="none" w:sz="0" w:space="0" w:color="auto"/>
        <w:left w:val="none" w:sz="0" w:space="0" w:color="auto"/>
        <w:bottom w:val="none" w:sz="0" w:space="0" w:color="auto"/>
        <w:right w:val="none" w:sz="0" w:space="0" w:color="auto"/>
      </w:divBdr>
    </w:div>
    <w:div w:id="829833212">
      <w:bodyDiv w:val="1"/>
      <w:marLeft w:val="0"/>
      <w:marRight w:val="0"/>
      <w:marTop w:val="0"/>
      <w:marBottom w:val="0"/>
      <w:divBdr>
        <w:top w:val="none" w:sz="0" w:space="0" w:color="auto"/>
        <w:left w:val="none" w:sz="0" w:space="0" w:color="auto"/>
        <w:bottom w:val="none" w:sz="0" w:space="0" w:color="auto"/>
        <w:right w:val="none" w:sz="0" w:space="0" w:color="auto"/>
      </w:divBdr>
    </w:div>
    <w:div w:id="862986277">
      <w:bodyDiv w:val="1"/>
      <w:marLeft w:val="0"/>
      <w:marRight w:val="0"/>
      <w:marTop w:val="0"/>
      <w:marBottom w:val="0"/>
      <w:divBdr>
        <w:top w:val="none" w:sz="0" w:space="0" w:color="auto"/>
        <w:left w:val="none" w:sz="0" w:space="0" w:color="auto"/>
        <w:bottom w:val="none" w:sz="0" w:space="0" w:color="auto"/>
        <w:right w:val="none" w:sz="0" w:space="0" w:color="auto"/>
      </w:divBdr>
    </w:div>
    <w:div w:id="920530235">
      <w:bodyDiv w:val="1"/>
      <w:marLeft w:val="0"/>
      <w:marRight w:val="0"/>
      <w:marTop w:val="0"/>
      <w:marBottom w:val="0"/>
      <w:divBdr>
        <w:top w:val="none" w:sz="0" w:space="0" w:color="auto"/>
        <w:left w:val="none" w:sz="0" w:space="0" w:color="auto"/>
        <w:bottom w:val="none" w:sz="0" w:space="0" w:color="auto"/>
        <w:right w:val="none" w:sz="0" w:space="0" w:color="auto"/>
      </w:divBdr>
    </w:div>
    <w:div w:id="1351950068">
      <w:bodyDiv w:val="1"/>
      <w:marLeft w:val="0"/>
      <w:marRight w:val="0"/>
      <w:marTop w:val="0"/>
      <w:marBottom w:val="0"/>
      <w:divBdr>
        <w:top w:val="none" w:sz="0" w:space="0" w:color="auto"/>
        <w:left w:val="none" w:sz="0" w:space="0" w:color="auto"/>
        <w:bottom w:val="none" w:sz="0" w:space="0" w:color="auto"/>
        <w:right w:val="none" w:sz="0" w:space="0" w:color="auto"/>
      </w:divBdr>
    </w:div>
    <w:div w:id="1483423536">
      <w:bodyDiv w:val="1"/>
      <w:marLeft w:val="0"/>
      <w:marRight w:val="0"/>
      <w:marTop w:val="0"/>
      <w:marBottom w:val="0"/>
      <w:divBdr>
        <w:top w:val="none" w:sz="0" w:space="0" w:color="auto"/>
        <w:left w:val="none" w:sz="0" w:space="0" w:color="auto"/>
        <w:bottom w:val="none" w:sz="0" w:space="0" w:color="auto"/>
        <w:right w:val="none" w:sz="0" w:space="0" w:color="auto"/>
      </w:divBdr>
    </w:div>
    <w:div w:id="1605962207">
      <w:bodyDiv w:val="1"/>
      <w:marLeft w:val="0"/>
      <w:marRight w:val="0"/>
      <w:marTop w:val="0"/>
      <w:marBottom w:val="0"/>
      <w:divBdr>
        <w:top w:val="none" w:sz="0" w:space="0" w:color="auto"/>
        <w:left w:val="none" w:sz="0" w:space="0" w:color="auto"/>
        <w:bottom w:val="none" w:sz="0" w:space="0" w:color="auto"/>
        <w:right w:val="none" w:sz="0" w:space="0" w:color="auto"/>
      </w:divBdr>
    </w:div>
    <w:div w:id="1684935992">
      <w:bodyDiv w:val="1"/>
      <w:marLeft w:val="0"/>
      <w:marRight w:val="0"/>
      <w:marTop w:val="0"/>
      <w:marBottom w:val="0"/>
      <w:divBdr>
        <w:top w:val="none" w:sz="0" w:space="0" w:color="auto"/>
        <w:left w:val="none" w:sz="0" w:space="0" w:color="auto"/>
        <w:bottom w:val="none" w:sz="0" w:space="0" w:color="auto"/>
        <w:right w:val="none" w:sz="0" w:space="0" w:color="auto"/>
      </w:divBdr>
    </w:div>
    <w:div w:id="174236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tiff"/><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tiff"/><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tiff"/><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tiff"/><Relationship Id="rId40" Type="http://schemas.openxmlformats.org/officeDocument/2006/relationships/image" Target="media/image30.tiff"/><Relationship Id="rId45" Type="http://schemas.openxmlformats.org/officeDocument/2006/relationships/image" Target="media/image35.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tiff"/><Relationship Id="rId36" Type="http://schemas.openxmlformats.org/officeDocument/2006/relationships/image" Target="media/image26.tiff"/><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tif"/><Relationship Id="rId44" Type="http://schemas.openxmlformats.org/officeDocument/2006/relationships/image" Target="media/image34.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tiff"/><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tif"/><Relationship Id="rId46"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2B1F9FBB64541B0C8475621F5CF2E" ma:contentTypeVersion="7" ma:contentTypeDescription="Crée un document." ma:contentTypeScope="" ma:versionID="9f20cc49b55557eba6a186395fc18938">
  <xsd:schema xmlns:xsd="http://www.w3.org/2001/XMLSchema" xmlns:xs="http://www.w3.org/2001/XMLSchema" xmlns:p="http://schemas.microsoft.com/office/2006/metadata/properties" xmlns:ns3="fe6873f7-7c96-459a-90e2-3a2249aed7c3" xmlns:ns4="b3183977-deb7-4ab4-bddc-cf6cda378c52" targetNamespace="http://schemas.microsoft.com/office/2006/metadata/properties" ma:root="true" ma:fieldsID="a2ad8698c5da3b466bde81e4afb07c24" ns3:_="" ns4:_="">
    <xsd:import namespace="fe6873f7-7c96-459a-90e2-3a2249aed7c3"/>
    <xsd:import namespace="b3183977-deb7-4ab4-bddc-cf6cda378c5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873f7-7c96-459a-90e2-3a2249aed7c3"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83977-deb7-4ab4-bddc-cf6cda378c5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3183977-deb7-4ab4-bddc-cf6cda378c52" xsi:nil="true"/>
  </documentManagement>
</p:properties>
</file>

<file path=customXml/itemProps1.xml><?xml version="1.0" encoding="utf-8"?>
<ds:datastoreItem xmlns:ds="http://schemas.openxmlformats.org/officeDocument/2006/customXml" ds:itemID="{BE77CA4C-6F91-4D79-963C-DF6628C21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873f7-7c96-459a-90e2-3a2249aed7c3"/>
    <ds:schemaRef ds:uri="b3183977-deb7-4ab4-bddc-cf6cda378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CB78E8-747E-4916-A4BE-F4988718577A}">
  <ds:schemaRefs>
    <ds:schemaRef ds:uri="http://schemas.openxmlformats.org/officeDocument/2006/bibliography"/>
  </ds:schemaRefs>
</ds:datastoreItem>
</file>

<file path=customXml/itemProps3.xml><?xml version="1.0" encoding="utf-8"?>
<ds:datastoreItem xmlns:ds="http://schemas.openxmlformats.org/officeDocument/2006/customXml" ds:itemID="{5D700C41-9458-4051-910F-6A3E63FB584D}">
  <ds:schemaRefs>
    <ds:schemaRef ds:uri="http://schemas.microsoft.com/sharepoint/v3/contenttype/forms"/>
  </ds:schemaRefs>
</ds:datastoreItem>
</file>

<file path=customXml/itemProps4.xml><?xml version="1.0" encoding="utf-8"?>
<ds:datastoreItem xmlns:ds="http://schemas.openxmlformats.org/officeDocument/2006/customXml" ds:itemID="{4D8CC8B4-136F-4F1D-911D-DBBC789200DA}">
  <ds:schemaRefs>
    <ds:schemaRef ds:uri="http://schemas.microsoft.com/office/2006/metadata/properties"/>
    <ds:schemaRef ds:uri="http://schemas.microsoft.com/office/infopath/2007/PartnerControls"/>
    <ds:schemaRef ds:uri="b3183977-deb7-4ab4-bddc-cf6cda378c5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21111</Words>
  <Characters>120335</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Koolen Cedric David</dc:creator>
  <cp:keywords/>
  <dc:description/>
  <cp:lastModifiedBy>cedric koolen</cp:lastModifiedBy>
  <cp:revision>55</cp:revision>
  <dcterms:created xsi:type="dcterms:W3CDTF">2023-12-18T18:42:00Z</dcterms:created>
  <dcterms:modified xsi:type="dcterms:W3CDTF">2023-12-22T09:20:00Z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id="1OjWpIjE"/&gt;&lt;style id="http://www.zotero.org/styles/nature" hasBibliography="1" bibliographyStyleHasBeenSet="1"/&gt;&lt;prefs&gt;&lt;pref name="fieldType" value="Field"/&gt;&lt;/prefs&gt;&lt;/data&gt;</vt:lpwstr>
  </property>
  <property fmtid="{D5CDD505-2E9C-101B-9397-08002B2CF9AE}" pid="3" name="ContentTypeId">
    <vt:lpwstr>0x0101001F42B1F9FBB64541B0C8475621F5CF2E</vt:lpwstr>
  </property>
</Properties>
</file>