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CD94" w14:textId="77777777" w:rsidR="007B2B51" w:rsidRDefault="00990798" w:rsidP="007B2B51">
      <w:pPr>
        <w:shd w:val="clear" w:color="auto" w:fill="FFFFFF"/>
        <w:bidi w:val="0"/>
        <w:spacing w:line="440" w:lineRule="atLeast"/>
        <w:jc w:val="both"/>
        <w:rPr>
          <w:rFonts w:asciiTheme="majorBidi" w:hAnsiTheme="majorBidi" w:cstheme="majorBidi"/>
          <w:sz w:val="24"/>
          <w:szCs w:val="24"/>
        </w:rPr>
      </w:pPr>
      <w:bookmarkStart w:id="0" w:name="_Hlk133094967"/>
      <w:r w:rsidRPr="00600609">
        <w:rPr>
          <w:rFonts w:asciiTheme="majorBidi" w:hAnsiTheme="majorBidi" w:cstheme="majorBidi"/>
          <w:sz w:val="24"/>
          <w:szCs w:val="24"/>
        </w:rPr>
        <w:t xml:space="preserve">Supplementary information: </w:t>
      </w:r>
      <w:bookmarkEnd w:id="0"/>
    </w:p>
    <w:p w14:paraId="66221168" w14:textId="77777777" w:rsidR="005B66C5" w:rsidRDefault="005B66C5" w:rsidP="005B66C5">
      <w:pPr>
        <w:shd w:val="clear" w:color="auto" w:fill="FFFFFF"/>
        <w:bidi w:val="0"/>
        <w:spacing w:line="440" w:lineRule="atLeast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43471471"/>
      <w:r>
        <w:rPr>
          <w:rFonts w:asciiTheme="majorBidi" w:hAnsiTheme="majorBidi" w:cstheme="majorBidi"/>
          <w:sz w:val="24"/>
          <w:szCs w:val="24"/>
        </w:rPr>
        <w:t>S</w:t>
      </w:r>
      <w:r w:rsidRPr="008D77AC">
        <w:rPr>
          <w:rFonts w:asciiTheme="majorBidi" w:hAnsiTheme="majorBidi" w:cstheme="majorBidi"/>
          <w:sz w:val="24"/>
          <w:szCs w:val="24"/>
        </w:rPr>
        <w:t xml:space="preserve">urvival strategies of aerobic methanotrophs </w:t>
      </w:r>
      <w:r w:rsidRPr="00D2670E">
        <w:rPr>
          <w:rFonts w:asciiTheme="majorBidi" w:hAnsiTheme="majorBidi" w:cstheme="majorBidi"/>
          <w:color w:val="4472C4" w:themeColor="accent1"/>
          <w:sz w:val="24"/>
          <w:szCs w:val="24"/>
        </w:rPr>
        <w:t>under</w:t>
      </w:r>
      <w:r w:rsidRPr="008D77AC">
        <w:rPr>
          <w:rFonts w:asciiTheme="majorBidi" w:hAnsiTheme="majorBidi" w:cstheme="majorBidi"/>
          <w:sz w:val="24"/>
          <w:szCs w:val="24"/>
        </w:rPr>
        <w:t xml:space="preserve"> hypoxia in methanogenic lake sediments</w:t>
      </w:r>
    </w:p>
    <w:p w14:paraId="4402B8F1" w14:textId="77777777" w:rsidR="005B66C5" w:rsidRDefault="005B66C5" w:rsidP="005B66C5">
      <w:pPr>
        <w:shd w:val="clear" w:color="auto" w:fill="FFFFFF"/>
        <w:bidi w:val="0"/>
        <w:spacing w:line="44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7DE08D" w14:textId="77777777" w:rsidR="005B66C5" w:rsidRDefault="005B66C5" w:rsidP="005B66C5">
      <w:pPr>
        <w:shd w:val="clear" w:color="auto" w:fill="FFFFFF"/>
        <w:bidi w:val="0"/>
        <w:spacing w:line="440" w:lineRule="atLeast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bookmarkStart w:id="2" w:name="_Hlk152945158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Gafni Almog</w:t>
      </w:r>
      <w:r w:rsidRPr="00255685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56AD2">
        <w:rPr>
          <w:rFonts w:asciiTheme="majorBidi" w:hAnsiTheme="majorBidi" w:cstheme="majorBidi"/>
          <w:sz w:val="24"/>
          <w:szCs w:val="24"/>
        </w:rPr>
        <w:t>Maxim Rubin-Blum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J. Colin Murrell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56AD2">
        <w:rPr>
          <w:rFonts w:asciiTheme="majorBidi" w:hAnsiTheme="majorBidi" w:cstheme="majorBidi"/>
          <w:sz w:val="24"/>
          <w:szCs w:val="24"/>
        </w:rPr>
        <w:t>Hanni Vigderovich</w:t>
      </w:r>
      <w:r w:rsidRPr="00156AD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56AD2">
        <w:rPr>
          <w:rFonts w:asciiTheme="majorBidi" w:hAnsiTheme="majorBidi" w:cstheme="majorBidi"/>
          <w:sz w:val="24"/>
          <w:szCs w:val="24"/>
        </w:rPr>
        <w:t>Werner Eckert</w:t>
      </w:r>
      <w:r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7D1EF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E1A1A">
        <w:rPr>
          <w:rFonts w:ascii="Times New Roman" w:eastAsia="Times New Roman" w:hAnsi="Times New Roman" w:cs="Times New Roman"/>
          <w:color w:val="222222"/>
          <w:sz w:val="24"/>
          <w:szCs w:val="24"/>
        </w:rPr>
        <w:t>Nasmille Larke-Mej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í</w:t>
      </w:r>
      <w:r w:rsidRPr="004E1A1A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and </w:t>
      </w:r>
      <w:r w:rsidRPr="00156AD2">
        <w:rPr>
          <w:rFonts w:asciiTheme="majorBidi" w:hAnsiTheme="majorBidi" w:cstheme="majorBidi"/>
          <w:sz w:val="24"/>
          <w:szCs w:val="24"/>
        </w:rPr>
        <w:t>Orit Sivan</w:t>
      </w:r>
      <w:r w:rsidRPr="00156AD2">
        <w:rPr>
          <w:rFonts w:asciiTheme="majorBidi" w:hAnsiTheme="majorBidi" w:cstheme="majorBidi"/>
          <w:sz w:val="24"/>
          <w:szCs w:val="24"/>
          <w:vertAlign w:val="superscript"/>
        </w:rPr>
        <w:t>1</w:t>
      </w:r>
    </w:p>
    <w:bookmarkEnd w:id="2"/>
    <w:p w14:paraId="731C4362" w14:textId="77777777" w:rsidR="005B66C5" w:rsidRDefault="005B66C5" w:rsidP="005B66C5">
      <w:pPr>
        <w:shd w:val="clear" w:color="auto" w:fill="FFFFFF"/>
        <w:bidi w:val="0"/>
        <w:spacing w:line="44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E51EF5B" w14:textId="77777777" w:rsidR="005B66C5" w:rsidRDefault="005B66C5" w:rsidP="005B66C5">
      <w:pPr>
        <w:bidi w:val="0"/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906926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906926">
        <w:rPr>
          <w:rFonts w:asciiTheme="majorBidi" w:hAnsiTheme="majorBidi" w:cstheme="majorBidi"/>
          <w:sz w:val="20"/>
          <w:szCs w:val="20"/>
        </w:rPr>
        <w:t xml:space="preserve"> Department of Earth and Environmental Sciences, Ben-Gurion University of the Negev, </w:t>
      </w:r>
      <w:r>
        <w:rPr>
          <w:rFonts w:asciiTheme="majorBidi" w:hAnsiTheme="majorBidi" w:cstheme="majorBidi"/>
          <w:sz w:val="20"/>
          <w:szCs w:val="20"/>
        </w:rPr>
        <w:t>Beer</w:t>
      </w:r>
      <w:r w:rsidRPr="00906926">
        <w:rPr>
          <w:rFonts w:asciiTheme="majorBidi" w:hAnsiTheme="majorBidi" w:cstheme="majorBidi"/>
          <w:sz w:val="20"/>
          <w:szCs w:val="20"/>
        </w:rPr>
        <w:t xml:space="preserve"> Sheva, Israel</w:t>
      </w:r>
    </w:p>
    <w:p w14:paraId="48582723" w14:textId="77777777" w:rsidR="005B66C5" w:rsidRPr="00C65A58" w:rsidRDefault="005B66C5" w:rsidP="005B66C5">
      <w:pPr>
        <w:bidi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906926">
        <w:rPr>
          <w:rFonts w:asciiTheme="majorBidi" w:hAnsiTheme="majorBidi" w:cstheme="majorBidi"/>
          <w:sz w:val="20"/>
          <w:szCs w:val="20"/>
        </w:rPr>
        <w:t xml:space="preserve"> Israel Oceanographic and Limnological Research, </w:t>
      </w:r>
      <w:r w:rsidRPr="008A3178">
        <w:rPr>
          <w:rFonts w:asciiTheme="majorBidi" w:hAnsiTheme="majorBidi" w:cstheme="majorBidi"/>
          <w:sz w:val="20"/>
          <w:szCs w:val="20"/>
        </w:rPr>
        <w:t>National Institute of Oceanography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906926">
        <w:rPr>
          <w:rFonts w:asciiTheme="majorBidi" w:hAnsiTheme="majorBidi" w:cstheme="majorBidi"/>
          <w:sz w:val="20"/>
          <w:szCs w:val="20"/>
        </w:rPr>
        <w:t>Haifa, Israel</w:t>
      </w:r>
    </w:p>
    <w:p w14:paraId="78E24294" w14:textId="77777777" w:rsidR="005B66C5" w:rsidRDefault="005B66C5" w:rsidP="005B66C5">
      <w:pPr>
        <w:bidi w:val="0"/>
        <w:spacing w:after="0"/>
        <w:jc w:val="both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sz w:val="20"/>
          <w:szCs w:val="20"/>
        </w:rPr>
        <w:t xml:space="preserve"> School of Environmental Sciences, University of East Anglia, Norwich, NR4 7TJ, UK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</w:p>
    <w:p w14:paraId="1B2111F1" w14:textId="77777777" w:rsidR="005B66C5" w:rsidRDefault="005B66C5" w:rsidP="005B66C5">
      <w:pPr>
        <w:bidi w:val="0"/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906926">
        <w:rPr>
          <w:rFonts w:asciiTheme="majorBidi" w:hAnsiTheme="majorBidi" w:cstheme="majorBidi"/>
          <w:sz w:val="20"/>
          <w:szCs w:val="20"/>
        </w:rPr>
        <w:t xml:space="preserve"> The Yigal Allon Kinneret Limnological Laboratory, Israel Oceanographic and Limnological Research, Migdal, Israel </w:t>
      </w:r>
    </w:p>
    <w:bookmarkEnd w:id="1"/>
    <w:p w14:paraId="5EBA0CDC" w14:textId="77777777" w:rsidR="005B66C5" w:rsidRPr="00F840C2" w:rsidRDefault="005B66C5" w:rsidP="005B66C5">
      <w:pPr>
        <w:bidi w:val="0"/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713BB1">
        <w:rPr>
          <w:rFonts w:ascii="Arial" w:eastAsia="Times New Roman" w:hAnsi="Arial" w:cs="Arial"/>
          <w:lang w:val="en-GB" w:eastAsia="en-GB" w:bidi="ar-SA"/>
        </w:rPr>
        <w:t xml:space="preserve"> </w:t>
      </w:r>
      <w:r w:rsidRPr="00CA3128">
        <w:rPr>
          <w:rFonts w:asciiTheme="majorBidi" w:hAnsiTheme="majorBidi" w:cstheme="majorBidi"/>
          <w:sz w:val="20"/>
          <w:szCs w:val="20"/>
          <w:lang w:val="en-GB"/>
        </w:rPr>
        <w:t>Quadram Institute Bioscience, Norwich Research Park, Norwich, NR4 7UQ, UK</w:t>
      </w:r>
    </w:p>
    <w:p w14:paraId="08FAC0E0" w14:textId="77777777" w:rsidR="00E55FF0" w:rsidRPr="006A08E7" w:rsidRDefault="00E55FF0" w:rsidP="006A08E7">
      <w:pPr>
        <w:bidi w:val="0"/>
        <w:spacing w:after="0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341574" w14:textId="4F2D8CD5" w:rsidR="00990798" w:rsidRPr="00460125" w:rsidRDefault="00990798" w:rsidP="00460125">
      <w:pPr>
        <w:pStyle w:val="a3"/>
        <w:numPr>
          <w:ilvl w:val="0"/>
          <w:numId w:val="1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60125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54500024" w14:textId="34E60814" w:rsidR="00914EAE" w:rsidRPr="00600609" w:rsidRDefault="00990798" w:rsidP="00984185">
      <w:pPr>
        <w:pStyle w:val="a3"/>
        <w:numPr>
          <w:ilvl w:val="1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i/>
          <w:iCs/>
          <w:sz w:val="24"/>
          <w:szCs w:val="24"/>
        </w:rPr>
        <w:t>DNA-SIP experiment</w:t>
      </w:r>
    </w:p>
    <w:p w14:paraId="4830BA3E" w14:textId="4BA86397" w:rsidR="000D08EC" w:rsidRPr="00600609" w:rsidRDefault="00984185" w:rsidP="009841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>Supplementary Table</w:t>
      </w:r>
      <w:r w:rsidR="000D08EC"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Pr="00600609">
        <w:rPr>
          <w:rFonts w:asciiTheme="majorBidi" w:hAnsiTheme="majorBidi" w:cstheme="majorBidi"/>
          <w:sz w:val="24"/>
          <w:szCs w:val="24"/>
        </w:rPr>
        <w:t>S</w:t>
      </w:r>
      <w:r w:rsidR="000D08EC" w:rsidRPr="00600609">
        <w:rPr>
          <w:rFonts w:asciiTheme="majorBidi" w:hAnsiTheme="majorBidi" w:cstheme="majorBidi"/>
          <w:sz w:val="24"/>
          <w:szCs w:val="24"/>
        </w:rPr>
        <w:t>1</w:t>
      </w:r>
      <w:r w:rsidR="00186871"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Pr="00600609">
        <w:rPr>
          <w:rFonts w:asciiTheme="majorBidi" w:hAnsiTheme="majorBidi" w:cstheme="majorBidi"/>
          <w:sz w:val="24"/>
          <w:szCs w:val="24"/>
        </w:rPr>
        <w:t>(Excel)</w:t>
      </w:r>
      <w:r w:rsidR="000D08EC" w:rsidRPr="00600609">
        <w:rPr>
          <w:rFonts w:asciiTheme="majorBidi" w:hAnsiTheme="majorBidi" w:cstheme="majorBidi"/>
          <w:sz w:val="24"/>
          <w:szCs w:val="24"/>
        </w:rPr>
        <w:t xml:space="preserve">: </w:t>
      </w:r>
      <w:bookmarkStart w:id="3" w:name="_Hlk152946528"/>
      <w:r w:rsidR="000D08EC" w:rsidRPr="00600609">
        <w:rPr>
          <w:rFonts w:asciiTheme="majorBidi" w:hAnsiTheme="majorBidi" w:cstheme="majorBidi"/>
          <w:sz w:val="24"/>
          <w:szCs w:val="24"/>
        </w:rPr>
        <w:t>DNA-SIP sample list</w:t>
      </w:r>
      <w:r w:rsidR="00747B97" w:rsidRPr="00600609">
        <w:rPr>
          <w:rFonts w:asciiTheme="majorBidi" w:hAnsiTheme="majorBidi" w:cstheme="majorBidi"/>
          <w:sz w:val="24"/>
          <w:szCs w:val="24"/>
        </w:rPr>
        <w:t xml:space="preserve">, sampling time, </w:t>
      </w:r>
      <w:r w:rsidRPr="00600609">
        <w:rPr>
          <w:rFonts w:asciiTheme="majorBidi" w:hAnsiTheme="majorBidi" w:cstheme="majorBidi"/>
          <w:sz w:val="24"/>
          <w:szCs w:val="24"/>
        </w:rPr>
        <w:t xml:space="preserve">samples </w:t>
      </w:r>
      <w:r w:rsidR="00600609" w:rsidRPr="00600609">
        <w:rPr>
          <w:rFonts w:asciiTheme="majorBidi" w:hAnsiTheme="majorBidi" w:cstheme="majorBidi"/>
          <w:sz w:val="24"/>
          <w:szCs w:val="24"/>
        </w:rPr>
        <w:t>used</w:t>
      </w:r>
      <w:r w:rsidRPr="00600609">
        <w:rPr>
          <w:rFonts w:asciiTheme="majorBidi" w:hAnsiTheme="majorBidi" w:cstheme="majorBidi"/>
          <w:sz w:val="24"/>
          <w:szCs w:val="24"/>
        </w:rPr>
        <w:t xml:space="preserve"> for 16S rRNA </w:t>
      </w:r>
      <w:r w:rsidR="00A64891">
        <w:rPr>
          <w:rFonts w:asciiTheme="majorBidi" w:hAnsiTheme="majorBidi" w:cstheme="majorBidi"/>
          <w:sz w:val="24"/>
          <w:szCs w:val="24"/>
        </w:rPr>
        <w:t xml:space="preserve">gene </w:t>
      </w:r>
      <w:r w:rsidRPr="00600609">
        <w:rPr>
          <w:rFonts w:asciiTheme="majorBidi" w:hAnsiTheme="majorBidi" w:cstheme="majorBidi"/>
          <w:sz w:val="24"/>
          <w:szCs w:val="24"/>
        </w:rPr>
        <w:t>sequencing and metagenome analysis</w:t>
      </w:r>
      <w:r w:rsidR="00600609" w:rsidRPr="00600609">
        <w:rPr>
          <w:rFonts w:asciiTheme="majorBidi" w:hAnsiTheme="majorBidi" w:cstheme="majorBidi"/>
          <w:sz w:val="24"/>
          <w:szCs w:val="24"/>
        </w:rPr>
        <w:t>.</w:t>
      </w:r>
    </w:p>
    <w:bookmarkEnd w:id="3"/>
    <w:p w14:paraId="361FB502" w14:textId="77777777" w:rsidR="00914EAE" w:rsidRPr="00600609" w:rsidRDefault="00914EAE" w:rsidP="00E74861">
      <w:pPr>
        <w:pStyle w:val="a3"/>
        <w:bidi w:val="0"/>
        <w:ind w:left="108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2BFC9C76" w14:textId="0E40CBCD" w:rsidR="00914EAE" w:rsidRPr="00600609" w:rsidRDefault="000E4673" w:rsidP="00984185">
      <w:pPr>
        <w:pStyle w:val="a3"/>
        <w:numPr>
          <w:ilvl w:val="1"/>
          <w:numId w:val="1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00609">
        <w:rPr>
          <w:rFonts w:asciiTheme="majorBidi" w:hAnsiTheme="majorBidi" w:cstheme="majorBidi"/>
          <w:i/>
          <w:iCs/>
          <w:sz w:val="24"/>
          <w:szCs w:val="24"/>
        </w:rPr>
        <w:t>Anoxic experiment</w:t>
      </w:r>
    </w:p>
    <w:p w14:paraId="2C9209D1" w14:textId="16017359" w:rsidR="000E4673" w:rsidRPr="00600609" w:rsidRDefault="00984185" w:rsidP="009841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>Supplementary Table S2</w:t>
      </w:r>
      <w:r w:rsidR="00186871"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Pr="00600609">
        <w:rPr>
          <w:rFonts w:asciiTheme="majorBidi" w:hAnsiTheme="majorBidi" w:cstheme="majorBidi"/>
          <w:sz w:val="24"/>
          <w:szCs w:val="24"/>
        </w:rPr>
        <w:t xml:space="preserve">(Excel): </w:t>
      </w:r>
      <w:bookmarkStart w:id="4" w:name="_Hlk152946590"/>
      <w:r w:rsidRPr="00600609">
        <w:rPr>
          <w:rFonts w:asciiTheme="majorBidi" w:hAnsiTheme="majorBidi" w:cstheme="majorBidi"/>
          <w:sz w:val="24"/>
          <w:szCs w:val="24"/>
        </w:rPr>
        <w:t xml:space="preserve">Anoxic experiment sample list, sampling time, samples </w:t>
      </w:r>
      <w:r w:rsidR="00600609" w:rsidRPr="00600609">
        <w:rPr>
          <w:rFonts w:asciiTheme="majorBidi" w:hAnsiTheme="majorBidi" w:cstheme="majorBidi"/>
          <w:sz w:val="24"/>
          <w:szCs w:val="24"/>
        </w:rPr>
        <w:t>used</w:t>
      </w:r>
      <w:r w:rsidRPr="00600609">
        <w:rPr>
          <w:rFonts w:asciiTheme="majorBidi" w:hAnsiTheme="majorBidi" w:cstheme="majorBidi"/>
          <w:sz w:val="24"/>
          <w:szCs w:val="24"/>
        </w:rPr>
        <w:t xml:space="preserve"> for 16S rRNA </w:t>
      </w:r>
      <w:r w:rsidR="00A64891">
        <w:rPr>
          <w:rFonts w:asciiTheme="majorBidi" w:hAnsiTheme="majorBidi" w:cstheme="majorBidi"/>
          <w:sz w:val="24"/>
          <w:szCs w:val="24"/>
        </w:rPr>
        <w:t xml:space="preserve">gene </w:t>
      </w:r>
      <w:r w:rsidRPr="00600609">
        <w:rPr>
          <w:rFonts w:asciiTheme="majorBidi" w:hAnsiTheme="majorBidi" w:cstheme="majorBidi"/>
          <w:sz w:val="24"/>
          <w:szCs w:val="24"/>
        </w:rPr>
        <w:t>sequencing and metagenome analysis</w:t>
      </w:r>
      <w:r w:rsidR="00600609" w:rsidRPr="00600609">
        <w:rPr>
          <w:rFonts w:asciiTheme="majorBidi" w:hAnsiTheme="majorBidi" w:cstheme="majorBidi"/>
          <w:sz w:val="24"/>
          <w:szCs w:val="24"/>
        </w:rPr>
        <w:t>.</w:t>
      </w:r>
    </w:p>
    <w:p w14:paraId="5F7F1445" w14:textId="67D3A664" w:rsidR="00984185" w:rsidRPr="00600609" w:rsidRDefault="00984185" w:rsidP="009841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bookmarkStart w:id="5" w:name="_Hlk152946407"/>
      <w:bookmarkEnd w:id="4"/>
      <w:r w:rsidRPr="00600609">
        <w:rPr>
          <w:rFonts w:asciiTheme="majorBidi" w:hAnsiTheme="majorBidi" w:cstheme="majorBidi"/>
          <w:sz w:val="24"/>
          <w:szCs w:val="24"/>
        </w:rPr>
        <w:t>Gases spiking events: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95"/>
      </w:tblGrid>
      <w:tr w:rsidR="00984185" w:rsidRPr="00600609" w14:paraId="71F31808" w14:textId="77777777" w:rsidTr="00984185">
        <w:tc>
          <w:tcPr>
            <w:tcW w:w="1701" w:type="dxa"/>
          </w:tcPr>
          <w:bookmarkEnd w:id="5"/>
          <w:p w14:paraId="293979B4" w14:textId="77777777" w:rsidR="00984185" w:rsidRPr="00600609" w:rsidRDefault="00984185" w:rsidP="00AD33F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Treatment</w:t>
            </w:r>
          </w:p>
        </w:tc>
        <w:tc>
          <w:tcPr>
            <w:tcW w:w="6595" w:type="dxa"/>
          </w:tcPr>
          <w:p w14:paraId="1CFEB1AE" w14:textId="77777777" w:rsidR="00984185" w:rsidRPr="00600609" w:rsidRDefault="00984185" w:rsidP="00AD33F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Spiking (days)</w:t>
            </w:r>
          </w:p>
        </w:tc>
      </w:tr>
      <w:tr w:rsidR="00984185" w:rsidRPr="00600609" w14:paraId="30A849CD" w14:textId="77777777" w:rsidTr="00984185">
        <w:tc>
          <w:tcPr>
            <w:tcW w:w="1701" w:type="dxa"/>
          </w:tcPr>
          <w:p w14:paraId="15EDD11D" w14:textId="77777777" w:rsidR="00984185" w:rsidRPr="00600609" w:rsidRDefault="00984185" w:rsidP="00AD33F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1% O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+ CH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595" w:type="dxa"/>
          </w:tcPr>
          <w:p w14:paraId="5F7BEFB8" w14:textId="77777777" w:rsidR="00984185" w:rsidRPr="00600609" w:rsidRDefault="00984185" w:rsidP="00AD33F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0,3,9,11,14,17,19,21,25,37</w:t>
            </w:r>
          </w:p>
        </w:tc>
      </w:tr>
      <w:tr w:rsidR="00984185" w:rsidRPr="00600609" w14:paraId="29B27D65" w14:textId="77777777" w:rsidTr="00984185">
        <w:tc>
          <w:tcPr>
            <w:tcW w:w="1701" w:type="dxa"/>
          </w:tcPr>
          <w:p w14:paraId="4323FCCA" w14:textId="77777777" w:rsidR="00984185" w:rsidRPr="00600609" w:rsidRDefault="00984185" w:rsidP="00AD33F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1% O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+ N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595" w:type="dxa"/>
          </w:tcPr>
          <w:p w14:paraId="56A59784" w14:textId="77777777" w:rsidR="00984185" w:rsidRPr="00600609" w:rsidRDefault="00984185" w:rsidP="00AD33F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0,3,9,11,14,37</w:t>
            </w:r>
          </w:p>
        </w:tc>
      </w:tr>
    </w:tbl>
    <w:p w14:paraId="65C8B2C5" w14:textId="77777777" w:rsidR="00984185" w:rsidRPr="00600609" w:rsidRDefault="00984185" w:rsidP="009841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2DE5BD43" w14:textId="094B9BE1" w:rsidR="00FA709F" w:rsidRPr="00600609" w:rsidRDefault="00FA709F" w:rsidP="00FE6E90">
      <w:pPr>
        <w:pStyle w:val="a3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i/>
          <w:iCs/>
          <w:vanish/>
          <w:sz w:val="24"/>
          <w:szCs w:val="24"/>
        </w:rPr>
      </w:pPr>
    </w:p>
    <w:p w14:paraId="619A78CC" w14:textId="77777777" w:rsidR="00FA709F" w:rsidRPr="00600609" w:rsidRDefault="00FA709F" w:rsidP="00FE6E90">
      <w:pPr>
        <w:pStyle w:val="a3"/>
        <w:numPr>
          <w:ilvl w:val="1"/>
          <w:numId w:val="3"/>
        </w:numPr>
        <w:bidi w:val="0"/>
        <w:jc w:val="both"/>
        <w:rPr>
          <w:rFonts w:asciiTheme="majorBidi" w:hAnsiTheme="majorBidi" w:cstheme="majorBidi"/>
          <w:i/>
          <w:iCs/>
          <w:vanish/>
          <w:sz w:val="24"/>
          <w:szCs w:val="24"/>
        </w:rPr>
      </w:pPr>
    </w:p>
    <w:p w14:paraId="7E19128E" w14:textId="77777777" w:rsidR="00FA709F" w:rsidRPr="00600609" w:rsidRDefault="00FA709F" w:rsidP="00FE6E90">
      <w:pPr>
        <w:pStyle w:val="a3"/>
        <w:numPr>
          <w:ilvl w:val="1"/>
          <w:numId w:val="3"/>
        </w:numPr>
        <w:bidi w:val="0"/>
        <w:jc w:val="both"/>
        <w:rPr>
          <w:rFonts w:asciiTheme="majorBidi" w:hAnsiTheme="majorBidi" w:cstheme="majorBidi"/>
          <w:i/>
          <w:iCs/>
          <w:vanish/>
          <w:sz w:val="24"/>
          <w:szCs w:val="24"/>
        </w:rPr>
      </w:pPr>
    </w:p>
    <w:p w14:paraId="66B10FF4" w14:textId="455065EF" w:rsidR="00FE6E90" w:rsidRPr="00600609" w:rsidRDefault="00FA709F" w:rsidP="00FE6E90">
      <w:pPr>
        <w:pStyle w:val="a3"/>
        <w:numPr>
          <w:ilvl w:val="1"/>
          <w:numId w:val="3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Bioinformatics</w:t>
      </w:r>
    </w:p>
    <w:p w14:paraId="1549E0D9" w14:textId="6DA8C6FC" w:rsidR="00FE6E90" w:rsidRPr="00600609" w:rsidRDefault="00FE6E90" w:rsidP="00FE6E9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>Supplementary T</w:t>
      </w:r>
      <w:r w:rsidR="00A1367D" w:rsidRPr="00600609">
        <w:rPr>
          <w:rFonts w:asciiTheme="majorBidi" w:hAnsiTheme="majorBidi" w:cstheme="majorBidi"/>
          <w:sz w:val="24"/>
          <w:szCs w:val="24"/>
        </w:rPr>
        <w:t>able</w:t>
      </w:r>
      <w:r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="00A64891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>3</w:t>
      </w:r>
      <w:r w:rsidR="00186871"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Pr="00600609">
        <w:rPr>
          <w:rFonts w:asciiTheme="majorBidi" w:hAnsiTheme="majorBidi" w:cstheme="majorBidi"/>
          <w:sz w:val="24"/>
          <w:szCs w:val="24"/>
        </w:rPr>
        <w:t xml:space="preserve">(Excel): </w:t>
      </w:r>
      <w:bookmarkStart w:id="6" w:name="_Hlk152946627"/>
      <w:r w:rsidRPr="00600609">
        <w:rPr>
          <w:rFonts w:asciiTheme="majorBidi" w:hAnsiTheme="majorBidi" w:cstheme="majorBidi"/>
          <w:sz w:val="24"/>
          <w:szCs w:val="24"/>
        </w:rPr>
        <w:t xml:space="preserve">list of </w:t>
      </w:r>
      <w:r w:rsidR="006D6265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6D6265"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 w:rsidRPr="00600609">
        <w:rPr>
          <w:rFonts w:asciiTheme="majorBidi" w:hAnsiTheme="majorBidi" w:cstheme="majorBidi"/>
          <w:sz w:val="24"/>
          <w:szCs w:val="24"/>
        </w:rPr>
        <w:t xml:space="preserve"> genomes used</w:t>
      </w:r>
      <w:r w:rsidR="00186871" w:rsidRPr="00600609">
        <w:rPr>
          <w:rFonts w:asciiTheme="majorBidi" w:hAnsiTheme="majorBidi" w:cstheme="majorBidi"/>
          <w:sz w:val="24"/>
          <w:szCs w:val="24"/>
        </w:rPr>
        <w:t>,</w:t>
      </w:r>
      <w:r w:rsidR="00526AC3" w:rsidRPr="00600609">
        <w:rPr>
          <w:rFonts w:asciiTheme="majorBidi" w:hAnsiTheme="majorBidi" w:cstheme="majorBidi"/>
          <w:sz w:val="24"/>
          <w:szCs w:val="24"/>
        </w:rPr>
        <w:t xml:space="preserve"> including detailed information. </w:t>
      </w:r>
    </w:p>
    <w:bookmarkEnd w:id="6"/>
    <w:p w14:paraId="749F4267" w14:textId="7EE6AED3" w:rsidR="00A1367D" w:rsidRPr="00600609" w:rsidRDefault="00A1367D" w:rsidP="0018687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A64891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>4</w:t>
      </w:r>
      <w:r w:rsidR="00186871"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Pr="00600609">
        <w:rPr>
          <w:rFonts w:asciiTheme="majorBidi" w:hAnsiTheme="majorBidi" w:cstheme="majorBidi"/>
          <w:sz w:val="24"/>
          <w:szCs w:val="24"/>
        </w:rPr>
        <w:t xml:space="preserve">(Excel): </w:t>
      </w:r>
      <w:bookmarkStart w:id="7" w:name="_Hlk152946660"/>
      <w:r w:rsidRPr="00600609">
        <w:rPr>
          <w:rFonts w:asciiTheme="majorBidi" w:hAnsiTheme="majorBidi" w:cstheme="majorBidi"/>
          <w:sz w:val="24"/>
          <w:szCs w:val="24"/>
        </w:rPr>
        <w:t xml:space="preserve">list of </w:t>
      </w:r>
      <w:r w:rsidR="00186871" w:rsidRPr="00600609">
        <w:rPr>
          <w:rFonts w:asciiTheme="majorBidi" w:hAnsiTheme="majorBidi" w:cstheme="majorBidi"/>
          <w:sz w:val="24"/>
          <w:szCs w:val="24"/>
        </w:rPr>
        <w:t xml:space="preserve">average nucleotide identity (ANI) values between </w:t>
      </w:r>
      <w:r w:rsidR="006D6265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6D6265"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 w:rsidR="00186871" w:rsidRPr="00600609">
        <w:rPr>
          <w:rFonts w:asciiTheme="majorBidi" w:hAnsiTheme="majorBidi" w:cstheme="majorBidi"/>
          <w:sz w:val="24"/>
          <w:szCs w:val="24"/>
        </w:rPr>
        <w:t xml:space="preserve"> genomes.</w:t>
      </w:r>
      <w:bookmarkEnd w:id="7"/>
    </w:p>
    <w:p w14:paraId="13D6F827" w14:textId="311FFFA1" w:rsidR="00FE6E90" w:rsidRPr="00600609" w:rsidRDefault="00466787" w:rsidP="0046678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A64891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 xml:space="preserve">5 (Excel): </w:t>
      </w:r>
      <w:bookmarkStart w:id="8" w:name="_Hlk152946694"/>
      <w:r w:rsidRPr="00600609">
        <w:rPr>
          <w:rFonts w:asciiTheme="majorBidi" w:hAnsiTheme="majorBidi" w:cstheme="majorBidi"/>
          <w:sz w:val="24"/>
          <w:szCs w:val="24"/>
        </w:rPr>
        <w:t>list of proteins used for phylogenetic tree c</w:t>
      </w:r>
      <w:r w:rsidR="00A64891">
        <w:rPr>
          <w:rFonts w:asciiTheme="majorBidi" w:hAnsiTheme="majorBidi" w:cstheme="majorBidi"/>
          <w:sz w:val="24"/>
          <w:szCs w:val="24"/>
        </w:rPr>
        <w:t>onstruction</w:t>
      </w:r>
      <w:r w:rsidRPr="00600609">
        <w:rPr>
          <w:rFonts w:asciiTheme="majorBidi" w:hAnsiTheme="majorBidi" w:cstheme="majorBidi"/>
          <w:sz w:val="24"/>
          <w:szCs w:val="24"/>
        </w:rPr>
        <w:t>.</w:t>
      </w:r>
    </w:p>
    <w:bookmarkEnd w:id="8"/>
    <w:p w14:paraId="1AB2ABF0" w14:textId="77777777" w:rsidR="00466787" w:rsidRPr="00600609" w:rsidRDefault="00466787" w:rsidP="00E74861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9F040EA" w14:textId="297B6346" w:rsidR="00466787" w:rsidRPr="00600609" w:rsidRDefault="00466787" w:rsidP="00466787">
      <w:pPr>
        <w:pStyle w:val="a3"/>
        <w:numPr>
          <w:ilvl w:val="0"/>
          <w:numId w:val="3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00609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Results and </w:t>
      </w:r>
      <w:r w:rsidR="00FA709F">
        <w:rPr>
          <w:rFonts w:asciiTheme="majorBidi" w:hAnsiTheme="majorBidi" w:cstheme="majorBidi"/>
          <w:b/>
          <w:bCs/>
          <w:sz w:val="24"/>
          <w:szCs w:val="24"/>
        </w:rPr>
        <w:t>Discussion</w:t>
      </w:r>
    </w:p>
    <w:p w14:paraId="05DE693B" w14:textId="77777777" w:rsidR="00600609" w:rsidRPr="00600609" w:rsidRDefault="00600609" w:rsidP="00600609">
      <w:pPr>
        <w:pStyle w:val="a3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i/>
          <w:iCs/>
          <w:vanish/>
          <w:sz w:val="24"/>
          <w:szCs w:val="24"/>
        </w:rPr>
      </w:pPr>
    </w:p>
    <w:p w14:paraId="4DABC12D" w14:textId="3AFA8C5E" w:rsidR="00A92125" w:rsidRPr="00600609" w:rsidRDefault="00D83661" w:rsidP="00600609">
      <w:pPr>
        <w:pStyle w:val="a3"/>
        <w:numPr>
          <w:ilvl w:val="1"/>
          <w:numId w:val="1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00609">
        <w:rPr>
          <w:rFonts w:asciiTheme="majorBidi" w:hAnsiTheme="majorBidi" w:cstheme="majorBidi"/>
          <w:i/>
          <w:iCs/>
          <w:sz w:val="24"/>
          <w:szCs w:val="24"/>
        </w:rPr>
        <w:t>Methylobacter</w:t>
      </w:r>
      <w:r w:rsidR="000D12B0"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r w:rsidR="00034CD8" w:rsidRPr="00600609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0D12B0" w:rsidRPr="00600609">
        <w:rPr>
          <w:rFonts w:asciiTheme="majorBidi" w:hAnsiTheme="majorBidi" w:cstheme="majorBidi"/>
          <w:i/>
          <w:iCs/>
          <w:sz w:val="24"/>
          <w:szCs w:val="24"/>
        </w:rPr>
        <w:t>ethylotenera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66787" w:rsidRPr="00600609">
        <w:rPr>
          <w:rFonts w:asciiTheme="majorBidi" w:hAnsiTheme="majorBidi" w:cstheme="majorBidi"/>
          <w:i/>
          <w:iCs/>
          <w:sz w:val="24"/>
          <w:szCs w:val="24"/>
        </w:rPr>
        <w:t>dominate</w:t>
      </w:r>
      <w:r w:rsidR="00B46D9C">
        <w:rPr>
          <w:rFonts w:asciiTheme="majorBidi" w:hAnsiTheme="majorBidi" w:cstheme="majorBidi"/>
          <w:i/>
          <w:iCs/>
          <w:sz w:val="24"/>
          <w:szCs w:val="24"/>
        </w:rPr>
        <w:t xml:space="preserve"> the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DNA-SIP experiment</w:t>
      </w:r>
    </w:p>
    <w:p w14:paraId="6EF48F44" w14:textId="542DC3F5" w:rsidR="00D83661" w:rsidRPr="00600609" w:rsidRDefault="00D83661" w:rsidP="00E7486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>The relative abundance of the microbial community remained the same regardless of the sampling period (Fig</w:t>
      </w:r>
      <w:r w:rsidR="00460125">
        <w:rPr>
          <w:rFonts w:asciiTheme="majorBidi" w:hAnsiTheme="majorBidi" w:cstheme="majorBidi"/>
          <w:sz w:val="24"/>
          <w:szCs w:val="24"/>
        </w:rPr>
        <w:t>ure</w:t>
      </w:r>
      <w:r w:rsidRPr="00600609">
        <w:rPr>
          <w:rFonts w:asciiTheme="majorBidi" w:hAnsiTheme="majorBidi" w:cstheme="majorBidi"/>
          <w:sz w:val="24"/>
          <w:szCs w:val="24"/>
        </w:rPr>
        <w:t xml:space="preserve"> S1</w:t>
      </w:r>
      <w:r w:rsidR="006174FE" w:rsidRPr="00600609">
        <w:rPr>
          <w:rFonts w:asciiTheme="majorBidi" w:hAnsiTheme="majorBidi" w:cstheme="majorBidi"/>
          <w:sz w:val="24"/>
          <w:szCs w:val="24"/>
        </w:rPr>
        <w:t>a</w:t>
      </w:r>
      <w:r w:rsidRPr="00600609">
        <w:rPr>
          <w:rFonts w:asciiTheme="majorBidi" w:hAnsiTheme="majorBidi" w:cstheme="majorBidi"/>
          <w:sz w:val="24"/>
          <w:szCs w:val="24"/>
        </w:rPr>
        <w:t xml:space="preserve">). The microbial community similarity relationship analysis, using PCoA based on Bray–Curtis dissimilarity distances, further demonstrated no difference among the </w:t>
      </w:r>
      <w:r w:rsidRPr="00FA709F">
        <w:rPr>
          <w:rFonts w:asciiTheme="majorBidi" w:hAnsiTheme="majorBidi" w:cstheme="majorBidi"/>
          <w:sz w:val="24"/>
          <w:szCs w:val="24"/>
          <w:vertAlign w:val="superscript"/>
        </w:rPr>
        <w:t>13</w:t>
      </w:r>
      <w:r w:rsidRPr="00600609">
        <w:rPr>
          <w:rFonts w:asciiTheme="majorBidi" w:hAnsiTheme="majorBidi" w:cstheme="majorBidi"/>
          <w:sz w:val="24"/>
          <w:szCs w:val="24"/>
        </w:rPr>
        <w:t>C-methane labeled fractions regardless of the sampling time (Fig</w:t>
      </w:r>
      <w:r w:rsidR="003A1AF1">
        <w:rPr>
          <w:rFonts w:asciiTheme="majorBidi" w:hAnsiTheme="majorBidi" w:cstheme="majorBidi"/>
          <w:sz w:val="24"/>
          <w:szCs w:val="24"/>
        </w:rPr>
        <w:t>ure</w:t>
      </w:r>
      <w:r w:rsidRPr="00600609">
        <w:rPr>
          <w:rFonts w:asciiTheme="majorBidi" w:hAnsiTheme="majorBidi" w:cstheme="majorBidi"/>
          <w:sz w:val="24"/>
          <w:szCs w:val="24"/>
        </w:rPr>
        <w:t xml:space="preserve"> S2</w:t>
      </w:r>
      <w:r w:rsidR="006174FE" w:rsidRPr="00600609">
        <w:rPr>
          <w:rFonts w:asciiTheme="majorBidi" w:hAnsiTheme="majorBidi" w:cstheme="majorBidi"/>
          <w:sz w:val="24"/>
          <w:szCs w:val="24"/>
        </w:rPr>
        <w:t>b</w:t>
      </w:r>
      <w:r w:rsidRPr="00600609">
        <w:rPr>
          <w:rFonts w:asciiTheme="majorBidi" w:hAnsiTheme="majorBidi" w:cstheme="majorBidi"/>
          <w:sz w:val="24"/>
          <w:szCs w:val="24"/>
        </w:rPr>
        <w:t>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174FE" w:rsidRPr="00600609" w14:paraId="6FA30785" w14:textId="77777777" w:rsidTr="00090D0B">
        <w:tc>
          <w:tcPr>
            <w:tcW w:w="8296" w:type="dxa"/>
          </w:tcPr>
          <w:p w14:paraId="680053FD" w14:textId="2A51F113" w:rsidR="006174FE" w:rsidRPr="00600609" w:rsidRDefault="00E74861" w:rsidP="006A08E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noProof/>
                <w:sz w:val="24"/>
                <w:szCs w:val="24"/>
                <w:lang w:val="en-GB" w:eastAsia="en-GB" w:bidi="ar-SA"/>
              </w:rPr>
              <w:drawing>
                <wp:inline distT="0" distB="0" distL="0" distR="0" wp14:anchorId="1A036804" wp14:editId="39F909BE">
                  <wp:extent cx="5900952" cy="3775206"/>
                  <wp:effectExtent l="0" t="0" r="0" b="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2" t="-191" r="-10573" b="191"/>
                          <a:stretch/>
                        </pic:blipFill>
                        <pic:spPr bwMode="auto">
                          <a:xfrm>
                            <a:off x="0" y="0"/>
                            <a:ext cx="6010200" cy="384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E" w:rsidRPr="00600609" w14:paraId="12ED73CB" w14:textId="77777777" w:rsidTr="00090D0B">
        <w:tc>
          <w:tcPr>
            <w:tcW w:w="8296" w:type="dxa"/>
          </w:tcPr>
          <w:p w14:paraId="5C6467C2" w14:textId="523806B4" w:rsidR="006174FE" w:rsidRPr="00600609" w:rsidRDefault="00E74861" w:rsidP="00E7486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noProof/>
                <w:sz w:val="24"/>
                <w:szCs w:val="24"/>
                <w:lang w:val="en-GB" w:eastAsia="en-GB" w:bidi="ar-SA"/>
              </w:rPr>
              <w:drawing>
                <wp:inline distT="0" distB="0" distL="0" distR="0" wp14:anchorId="157EA875" wp14:editId="33605DC7">
                  <wp:extent cx="3740150" cy="3275657"/>
                  <wp:effectExtent l="0" t="0" r="0" b="1270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796" cy="3303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E" w:rsidRPr="00600609" w14:paraId="569916EC" w14:textId="77777777" w:rsidTr="00090D0B">
        <w:tc>
          <w:tcPr>
            <w:tcW w:w="8296" w:type="dxa"/>
          </w:tcPr>
          <w:p w14:paraId="3A7FDEF4" w14:textId="5342EC31" w:rsidR="006174FE" w:rsidRPr="00600609" w:rsidRDefault="006174FE" w:rsidP="00E7486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Fig</w:t>
            </w:r>
            <w:r w:rsidR="00DF3DFC">
              <w:rPr>
                <w:rFonts w:asciiTheme="majorBidi" w:hAnsiTheme="majorBidi" w:cstheme="majorBidi"/>
                <w:sz w:val="24"/>
                <w:szCs w:val="24"/>
              </w:rPr>
              <w:t>ure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  <w:r w:rsidR="00C40D7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(a) 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>Relative abundance</w:t>
            </w:r>
            <w:r w:rsidR="006D4E24"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(%)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of the top 15 genera in the labeled </w:t>
            </w:r>
            <w:r w:rsidRPr="00FA709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13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>C-methane-fed cultures.</w:t>
            </w:r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(b) </w:t>
            </w:r>
            <w:bookmarkStart w:id="9" w:name="_Hlk152946156"/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Principal component analysis </w:t>
            </w:r>
            <w:bookmarkEnd w:id="9"/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>of the same samples, T1,</w:t>
            </w:r>
            <w:r w:rsidR="007641A1">
              <w:rPr>
                <w:rFonts w:asciiTheme="majorBidi" w:hAnsiTheme="majorBidi" w:cstheme="majorBidi"/>
                <w:sz w:val="24"/>
                <w:szCs w:val="24"/>
              </w:rPr>
              <w:t xml:space="preserve"> T</w:t>
            </w:r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2 and </w:t>
            </w:r>
            <w:r w:rsidR="007641A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>3 represent 7, 14 and 21-day incubation (circles, triangle, square, respectively), time zero (cross). The color coded indicates the v</w:t>
            </w:r>
            <w:r w:rsidR="00B46D9C">
              <w:rPr>
                <w:rFonts w:asciiTheme="majorBidi" w:hAnsiTheme="majorBidi" w:cstheme="majorBidi"/>
                <w:sz w:val="24"/>
                <w:szCs w:val="24"/>
              </w:rPr>
              <w:t>ia</w:t>
            </w:r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>l origin of the sample a,</w:t>
            </w:r>
            <w:r w:rsidR="007641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74861" w:rsidRPr="00600609">
              <w:rPr>
                <w:rFonts w:asciiTheme="majorBidi" w:hAnsiTheme="majorBidi" w:cstheme="majorBidi"/>
                <w:sz w:val="24"/>
                <w:szCs w:val="24"/>
              </w:rPr>
              <w:t>b or c.</w:t>
            </w:r>
          </w:p>
        </w:tc>
      </w:tr>
    </w:tbl>
    <w:p w14:paraId="3C67DAE0" w14:textId="77777777" w:rsidR="00D83661" w:rsidRPr="00600609" w:rsidRDefault="00D83661" w:rsidP="00E7486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3879ED36" w14:textId="7755C347" w:rsidR="000D12B0" w:rsidRPr="00600609" w:rsidRDefault="000D12B0" w:rsidP="00600609">
      <w:pPr>
        <w:pStyle w:val="a3"/>
        <w:numPr>
          <w:ilvl w:val="1"/>
          <w:numId w:val="1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Meth</w:t>
      </w:r>
      <w:r w:rsidR="00034CD8" w:rsidRPr="00600609">
        <w:rPr>
          <w:rFonts w:asciiTheme="majorBidi" w:hAnsiTheme="majorBidi" w:cstheme="majorBidi"/>
          <w:i/>
          <w:iCs/>
          <w:sz w:val="24"/>
          <w:szCs w:val="24"/>
        </w:rPr>
        <w:t>ylomonas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r w:rsidR="00034CD8" w:rsidRPr="00600609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ethylotenera </w:t>
      </w:r>
      <w:r w:rsidR="00BC61C6" w:rsidRPr="00600609">
        <w:rPr>
          <w:rFonts w:asciiTheme="majorBidi" w:hAnsiTheme="majorBidi" w:cstheme="majorBidi"/>
          <w:i/>
          <w:iCs/>
          <w:sz w:val="24"/>
          <w:szCs w:val="24"/>
        </w:rPr>
        <w:t>dominate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46D9C">
        <w:rPr>
          <w:rFonts w:asciiTheme="majorBidi" w:hAnsiTheme="majorBidi" w:cstheme="majorBidi"/>
          <w:i/>
          <w:iCs/>
          <w:sz w:val="24"/>
          <w:szCs w:val="24"/>
        </w:rPr>
        <w:t xml:space="preserve">the </w:t>
      </w:r>
      <w:r w:rsidR="00034CD8" w:rsidRPr="00600609">
        <w:rPr>
          <w:rFonts w:asciiTheme="majorBidi" w:hAnsiTheme="majorBidi" w:cstheme="majorBidi"/>
          <w:i/>
          <w:iCs/>
          <w:sz w:val="24"/>
          <w:szCs w:val="24"/>
        </w:rPr>
        <w:t>hypoxic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experiment</w:t>
      </w:r>
    </w:p>
    <w:p w14:paraId="45B47F06" w14:textId="30316BA3" w:rsidR="000D12B0" w:rsidRPr="00600609" w:rsidRDefault="00034CD8" w:rsidP="000D12B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 xml:space="preserve">The community </w:t>
      </w:r>
      <w:r w:rsidR="006D4E24" w:rsidRPr="00600609">
        <w:rPr>
          <w:rFonts w:asciiTheme="majorBidi" w:hAnsiTheme="majorBidi" w:cstheme="majorBidi"/>
          <w:sz w:val="24"/>
          <w:szCs w:val="24"/>
        </w:rPr>
        <w:t>in T</w:t>
      </w:r>
      <w:r w:rsidR="006D4E24" w:rsidRPr="00600609">
        <w:rPr>
          <w:rFonts w:asciiTheme="majorBidi" w:hAnsiTheme="majorBidi" w:cstheme="majorBidi"/>
          <w:sz w:val="24"/>
          <w:szCs w:val="24"/>
          <w:vertAlign w:val="subscript"/>
        </w:rPr>
        <w:t>o</w:t>
      </w:r>
      <w:r w:rsidR="006D4E24" w:rsidRPr="00600609">
        <w:rPr>
          <w:rFonts w:asciiTheme="majorBidi" w:hAnsiTheme="majorBidi" w:cstheme="majorBidi"/>
          <w:sz w:val="24"/>
          <w:szCs w:val="24"/>
        </w:rPr>
        <w:t xml:space="preserve"> and the N</w:t>
      </w:r>
      <w:r w:rsidR="006D4E24" w:rsidRPr="0060060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D4E24" w:rsidRPr="00600609">
        <w:rPr>
          <w:rFonts w:asciiTheme="majorBidi" w:hAnsiTheme="majorBidi" w:cstheme="majorBidi"/>
          <w:sz w:val="24"/>
          <w:szCs w:val="24"/>
        </w:rPr>
        <w:t>+O</w:t>
      </w:r>
      <w:r w:rsidR="006D4E24" w:rsidRPr="0060060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D4E24" w:rsidRPr="00600609">
        <w:rPr>
          <w:rFonts w:asciiTheme="majorBidi" w:hAnsiTheme="majorBidi" w:cstheme="majorBidi"/>
          <w:sz w:val="24"/>
          <w:szCs w:val="24"/>
        </w:rPr>
        <w:t xml:space="preserve"> treatment differ from the CH</w:t>
      </w:r>
      <w:r w:rsidR="006D4E24" w:rsidRPr="00600609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6D4E24" w:rsidRPr="00600609">
        <w:rPr>
          <w:rFonts w:asciiTheme="majorBidi" w:hAnsiTheme="majorBidi" w:cstheme="majorBidi"/>
          <w:sz w:val="24"/>
          <w:szCs w:val="24"/>
        </w:rPr>
        <w:t>+O</w:t>
      </w:r>
      <w:r w:rsidR="006D4E24" w:rsidRPr="0060060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D4E24"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="00B46D9C">
        <w:rPr>
          <w:rFonts w:asciiTheme="majorBidi" w:hAnsiTheme="majorBidi" w:cstheme="majorBidi"/>
          <w:sz w:val="24"/>
          <w:szCs w:val="24"/>
        </w:rPr>
        <w:t xml:space="preserve">treatment </w:t>
      </w:r>
      <w:r w:rsidR="006D4E24" w:rsidRPr="00600609">
        <w:rPr>
          <w:rFonts w:asciiTheme="majorBidi" w:hAnsiTheme="majorBidi" w:cstheme="majorBidi"/>
          <w:sz w:val="24"/>
          <w:szCs w:val="24"/>
        </w:rPr>
        <w:t>community.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D4E24" w:rsidRPr="00600609" w14:paraId="49CC03B1" w14:textId="77777777" w:rsidTr="00B807E4">
        <w:tc>
          <w:tcPr>
            <w:tcW w:w="8296" w:type="dxa"/>
          </w:tcPr>
          <w:p w14:paraId="3628798E" w14:textId="40062670" w:rsidR="006D4E24" w:rsidRPr="00600609" w:rsidRDefault="006D4E24" w:rsidP="006A08E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noProof/>
                <w:sz w:val="24"/>
                <w:szCs w:val="24"/>
                <w:lang w:val="en-GB" w:eastAsia="en-GB" w:bidi="ar-SA"/>
                <w14:ligatures w14:val="standardContextual"/>
              </w:rPr>
              <w:drawing>
                <wp:inline distT="0" distB="0" distL="0" distR="0" wp14:anchorId="46FD6D4E" wp14:editId="7C7DA518">
                  <wp:extent cx="4424574" cy="4853940"/>
                  <wp:effectExtent l="0" t="0" r="0" b="3810"/>
                  <wp:docPr id="983057798" name="תמונה 2" descr="תמונה שמכילה טקסט, צילום מסך, גופן, מקביל&#10;&#10;התיאור נוצר באופן אוטומט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57798" name="תמונה 2" descr="תמונה שמכילה טקסט, צילום מסך, גופן, מקביל&#10;&#10;התיאור נוצר באופן אוטומטי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40"/>
                          <a:stretch/>
                        </pic:blipFill>
                        <pic:spPr bwMode="auto">
                          <a:xfrm>
                            <a:off x="0" y="0"/>
                            <a:ext cx="4438792" cy="4869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E24" w:rsidRPr="00600609" w14:paraId="1F3038CB" w14:textId="77777777" w:rsidTr="00B807E4">
        <w:tc>
          <w:tcPr>
            <w:tcW w:w="8296" w:type="dxa"/>
          </w:tcPr>
          <w:p w14:paraId="32B6859A" w14:textId="2325F4C7" w:rsidR="006D4E24" w:rsidRPr="00600609" w:rsidRDefault="006D4E24" w:rsidP="006D4E24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00609">
              <w:rPr>
                <w:rFonts w:asciiTheme="majorBidi" w:hAnsiTheme="majorBidi" w:cstheme="majorBidi"/>
                <w:sz w:val="24"/>
                <w:szCs w:val="24"/>
              </w:rPr>
              <w:t>Fig</w:t>
            </w:r>
            <w:r w:rsidR="00DF3DFC">
              <w:rPr>
                <w:rFonts w:asciiTheme="majorBidi" w:hAnsiTheme="majorBidi" w:cstheme="majorBidi"/>
                <w:sz w:val="24"/>
                <w:szCs w:val="24"/>
              </w:rPr>
              <w:t>ure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  <w:r w:rsidR="00C40D7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bookmarkStart w:id="10" w:name="_Hlk152945888"/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Relative abundance </w:t>
            </w:r>
            <w:bookmarkEnd w:id="10"/>
            <w:r w:rsidRPr="00600609">
              <w:rPr>
                <w:rFonts w:asciiTheme="majorBidi" w:hAnsiTheme="majorBidi" w:cstheme="majorBidi"/>
                <w:sz w:val="24"/>
                <w:szCs w:val="24"/>
              </w:rPr>
              <w:t>(%) of the top 10 genera in the hypoxic experiment treatment CH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>+O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2,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N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>+O</w:t>
            </w:r>
            <w:r w:rsidRPr="0060060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2,</w:t>
            </w:r>
            <w:r w:rsidRPr="00600609">
              <w:rPr>
                <w:rFonts w:asciiTheme="majorBidi" w:hAnsiTheme="majorBidi" w:cstheme="majorBidi"/>
                <w:sz w:val="24"/>
                <w:szCs w:val="24"/>
              </w:rPr>
              <w:t xml:space="preserve"> and time zero sampling are marked as 1,2, and to respectively.</w:t>
            </w:r>
          </w:p>
        </w:tc>
      </w:tr>
    </w:tbl>
    <w:p w14:paraId="0B6F0CFD" w14:textId="77777777" w:rsidR="00600609" w:rsidRPr="00600609" w:rsidRDefault="00600609" w:rsidP="00BC61C6">
      <w:p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bookmarkStart w:id="11" w:name="_Hlk144583643"/>
    </w:p>
    <w:p w14:paraId="683D115F" w14:textId="02F1A5B7" w:rsidR="00BC61C6" w:rsidRPr="00600609" w:rsidRDefault="00BC61C6" w:rsidP="00600609">
      <w:pPr>
        <w:pStyle w:val="a3"/>
        <w:numPr>
          <w:ilvl w:val="1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i/>
          <w:iCs/>
          <w:sz w:val="24"/>
          <w:szCs w:val="24"/>
        </w:rPr>
        <w:t>Metabolic reconstruction of the novel Lake Kinneret methanotrophs</w:t>
      </w:r>
      <w:bookmarkEnd w:id="11"/>
    </w:p>
    <w:p w14:paraId="0A736F74" w14:textId="3DF60C7F" w:rsidR="00600609" w:rsidRPr="00600609" w:rsidRDefault="00600609" w:rsidP="0060060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bookmarkStart w:id="12" w:name="_Hlk152946815"/>
      <w:r w:rsidRPr="00600609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B46D9C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 xml:space="preserve">6 (Excel): list of predicted proteins and their copy number as predicted in LK </w:t>
      </w:r>
      <w:r w:rsidR="006D6265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6D6265"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 w:rsidRPr="00600609">
        <w:rPr>
          <w:rFonts w:asciiTheme="majorBidi" w:hAnsiTheme="majorBidi" w:cstheme="majorBidi"/>
          <w:sz w:val="24"/>
          <w:szCs w:val="24"/>
        </w:rPr>
        <w:t>.</w:t>
      </w:r>
    </w:p>
    <w:bookmarkEnd w:id="12"/>
    <w:p w14:paraId="168E484E" w14:textId="77777777" w:rsidR="00600609" w:rsidRPr="00600609" w:rsidRDefault="00600609" w:rsidP="0060060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1A2727B2" w14:textId="7C2E8F1E" w:rsidR="00600609" w:rsidRPr="00600609" w:rsidRDefault="00600609" w:rsidP="00600609">
      <w:pPr>
        <w:pStyle w:val="a3"/>
        <w:numPr>
          <w:ilvl w:val="1"/>
          <w:numId w:val="1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Adaptation of </w:t>
      </w:r>
      <w:r w:rsidR="006D6265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6D6265"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 w:rsidRPr="00600609">
        <w:rPr>
          <w:rFonts w:asciiTheme="majorBidi" w:hAnsiTheme="majorBidi" w:cstheme="majorBidi"/>
          <w:i/>
          <w:iCs/>
          <w:sz w:val="24"/>
          <w:szCs w:val="24"/>
        </w:rPr>
        <w:t xml:space="preserve"> to the hypoxic environment is not unique to Lake Kinneret</w:t>
      </w:r>
    </w:p>
    <w:p w14:paraId="0A509F79" w14:textId="245793D9" w:rsidR="00600609" w:rsidRPr="00B77EB0" w:rsidRDefault="00600609" w:rsidP="00B77EB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bookmarkStart w:id="13" w:name="_Hlk152947170"/>
      <w:r w:rsidRPr="00600609">
        <w:rPr>
          <w:rFonts w:asciiTheme="majorBidi" w:hAnsiTheme="majorBidi" w:cstheme="majorBidi"/>
          <w:sz w:val="24"/>
          <w:szCs w:val="24"/>
        </w:rPr>
        <w:lastRenderedPageBreak/>
        <w:t xml:space="preserve">Supplementary Table </w:t>
      </w:r>
      <w:r w:rsidR="00B46D9C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 xml:space="preserve">7 (Excel): list of predicted proteins used for the presence-absence list in Figure 4. This includes protein type,  location, and the name for each </w:t>
      </w:r>
      <w:r w:rsidR="006D6265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6D6265"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 w:rsidR="00B77EB0">
        <w:rPr>
          <w:rFonts w:asciiTheme="majorBidi" w:hAnsiTheme="majorBidi" w:cstheme="majorBidi"/>
          <w:sz w:val="24"/>
          <w:szCs w:val="24"/>
        </w:rPr>
        <w:t xml:space="preserve"> genome</w:t>
      </w:r>
      <w:r w:rsidR="00315E56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>.</w:t>
      </w:r>
    </w:p>
    <w:p w14:paraId="11EA95A6" w14:textId="2071D03B" w:rsidR="00B77EB0" w:rsidRDefault="00B77EB0" w:rsidP="00B77EB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B46D9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8</w:t>
      </w:r>
      <w:r w:rsidRPr="00600609">
        <w:rPr>
          <w:rFonts w:asciiTheme="majorBidi" w:hAnsiTheme="majorBidi" w:cstheme="majorBidi"/>
          <w:sz w:val="24"/>
          <w:szCs w:val="24"/>
        </w:rPr>
        <w:t xml:space="preserve"> (Excel): </w:t>
      </w:r>
      <w:r w:rsidR="00315E56">
        <w:rPr>
          <w:rFonts w:asciiTheme="majorBidi" w:hAnsiTheme="majorBidi" w:cstheme="majorBidi"/>
          <w:sz w:val="24"/>
          <w:szCs w:val="24"/>
        </w:rPr>
        <w:t>A list of predicted OMC proteins assigned using the FEET pipeline, manually</w:t>
      </w:r>
      <w:r w:rsidR="00315E56" w:rsidRPr="00D26515">
        <w:rPr>
          <w:rFonts w:asciiTheme="majorBidi" w:hAnsiTheme="majorBidi" w:cstheme="majorBidi"/>
          <w:sz w:val="24"/>
          <w:szCs w:val="24"/>
        </w:rPr>
        <w:t xml:space="preserve"> verified using the InterPro</w:t>
      </w:r>
      <w:r w:rsidR="00315E56" w:rsidRPr="00DC5B8B">
        <w:rPr>
          <w:rFonts w:asciiTheme="majorBidi" w:hAnsiTheme="majorBidi" w:cstheme="majorBidi"/>
          <w:sz w:val="24"/>
          <w:szCs w:val="24"/>
        </w:rPr>
        <w:t xml:space="preserve"> </w:t>
      </w:r>
      <w:r w:rsidR="00315E56" w:rsidRPr="009845B9">
        <w:rPr>
          <w:rFonts w:asciiTheme="majorBidi" w:hAnsiTheme="majorBidi" w:cstheme="majorBidi"/>
          <w:sz w:val="24"/>
          <w:szCs w:val="24"/>
        </w:rPr>
        <w:t>database</w:t>
      </w:r>
      <w:r w:rsidR="00315E56">
        <w:rPr>
          <w:rFonts w:asciiTheme="majorBidi" w:hAnsiTheme="majorBidi" w:cstheme="majorBidi"/>
          <w:sz w:val="24"/>
          <w:szCs w:val="24"/>
        </w:rPr>
        <w:t>,</w:t>
      </w:r>
      <w:r w:rsidRPr="00600609">
        <w:rPr>
          <w:rFonts w:asciiTheme="majorBidi" w:hAnsiTheme="majorBidi" w:cstheme="majorBidi"/>
          <w:sz w:val="24"/>
          <w:szCs w:val="24"/>
        </w:rPr>
        <w:t xml:space="preserve"> </w:t>
      </w:r>
      <w:r w:rsidR="00315E56">
        <w:rPr>
          <w:rFonts w:asciiTheme="majorBidi" w:hAnsiTheme="majorBidi" w:cstheme="majorBidi"/>
          <w:sz w:val="24"/>
          <w:szCs w:val="24"/>
        </w:rPr>
        <w:t xml:space="preserve">and </w:t>
      </w:r>
      <w:r w:rsidRPr="00600609">
        <w:rPr>
          <w:rFonts w:asciiTheme="majorBidi" w:hAnsiTheme="majorBidi" w:cstheme="majorBidi"/>
          <w:sz w:val="24"/>
          <w:szCs w:val="24"/>
        </w:rPr>
        <w:t>used for the presence-absence list in Figure 4. This includes protein type, location,</w:t>
      </w:r>
      <w:r>
        <w:rPr>
          <w:rFonts w:asciiTheme="majorBidi" w:hAnsiTheme="majorBidi" w:cstheme="majorBidi"/>
          <w:sz w:val="24"/>
          <w:szCs w:val="24"/>
        </w:rPr>
        <w:t xml:space="preserve"> protein sequence,</w:t>
      </w:r>
      <w:r w:rsidRPr="00600609">
        <w:rPr>
          <w:rFonts w:asciiTheme="majorBidi" w:hAnsiTheme="majorBidi" w:cstheme="majorBidi"/>
          <w:sz w:val="24"/>
          <w:szCs w:val="24"/>
        </w:rPr>
        <w:t xml:space="preserve"> and the name </w:t>
      </w:r>
      <w:r>
        <w:rPr>
          <w:rFonts w:asciiTheme="majorBidi" w:hAnsiTheme="majorBidi" w:cstheme="majorBidi"/>
          <w:sz w:val="24"/>
          <w:szCs w:val="24"/>
        </w:rPr>
        <w:t>of</w:t>
      </w:r>
      <w:r w:rsidRPr="00600609">
        <w:rPr>
          <w:rFonts w:asciiTheme="majorBidi" w:hAnsiTheme="majorBidi" w:cstheme="majorBidi"/>
          <w:sz w:val="24"/>
          <w:szCs w:val="24"/>
        </w:rPr>
        <w:t xml:space="preserve"> each </w:t>
      </w:r>
      <w:r w:rsidR="006D6265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6D6265"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>
        <w:rPr>
          <w:rFonts w:asciiTheme="majorBidi" w:hAnsiTheme="majorBidi" w:cstheme="majorBidi"/>
          <w:sz w:val="24"/>
          <w:szCs w:val="24"/>
        </w:rPr>
        <w:t xml:space="preserve"> genome</w:t>
      </w:r>
      <w:r w:rsidR="00315E56">
        <w:rPr>
          <w:rFonts w:asciiTheme="majorBidi" w:hAnsiTheme="majorBidi" w:cstheme="majorBidi"/>
          <w:sz w:val="24"/>
          <w:szCs w:val="24"/>
        </w:rPr>
        <w:t>s</w:t>
      </w:r>
      <w:r w:rsidRPr="00600609">
        <w:rPr>
          <w:rFonts w:asciiTheme="majorBidi" w:hAnsiTheme="majorBidi" w:cstheme="majorBidi"/>
          <w:sz w:val="24"/>
          <w:szCs w:val="24"/>
        </w:rPr>
        <w:t>.</w:t>
      </w:r>
      <w:r w:rsidR="00315E56">
        <w:rPr>
          <w:rFonts w:asciiTheme="majorBidi" w:hAnsiTheme="majorBidi" w:cstheme="majorBidi"/>
          <w:sz w:val="24"/>
          <w:szCs w:val="24"/>
        </w:rPr>
        <w:t xml:space="preserve"> </w:t>
      </w:r>
    </w:p>
    <w:p w14:paraId="57661780" w14:textId="7197CF2C" w:rsidR="00315E56" w:rsidRPr="00B77EB0" w:rsidRDefault="00315E56" w:rsidP="00315E5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0609">
        <w:rPr>
          <w:rFonts w:asciiTheme="majorBidi" w:hAnsiTheme="majorBidi" w:cstheme="majorBidi"/>
          <w:sz w:val="24"/>
          <w:szCs w:val="24"/>
        </w:rPr>
        <w:t xml:space="preserve">Supplementary Table </w:t>
      </w:r>
      <w:r>
        <w:rPr>
          <w:rFonts w:asciiTheme="majorBidi" w:hAnsiTheme="majorBidi" w:cstheme="majorBidi"/>
          <w:sz w:val="24"/>
          <w:szCs w:val="24"/>
        </w:rPr>
        <w:t>S9</w:t>
      </w:r>
      <w:r w:rsidRPr="00600609">
        <w:rPr>
          <w:rFonts w:asciiTheme="majorBidi" w:hAnsiTheme="majorBidi" w:cstheme="majorBidi"/>
          <w:sz w:val="24"/>
          <w:szCs w:val="24"/>
        </w:rPr>
        <w:t xml:space="preserve"> (Excel): </w:t>
      </w:r>
      <w:r>
        <w:rPr>
          <w:rFonts w:asciiTheme="majorBidi" w:hAnsiTheme="majorBidi" w:cstheme="majorBidi"/>
          <w:sz w:val="24"/>
          <w:szCs w:val="24"/>
        </w:rPr>
        <w:t xml:space="preserve">Additional information of the </w:t>
      </w:r>
      <w:r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777DBE">
        <w:rPr>
          <w:rFonts w:asciiTheme="majorBidi" w:hAnsiTheme="majorBidi" w:cstheme="majorBidi"/>
          <w:i/>
          <w:iCs/>
          <w:sz w:val="24"/>
          <w:szCs w:val="24"/>
        </w:rPr>
        <w:t>ethylococcales</w:t>
      </w:r>
      <w:r>
        <w:rPr>
          <w:rFonts w:asciiTheme="majorBidi" w:hAnsiTheme="majorBidi" w:cstheme="majorBidi"/>
          <w:sz w:val="24"/>
          <w:szCs w:val="24"/>
        </w:rPr>
        <w:t xml:space="preserve"> genomes presenting</w:t>
      </w:r>
      <w:r w:rsidR="00791195">
        <w:rPr>
          <w:rFonts w:asciiTheme="majorBidi" w:hAnsiTheme="majorBidi" w:cstheme="majorBidi"/>
          <w:sz w:val="24"/>
          <w:szCs w:val="24"/>
        </w:rPr>
        <w:t xml:space="preserve"> a</w:t>
      </w:r>
      <w:r w:rsidR="00791195" w:rsidRPr="00791195">
        <w:rPr>
          <w:rFonts w:asciiTheme="majorBidi" w:hAnsiTheme="majorBidi" w:cstheme="majorBidi"/>
          <w:sz w:val="24"/>
          <w:szCs w:val="24"/>
        </w:rPr>
        <w:t xml:space="preserve"> </w:t>
      </w:r>
      <w:r w:rsidR="00791195" w:rsidRPr="00600609">
        <w:rPr>
          <w:rFonts w:asciiTheme="majorBidi" w:hAnsiTheme="majorBidi" w:cstheme="majorBidi"/>
          <w:sz w:val="24"/>
          <w:szCs w:val="24"/>
        </w:rPr>
        <w:t>presence-absence</w:t>
      </w:r>
      <w:r w:rsidR="00791195">
        <w:rPr>
          <w:rFonts w:asciiTheme="majorBidi" w:hAnsiTheme="majorBidi" w:cstheme="majorBidi"/>
          <w:sz w:val="24"/>
          <w:szCs w:val="24"/>
        </w:rPr>
        <w:t xml:space="preserve"> list for the following predicted proteins: </w:t>
      </w:r>
      <w:r w:rsidR="002A7E28">
        <w:rPr>
          <w:rFonts w:asciiTheme="majorBidi" w:hAnsiTheme="majorBidi" w:cstheme="majorBidi"/>
          <w:sz w:val="24"/>
          <w:szCs w:val="24"/>
        </w:rPr>
        <w:t xml:space="preserve">particulate methane monooxygenase </w:t>
      </w:r>
      <w:r w:rsidR="002A7E28" w:rsidRPr="002A7E28">
        <w:rPr>
          <w:rFonts w:asciiTheme="majorBidi" w:hAnsiTheme="majorBidi" w:cstheme="majorBidi"/>
          <w:i/>
          <w:iCs/>
          <w:sz w:val="24"/>
          <w:szCs w:val="24"/>
        </w:rPr>
        <w:t>pmoCAB</w:t>
      </w:r>
      <w:r w:rsidR="00791195" w:rsidRPr="00791195">
        <w:rPr>
          <w:rFonts w:asciiTheme="majorBidi" w:hAnsiTheme="majorBidi" w:cstheme="majorBidi"/>
          <w:sz w:val="24"/>
          <w:szCs w:val="24"/>
        </w:rPr>
        <w:t xml:space="preserve"> operon</w:t>
      </w:r>
      <w:r w:rsidR="002A7E28">
        <w:rPr>
          <w:rFonts w:asciiTheme="majorBidi" w:hAnsiTheme="majorBidi" w:cstheme="majorBidi"/>
          <w:sz w:val="24"/>
          <w:szCs w:val="24"/>
        </w:rPr>
        <w:t xml:space="preserve"> and</w:t>
      </w:r>
      <w:r w:rsidR="00791195">
        <w:rPr>
          <w:rFonts w:asciiTheme="majorBidi" w:hAnsiTheme="majorBidi" w:cstheme="majorBidi"/>
          <w:sz w:val="24"/>
          <w:szCs w:val="24"/>
        </w:rPr>
        <w:t xml:space="preserve"> </w:t>
      </w:r>
      <w:r w:rsidR="002A7E28" w:rsidRPr="002A7E28">
        <w:rPr>
          <w:rFonts w:asciiTheme="majorBidi" w:hAnsiTheme="majorBidi" w:cstheme="majorBidi"/>
          <w:i/>
          <w:iCs/>
          <w:sz w:val="24"/>
          <w:szCs w:val="24"/>
        </w:rPr>
        <w:t>pxmABC</w:t>
      </w:r>
      <w:r w:rsidR="00791195" w:rsidRPr="00791195">
        <w:rPr>
          <w:rFonts w:asciiTheme="majorBidi" w:hAnsiTheme="majorBidi" w:cstheme="majorBidi"/>
          <w:sz w:val="24"/>
          <w:szCs w:val="24"/>
        </w:rPr>
        <w:t xml:space="preserve"> operon</w:t>
      </w:r>
      <w:r w:rsidR="00791195">
        <w:rPr>
          <w:rFonts w:asciiTheme="majorBidi" w:hAnsiTheme="majorBidi" w:cstheme="majorBidi"/>
          <w:sz w:val="24"/>
          <w:szCs w:val="24"/>
        </w:rPr>
        <w:t xml:space="preserve">, </w:t>
      </w:r>
      <w:r w:rsidR="002A7E28">
        <w:rPr>
          <w:rFonts w:asciiTheme="majorBidi" w:hAnsiTheme="majorBidi" w:cstheme="majorBidi"/>
          <w:sz w:val="24"/>
          <w:szCs w:val="24"/>
        </w:rPr>
        <w:t>s</w:t>
      </w:r>
      <w:r w:rsidR="00791195" w:rsidRPr="00791195">
        <w:rPr>
          <w:rFonts w:asciiTheme="majorBidi" w:hAnsiTheme="majorBidi" w:cstheme="majorBidi"/>
          <w:sz w:val="24"/>
          <w:szCs w:val="24"/>
        </w:rPr>
        <w:t>oluble methane monooxygenase (mmoXYBZDC)</w:t>
      </w:r>
      <w:r w:rsidR="00791195">
        <w:rPr>
          <w:rFonts w:asciiTheme="majorBidi" w:hAnsiTheme="majorBidi" w:cstheme="majorBidi"/>
          <w:sz w:val="24"/>
          <w:szCs w:val="24"/>
        </w:rPr>
        <w:t xml:space="preserve">, </w:t>
      </w:r>
      <w:r w:rsidR="002A7E28">
        <w:rPr>
          <w:rFonts w:asciiTheme="majorBidi" w:hAnsiTheme="majorBidi" w:cstheme="majorBidi"/>
          <w:sz w:val="24"/>
          <w:szCs w:val="24"/>
        </w:rPr>
        <w:t>l</w:t>
      </w:r>
      <w:r w:rsidR="00791195" w:rsidRPr="00791195">
        <w:rPr>
          <w:rFonts w:asciiTheme="majorBidi" w:hAnsiTheme="majorBidi" w:cstheme="majorBidi"/>
          <w:sz w:val="24"/>
          <w:szCs w:val="24"/>
        </w:rPr>
        <w:t>anthanide-</w:t>
      </w:r>
      <w:r w:rsidR="002A7E28">
        <w:rPr>
          <w:rFonts w:asciiTheme="majorBidi" w:hAnsiTheme="majorBidi" w:cstheme="majorBidi"/>
          <w:sz w:val="24"/>
          <w:szCs w:val="24"/>
        </w:rPr>
        <w:t>d</w:t>
      </w:r>
      <w:r w:rsidR="00791195" w:rsidRPr="00791195">
        <w:rPr>
          <w:rFonts w:asciiTheme="majorBidi" w:hAnsiTheme="majorBidi" w:cstheme="majorBidi"/>
          <w:sz w:val="24"/>
          <w:szCs w:val="24"/>
        </w:rPr>
        <w:t xml:space="preserve">ependent </w:t>
      </w:r>
      <w:r w:rsidR="002A7E28">
        <w:rPr>
          <w:rFonts w:asciiTheme="majorBidi" w:hAnsiTheme="majorBidi" w:cstheme="majorBidi"/>
          <w:sz w:val="24"/>
          <w:szCs w:val="24"/>
        </w:rPr>
        <w:t>m</w:t>
      </w:r>
      <w:r w:rsidR="00791195" w:rsidRPr="00791195">
        <w:rPr>
          <w:rFonts w:asciiTheme="majorBidi" w:hAnsiTheme="majorBidi" w:cstheme="majorBidi"/>
          <w:sz w:val="24"/>
          <w:szCs w:val="24"/>
        </w:rPr>
        <w:t xml:space="preserve">ethanol </w:t>
      </w:r>
      <w:r w:rsidR="002A7E28">
        <w:rPr>
          <w:rFonts w:asciiTheme="majorBidi" w:hAnsiTheme="majorBidi" w:cstheme="majorBidi"/>
          <w:sz w:val="24"/>
          <w:szCs w:val="24"/>
        </w:rPr>
        <w:t>d</w:t>
      </w:r>
      <w:r w:rsidR="00791195" w:rsidRPr="00791195">
        <w:rPr>
          <w:rFonts w:asciiTheme="majorBidi" w:hAnsiTheme="majorBidi" w:cstheme="majorBidi"/>
          <w:sz w:val="24"/>
          <w:szCs w:val="24"/>
        </w:rPr>
        <w:t>ehydrogenases (</w:t>
      </w:r>
      <w:r w:rsidR="002A7E28">
        <w:rPr>
          <w:rFonts w:asciiTheme="majorBidi" w:hAnsiTheme="majorBidi" w:cstheme="majorBidi"/>
          <w:sz w:val="24"/>
          <w:szCs w:val="24"/>
        </w:rPr>
        <w:t>x</w:t>
      </w:r>
      <w:r w:rsidR="00791195" w:rsidRPr="00791195">
        <w:rPr>
          <w:rFonts w:asciiTheme="majorBidi" w:hAnsiTheme="majorBidi" w:cstheme="majorBidi"/>
          <w:sz w:val="24"/>
          <w:szCs w:val="24"/>
        </w:rPr>
        <w:t>oxF)</w:t>
      </w:r>
      <w:r w:rsidR="00791195">
        <w:rPr>
          <w:rFonts w:asciiTheme="majorBidi" w:hAnsiTheme="majorBidi" w:cstheme="majorBidi"/>
          <w:sz w:val="24"/>
          <w:szCs w:val="24"/>
        </w:rPr>
        <w:t xml:space="preserve">, and </w:t>
      </w:r>
      <w:r w:rsidR="002A7E28">
        <w:rPr>
          <w:rFonts w:asciiTheme="majorBidi" w:hAnsiTheme="majorBidi" w:cstheme="majorBidi"/>
          <w:sz w:val="24"/>
          <w:szCs w:val="24"/>
        </w:rPr>
        <w:t>m</w:t>
      </w:r>
      <w:r w:rsidR="00791195" w:rsidRPr="00791195">
        <w:rPr>
          <w:rFonts w:asciiTheme="majorBidi" w:hAnsiTheme="majorBidi" w:cstheme="majorBidi"/>
          <w:sz w:val="24"/>
          <w:szCs w:val="24"/>
        </w:rPr>
        <w:t>ethanol dehydrogenase (</w:t>
      </w:r>
      <w:r w:rsidR="002A7E28">
        <w:rPr>
          <w:rFonts w:asciiTheme="majorBidi" w:hAnsiTheme="majorBidi" w:cstheme="majorBidi"/>
          <w:sz w:val="24"/>
          <w:szCs w:val="24"/>
        </w:rPr>
        <w:t>m</w:t>
      </w:r>
      <w:r w:rsidR="00791195" w:rsidRPr="00791195">
        <w:rPr>
          <w:rFonts w:asciiTheme="majorBidi" w:hAnsiTheme="majorBidi" w:cstheme="majorBidi"/>
          <w:sz w:val="24"/>
          <w:szCs w:val="24"/>
        </w:rPr>
        <w:t>xaF)</w:t>
      </w:r>
      <w:r w:rsidR="0079119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8A77C01" w14:textId="77777777" w:rsidR="00315E56" w:rsidRPr="00600609" w:rsidRDefault="00315E56" w:rsidP="00315E5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bookmarkEnd w:id="13"/>
    <w:p w14:paraId="4B49E482" w14:textId="77777777" w:rsidR="00600609" w:rsidRPr="00600609" w:rsidRDefault="00600609" w:rsidP="0060060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sectPr w:rsidR="00600609" w:rsidRPr="00600609" w:rsidSect="00D671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721AF"/>
    <w:multiLevelType w:val="multilevel"/>
    <w:tmpl w:val="FA649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07401F1"/>
    <w:multiLevelType w:val="multilevel"/>
    <w:tmpl w:val="8D6AA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5F31CD2"/>
    <w:multiLevelType w:val="hybridMultilevel"/>
    <w:tmpl w:val="D4DCA748"/>
    <w:lvl w:ilvl="0" w:tplc="54D4BA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07B5E"/>
    <w:multiLevelType w:val="multilevel"/>
    <w:tmpl w:val="8D6AA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79033253">
    <w:abstractNumId w:val="3"/>
  </w:num>
  <w:num w:numId="2" w16cid:durableId="1177572683">
    <w:abstractNumId w:val="2"/>
  </w:num>
  <w:num w:numId="3" w16cid:durableId="1313170267">
    <w:abstractNumId w:val="0"/>
  </w:num>
  <w:num w:numId="4" w16cid:durableId="145752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D9"/>
    <w:rsid w:val="00014A4D"/>
    <w:rsid w:val="00017D75"/>
    <w:rsid w:val="00034CD8"/>
    <w:rsid w:val="00062BE0"/>
    <w:rsid w:val="00090D0B"/>
    <w:rsid w:val="000A5CA9"/>
    <w:rsid w:val="000C271F"/>
    <w:rsid w:val="000D08EC"/>
    <w:rsid w:val="000D12B0"/>
    <w:rsid w:val="000E4673"/>
    <w:rsid w:val="00115A99"/>
    <w:rsid w:val="00144828"/>
    <w:rsid w:val="00180654"/>
    <w:rsid w:val="00186871"/>
    <w:rsid w:val="002A2ED9"/>
    <w:rsid w:val="002A7E28"/>
    <w:rsid w:val="00305D8D"/>
    <w:rsid w:val="00315E56"/>
    <w:rsid w:val="003A1AF1"/>
    <w:rsid w:val="003D338C"/>
    <w:rsid w:val="00430BA1"/>
    <w:rsid w:val="00460125"/>
    <w:rsid w:val="00466787"/>
    <w:rsid w:val="004D45B1"/>
    <w:rsid w:val="00526AC3"/>
    <w:rsid w:val="00551FE6"/>
    <w:rsid w:val="00587B4D"/>
    <w:rsid w:val="005B1827"/>
    <w:rsid w:val="005B66C5"/>
    <w:rsid w:val="005E0BF0"/>
    <w:rsid w:val="00600609"/>
    <w:rsid w:val="006174FE"/>
    <w:rsid w:val="006A08E7"/>
    <w:rsid w:val="006D4E24"/>
    <w:rsid w:val="006D6265"/>
    <w:rsid w:val="007313A1"/>
    <w:rsid w:val="00747B97"/>
    <w:rsid w:val="007641A1"/>
    <w:rsid w:val="00791195"/>
    <w:rsid w:val="007B2B51"/>
    <w:rsid w:val="008500BE"/>
    <w:rsid w:val="00854DC1"/>
    <w:rsid w:val="00863E68"/>
    <w:rsid w:val="008C4843"/>
    <w:rsid w:val="008C681C"/>
    <w:rsid w:val="009147CD"/>
    <w:rsid w:val="00914EAE"/>
    <w:rsid w:val="00984185"/>
    <w:rsid w:val="00990798"/>
    <w:rsid w:val="009933B1"/>
    <w:rsid w:val="009C58A3"/>
    <w:rsid w:val="00A06066"/>
    <w:rsid w:val="00A1367D"/>
    <w:rsid w:val="00A64891"/>
    <w:rsid w:val="00A92125"/>
    <w:rsid w:val="00AB3AB8"/>
    <w:rsid w:val="00B46D9C"/>
    <w:rsid w:val="00B77EB0"/>
    <w:rsid w:val="00B807E4"/>
    <w:rsid w:val="00BC61C6"/>
    <w:rsid w:val="00C40D7E"/>
    <w:rsid w:val="00CB3241"/>
    <w:rsid w:val="00D100A8"/>
    <w:rsid w:val="00D671A4"/>
    <w:rsid w:val="00D83661"/>
    <w:rsid w:val="00D95E02"/>
    <w:rsid w:val="00DD3DFC"/>
    <w:rsid w:val="00DE7D96"/>
    <w:rsid w:val="00DF3DFC"/>
    <w:rsid w:val="00DF417B"/>
    <w:rsid w:val="00E0220B"/>
    <w:rsid w:val="00E5290B"/>
    <w:rsid w:val="00E55FF0"/>
    <w:rsid w:val="00E74861"/>
    <w:rsid w:val="00EB35FD"/>
    <w:rsid w:val="00EF3CEE"/>
    <w:rsid w:val="00F63EEF"/>
    <w:rsid w:val="00FA65F7"/>
    <w:rsid w:val="00FA709F"/>
    <w:rsid w:val="00FB719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4E09E"/>
  <w15:chartTrackingRefBased/>
  <w15:docId w15:val="{6B713ED3-3259-4678-9BCA-C36204D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24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98"/>
    <w:pPr>
      <w:ind w:left="720"/>
      <w:contextualSpacing/>
    </w:pPr>
  </w:style>
  <w:style w:type="table" w:styleId="a4">
    <w:name w:val="Table Grid"/>
    <w:basedOn w:val="a1"/>
    <w:uiPriority w:val="39"/>
    <w:rsid w:val="000D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A64891"/>
    <w:rPr>
      <w:rFonts w:ascii="Segoe UI" w:hAnsi="Segoe UI" w:cs="Segoe UI"/>
      <w:kern w:val="0"/>
      <w:sz w:val="18"/>
      <w:szCs w:val="18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B46D9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46D9C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B46D9C"/>
    <w:rPr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9C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B46D9C"/>
    <w:rPr>
      <w:b/>
      <w:bCs/>
      <w:kern w:val="0"/>
      <w:sz w:val="20"/>
      <w:szCs w:val="20"/>
      <w14:ligatures w14:val="none"/>
    </w:rPr>
  </w:style>
  <w:style w:type="paragraph" w:styleId="ac">
    <w:name w:val="Revision"/>
    <w:hidden/>
    <w:uiPriority w:val="99"/>
    <w:semiHidden/>
    <w:rsid w:val="00FA70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B8F7-70CF-4297-97DA-E289D1BE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3219</Characters>
  <Application>Microsoft Office Word</Application>
  <DocSecurity>0</DocSecurity>
  <Lines>80</Lines>
  <Paragraphs>37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אלמוג גפני</dc:creator>
  <cp:keywords/>
  <dc:description/>
  <cp:lastModifiedBy>אלמוג גפני</cp:lastModifiedBy>
  <cp:revision>2</cp:revision>
  <dcterms:created xsi:type="dcterms:W3CDTF">2024-03-21T21:28:00Z</dcterms:created>
  <dcterms:modified xsi:type="dcterms:W3CDTF">2024-03-21T21:28:00Z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13d8fac4bcdb268dbc06d1a5c24088ca74885369cbbfe7235743e782c2f950a0</vt:lpwstr>
  </property>
  <property fmtid="{D5CDD505-2E9C-101B-9397-08002B2CF9AE}" pid="3" name="Mendeley Recent Style Id 0_1">
    <vt:lpwstr>http://www.zotero.org/styles/american-chemical-society-with-titles-doi-no-et-al</vt:lpwstr>
  </property>
  <property fmtid="{D5CDD505-2E9C-101B-9397-08002B2CF9AE}" pid="4" name="Mendeley Recent Style Name 0_1">
    <vt:lpwstr>American Chemical Society (with titles and DOI, no "et al.")</vt:lpwstr>
  </property>
  <property fmtid="{D5CDD505-2E9C-101B-9397-08002B2CF9AE}" pid="5" name="Mendeley Recent Style Id 1_1">
    <vt:lpwstr>http://www.zotero.org/styles/american-medical-association</vt:lpwstr>
  </property>
  <property fmtid="{D5CDD505-2E9C-101B-9397-08002B2CF9AE}" pid="6" name="Mendeley Recent Style Name 1_1">
    <vt:lpwstr>American Medical Association</vt:lpwstr>
  </property>
  <property fmtid="{D5CDD505-2E9C-101B-9397-08002B2CF9AE}" pid="7" name="Mendeley Recent Style Id 2_1">
    <vt:lpwstr>http://www.zotero.org/styles/american-political-science-association</vt:lpwstr>
  </property>
  <property fmtid="{D5CDD505-2E9C-101B-9397-08002B2CF9AE}" pid="8" name="Mendeley Recent Style Name 2_1">
    <vt:lpwstr>American Political Science Association</vt:lpwstr>
  </property>
  <property fmtid="{D5CDD505-2E9C-101B-9397-08002B2CF9AE}" pid="9" name="Mendeley Recent Style Id 3_1">
    <vt:lpwstr>http://www.zotero.org/styles/apa</vt:lpwstr>
  </property>
  <property fmtid="{D5CDD505-2E9C-101B-9397-08002B2CF9AE}" pid="10" name="Mendeley Recent Style Name 3_1">
    <vt:lpwstr>American Psychological Association 6th edition</vt:lpwstr>
  </property>
  <property fmtid="{D5CDD505-2E9C-101B-9397-08002B2CF9AE}" pid="11" name="Mendeley Recent Style Id 4_1">
    <vt:lpwstr>http://www.zotero.org/styles/chemosphere</vt:lpwstr>
  </property>
  <property fmtid="{D5CDD505-2E9C-101B-9397-08002B2CF9AE}" pid="12" name="Mendeley Recent Style Name 4_1">
    <vt:lpwstr>Chemosphere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10th edition - Harvard</vt:lpwstr>
  </property>
  <property fmtid="{D5CDD505-2E9C-101B-9397-08002B2CF9AE}" pid="17" name="Mendeley Recent Style Id 7_1">
    <vt:lpwstr>http://www.zotero.org/styles/elsevier-vancouver-author-date</vt:lpwstr>
  </property>
  <property fmtid="{D5CDD505-2E9C-101B-9397-08002B2CF9AE}" pid="18" name="Mendeley Recent Style Name 7_1">
    <vt:lpwstr>Elsevier - Vancouver (author-date)</vt:lpwstr>
  </property>
  <property fmtid="{D5CDD505-2E9C-101B-9397-08002B2CF9AE}" pid="19" name="Mendeley Recent Style Id 8_1">
    <vt:lpwstr>http://www.zotero.org/styles/ieee</vt:lpwstr>
  </property>
  <property fmtid="{D5CDD505-2E9C-101B-9397-08002B2CF9AE}" pid="20" name="Mendeley Recent Style Name 8_1">
    <vt:lpwstr>IEEE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