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617C6A" w14:textId="3B6866EE" w:rsidR="00271A70" w:rsidRDefault="00271A70" w:rsidP="00271A70">
      <w:pPr>
        <w:spacing w:line="240" w:lineRule="auto"/>
        <w:rPr>
          <w:rFonts w:ascii="Times New Roman" w:eastAsia="Times New Roman" w:hAnsi="Times New Roman" w:cs="Times New Roman"/>
          <w:b/>
          <w:sz w:val="24"/>
          <w:szCs w:val="24"/>
        </w:rPr>
      </w:pPr>
    </w:p>
    <w:p w14:paraId="02C00934" w14:textId="77777777" w:rsidR="00DB5B43" w:rsidRPr="00CE39A1" w:rsidRDefault="00DB5B43" w:rsidP="00DB5B43">
      <w:pPr>
        <w:spacing w:line="480" w:lineRule="auto"/>
        <w:rPr>
          <w:rFonts w:ascii="Times New Roman" w:eastAsia="Times New Roman" w:hAnsi="Times New Roman" w:cs="Times New Roman"/>
          <w:sz w:val="24"/>
          <w:szCs w:val="24"/>
        </w:rPr>
      </w:pPr>
      <w:r w:rsidRPr="00CE39A1">
        <w:rPr>
          <w:rFonts w:ascii="Times New Roman" w:eastAsia="Times New Roman" w:hAnsi="Times New Roman" w:cs="Times New Roman"/>
          <w:b/>
          <w:bCs/>
          <w:sz w:val="24"/>
          <w:szCs w:val="24"/>
        </w:rPr>
        <w:t>Table 2:</w:t>
      </w:r>
      <w:r w:rsidRPr="00CE39A1">
        <w:rPr>
          <w:rFonts w:ascii="Times New Roman" w:eastAsia="Times New Roman" w:hAnsi="Times New Roman" w:cs="Times New Roman"/>
          <w:sz w:val="24"/>
          <w:szCs w:val="24"/>
        </w:rPr>
        <w:t xml:space="preserve"> Inclusion of environmental features that might mitigate the negative impact of meteorological conditions in audit tools developed to assess pedestrian environments. Bolded items were never observed</w:t>
      </w:r>
    </w:p>
    <w:p w14:paraId="7CEE3305" w14:textId="77777777" w:rsidR="00341DC1" w:rsidRPr="00CE39A1" w:rsidRDefault="00341DC1" w:rsidP="00341DC1">
      <w:pPr>
        <w:spacing w:line="480" w:lineRule="auto"/>
        <w:rPr>
          <w:rFonts w:ascii="Times New Roman" w:eastAsia="Times New Roman" w:hAnsi="Times New Roman" w:cs="Times New Roman"/>
          <w:sz w:val="24"/>
          <w:szCs w:val="24"/>
        </w:rPr>
      </w:pPr>
    </w:p>
    <w:tbl>
      <w:tblPr>
        <w:tblStyle w:val="PlainTable3"/>
        <w:tblpPr w:leftFromText="180" w:rightFromText="180" w:vertAnchor="text" w:tblpXSpec="center" w:tblpY="1"/>
        <w:tblOverlap w:val="never"/>
        <w:tblW w:w="14394" w:type="dxa"/>
        <w:tblLayout w:type="fixed"/>
        <w:tblLook w:val="02A0" w:firstRow="1" w:lastRow="0" w:firstColumn="1" w:lastColumn="0" w:noHBand="1" w:noVBand="0"/>
      </w:tblPr>
      <w:tblGrid>
        <w:gridCol w:w="473"/>
        <w:gridCol w:w="3758"/>
        <w:gridCol w:w="376"/>
        <w:gridCol w:w="376"/>
        <w:gridCol w:w="377"/>
        <w:gridCol w:w="376"/>
        <w:gridCol w:w="376"/>
        <w:gridCol w:w="377"/>
        <w:gridCol w:w="376"/>
        <w:gridCol w:w="376"/>
        <w:gridCol w:w="377"/>
        <w:gridCol w:w="376"/>
        <w:gridCol w:w="376"/>
        <w:gridCol w:w="377"/>
        <w:gridCol w:w="376"/>
        <w:gridCol w:w="377"/>
        <w:gridCol w:w="376"/>
        <w:gridCol w:w="376"/>
        <w:gridCol w:w="377"/>
        <w:gridCol w:w="376"/>
        <w:gridCol w:w="376"/>
        <w:gridCol w:w="377"/>
        <w:gridCol w:w="376"/>
        <w:gridCol w:w="376"/>
        <w:gridCol w:w="377"/>
        <w:gridCol w:w="376"/>
        <w:gridCol w:w="377"/>
        <w:gridCol w:w="377"/>
        <w:gridCol w:w="377"/>
      </w:tblGrid>
      <w:tr w:rsidR="00341DC1" w:rsidRPr="00CE39A1" w14:paraId="7FAC4948" w14:textId="77777777" w:rsidTr="0076348E">
        <w:trPr>
          <w:cnfStyle w:val="100000000000" w:firstRow="1" w:lastRow="0" w:firstColumn="0" w:lastColumn="0" w:oddVBand="0" w:evenVBand="0" w:oddHBand="0" w:evenHBand="0" w:firstRowFirstColumn="0" w:firstRowLastColumn="0" w:lastRowFirstColumn="0" w:lastRowLastColumn="0"/>
          <w:trHeight w:val="2064"/>
        </w:trPr>
        <w:tc>
          <w:tcPr>
            <w:cnfStyle w:val="001000000100" w:firstRow="0" w:lastRow="0" w:firstColumn="1" w:lastColumn="0" w:oddVBand="0" w:evenVBand="0" w:oddHBand="0" w:evenHBand="0" w:firstRowFirstColumn="1" w:firstRowLastColumn="0" w:lastRowFirstColumn="0" w:lastRowLastColumn="0"/>
            <w:tcW w:w="473" w:type="dxa"/>
            <w:tcBorders>
              <w:top w:val="single" w:sz="24" w:space="0" w:color="auto"/>
              <w:bottom w:val="single" w:sz="24" w:space="0" w:color="auto"/>
            </w:tcBorders>
            <w:noWrap/>
            <w:hideMark/>
          </w:tcPr>
          <w:p w14:paraId="5928412C" w14:textId="77777777" w:rsidR="00341DC1" w:rsidRPr="00CE39A1" w:rsidRDefault="00341DC1" w:rsidP="0076348E">
            <w:pPr>
              <w:spacing w:line="480" w:lineRule="auto"/>
              <w:rPr>
                <w:rFonts w:ascii="Times New Roman" w:eastAsia="Times New Roman" w:hAnsi="Times New Roman" w:cs="Times New Roman"/>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24" w:space="0" w:color="auto"/>
              <w:bottom w:val="single" w:sz="24" w:space="0" w:color="auto"/>
              <w:right w:val="single" w:sz="4" w:space="0" w:color="auto"/>
            </w:tcBorders>
            <w:shd w:val="clear" w:color="auto" w:fill="FFFFFF" w:themeFill="background1"/>
            <w:vAlign w:val="center"/>
            <w:hideMark/>
          </w:tcPr>
          <w:p w14:paraId="785926A6"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Feature</w:t>
            </w:r>
          </w:p>
        </w:tc>
        <w:tc>
          <w:tcPr>
            <w:tcW w:w="376" w:type="dxa"/>
            <w:tcBorders>
              <w:top w:val="single" w:sz="24" w:space="0" w:color="auto"/>
              <w:left w:val="single" w:sz="4" w:space="0" w:color="auto"/>
              <w:bottom w:val="single" w:sz="24" w:space="0" w:color="auto"/>
            </w:tcBorders>
            <w:textDirection w:val="btLr"/>
            <w:hideMark/>
          </w:tcPr>
          <w:p w14:paraId="0F2C9D34" w14:textId="77777777" w:rsidR="00341DC1" w:rsidRPr="00CE39A1" w:rsidRDefault="00341DC1" w:rsidP="0076348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ANC</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24" w:space="0" w:color="auto"/>
            </w:tcBorders>
            <w:textDirection w:val="btLr"/>
            <w:hideMark/>
          </w:tcPr>
          <w:p w14:paraId="3D9780C6" w14:textId="77777777" w:rsidR="00341DC1" w:rsidRPr="00CE39A1" w:rsidRDefault="00341DC1" w:rsidP="0076348E">
            <w:pPr>
              <w:spacing w:line="480" w:lineRule="auto"/>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CANVAS</w:t>
            </w:r>
          </w:p>
        </w:tc>
        <w:tc>
          <w:tcPr>
            <w:tcW w:w="377" w:type="dxa"/>
            <w:tcBorders>
              <w:top w:val="single" w:sz="24" w:space="0" w:color="auto"/>
              <w:bottom w:val="single" w:sz="24" w:space="0" w:color="auto"/>
            </w:tcBorders>
            <w:textDirection w:val="btLr"/>
            <w:hideMark/>
          </w:tcPr>
          <w:p w14:paraId="7833FE33" w14:textId="77777777" w:rsidR="00341DC1" w:rsidRPr="00CE39A1" w:rsidRDefault="00341DC1" w:rsidP="0076348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CUBEST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24" w:space="0" w:color="auto"/>
            </w:tcBorders>
            <w:textDirection w:val="btLr"/>
            <w:hideMark/>
          </w:tcPr>
          <w:p w14:paraId="7DABD54C" w14:textId="77777777" w:rsidR="00341DC1" w:rsidRPr="00CE39A1" w:rsidRDefault="00341DC1" w:rsidP="0076348E">
            <w:pPr>
              <w:spacing w:line="480" w:lineRule="auto"/>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iCHART</w:t>
            </w:r>
          </w:p>
        </w:tc>
        <w:tc>
          <w:tcPr>
            <w:tcW w:w="376" w:type="dxa"/>
            <w:tcBorders>
              <w:top w:val="single" w:sz="24" w:space="0" w:color="auto"/>
              <w:bottom w:val="single" w:sz="24" w:space="0" w:color="auto"/>
            </w:tcBorders>
            <w:textDirection w:val="btLr"/>
            <w:hideMark/>
          </w:tcPr>
          <w:p w14:paraId="4422BEAB" w14:textId="77777777" w:rsidR="00341DC1" w:rsidRPr="00CE39A1" w:rsidRDefault="00341DC1" w:rsidP="0076348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IMI</w:t>
            </w: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24" w:space="0" w:color="auto"/>
            </w:tcBorders>
            <w:textDirection w:val="btLr"/>
            <w:hideMark/>
          </w:tcPr>
          <w:p w14:paraId="03F97BEB" w14:textId="77777777" w:rsidR="00341DC1" w:rsidRPr="00CE39A1" w:rsidRDefault="00341DC1" w:rsidP="0076348E">
            <w:pPr>
              <w:spacing w:line="480" w:lineRule="auto"/>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MAPS</w:t>
            </w:r>
          </w:p>
        </w:tc>
        <w:tc>
          <w:tcPr>
            <w:tcW w:w="376" w:type="dxa"/>
            <w:tcBorders>
              <w:top w:val="single" w:sz="24" w:space="0" w:color="auto"/>
              <w:bottom w:val="single" w:sz="24" w:space="0" w:color="auto"/>
            </w:tcBorders>
            <w:textDirection w:val="btLr"/>
            <w:hideMark/>
          </w:tcPr>
          <w:p w14:paraId="15139907" w14:textId="77777777" w:rsidR="00341DC1" w:rsidRPr="00CE39A1" w:rsidRDefault="00341DC1" w:rsidP="0076348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MAPS-MGlobal</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24" w:space="0" w:color="auto"/>
            </w:tcBorders>
            <w:textDirection w:val="btLr"/>
            <w:hideMark/>
          </w:tcPr>
          <w:p w14:paraId="2BE24CEE" w14:textId="77777777" w:rsidR="00341DC1" w:rsidRPr="00CE39A1" w:rsidRDefault="00341DC1" w:rsidP="0076348E">
            <w:pPr>
              <w:spacing w:line="480" w:lineRule="auto"/>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OPCER</w:t>
            </w:r>
          </w:p>
        </w:tc>
        <w:tc>
          <w:tcPr>
            <w:tcW w:w="377" w:type="dxa"/>
            <w:tcBorders>
              <w:top w:val="single" w:sz="24" w:space="0" w:color="auto"/>
              <w:bottom w:val="single" w:sz="24" w:space="0" w:color="auto"/>
            </w:tcBorders>
            <w:textDirection w:val="btLr"/>
            <w:hideMark/>
          </w:tcPr>
          <w:p w14:paraId="23AE0075" w14:textId="77777777" w:rsidR="00341DC1" w:rsidRPr="00CE39A1" w:rsidRDefault="00341DC1" w:rsidP="0076348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PHRESH</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24" w:space="0" w:color="auto"/>
            </w:tcBorders>
            <w:textDirection w:val="btLr"/>
            <w:hideMark/>
          </w:tcPr>
          <w:p w14:paraId="6554529B" w14:textId="77777777" w:rsidR="00341DC1" w:rsidRPr="00CE39A1" w:rsidRDefault="00341DC1" w:rsidP="0076348E">
            <w:pPr>
              <w:spacing w:line="480" w:lineRule="auto"/>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REAT 2.0</w:t>
            </w:r>
          </w:p>
        </w:tc>
        <w:tc>
          <w:tcPr>
            <w:tcW w:w="376" w:type="dxa"/>
            <w:tcBorders>
              <w:top w:val="single" w:sz="24" w:space="0" w:color="auto"/>
              <w:bottom w:val="single" w:sz="24" w:space="0" w:color="auto"/>
            </w:tcBorders>
            <w:textDirection w:val="btLr"/>
            <w:hideMark/>
          </w:tcPr>
          <w:p w14:paraId="6EF1F6CC" w14:textId="77777777" w:rsidR="00341DC1" w:rsidRPr="00CE39A1" w:rsidRDefault="00341DC1" w:rsidP="0076348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S-Vat</w:t>
            </w: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24" w:space="0" w:color="auto"/>
            </w:tcBorders>
            <w:textDirection w:val="btLr"/>
            <w:hideMark/>
          </w:tcPr>
          <w:p w14:paraId="5395DEED" w14:textId="77777777" w:rsidR="00341DC1" w:rsidRPr="00CE39A1" w:rsidRDefault="00341DC1" w:rsidP="0076348E">
            <w:pPr>
              <w:spacing w:line="480" w:lineRule="auto"/>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lang w:val="en-CA"/>
              </w:rPr>
              <w:t>SVAT-modified</w:t>
            </w:r>
          </w:p>
        </w:tc>
        <w:tc>
          <w:tcPr>
            <w:tcW w:w="376" w:type="dxa"/>
            <w:tcBorders>
              <w:top w:val="single" w:sz="24" w:space="0" w:color="auto"/>
              <w:bottom w:val="single" w:sz="24" w:space="0" w:color="auto"/>
            </w:tcBorders>
            <w:textDirection w:val="btLr"/>
            <w:hideMark/>
          </w:tcPr>
          <w:p w14:paraId="37961CD0" w14:textId="77777777" w:rsidR="00341DC1" w:rsidRPr="00CE39A1" w:rsidRDefault="00341DC1" w:rsidP="0076348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TCOPPPE</w:t>
            </w: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24" w:space="0" w:color="auto"/>
            </w:tcBorders>
            <w:textDirection w:val="btLr"/>
            <w:hideMark/>
          </w:tcPr>
          <w:p w14:paraId="14DC34ED" w14:textId="77777777" w:rsidR="00341DC1" w:rsidRPr="00CE39A1" w:rsidRDefault="00341DC1" w:rsidP="0076348E">
            <w:pPr>
              <w:spacing w:line="480" w:lineRule="auto"/>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SWI</w:t>
            </w:r>
          </w:p>
        </w:tc>
        <w:tc>
          <w:tcPr>
            <w:tcW w:w="376" w:type="dxa"/>
            <w:tcBorders>
              <w:top w:val="single" w:sz="24" w:space="0" w:color="auto"/>
              <w:bottom w:val="single" w:sz="24" w:space="0" w:color="auto"/>
            </w:tcBorders>
            <w:textDirection w:val="btLr"/>
            <w:hideMark/>
          </w:tcPr>
          <w:p w14:paraId="5EE72803" w14:textId="77777777" w:rsidR="00341DC1" w:rsidRPr="00CE39A1" w:rsidRDefault="00341DC1" w:rsidP="0076348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SPACES</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24" w:space="0" w:color="auto"/>
            </w:tcBorders>
            <w:textDirection w:val="btLr"/>
            <w:hideMark/>
          </w:tcPr>
          <w:p w14:paraId="64F6D29B" w14:textId="77777777" w:rsidR="00341DC1" w:rsidRPr="00CE39A1" w:rsidRDefault="00341DC1" w:rsidP="0076348E">
            <w:pPr>
              <w:spacing w:line="480" w:lineRule="auto"/>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SWEAT-R</w:t>
            </w:r>
          </w:p>
        </w:tc>
        <w:tc>
          <w:tcPr>
            <w:tcW w:w="377" w:type="dxa"/>
            <w:tcBorders>
              <w:top w:val="single" w:sz="24" w:space="0" w:color="auto"/>
              <w:bottom w:val="single" w:sz="24" w:space="0" w:color="auto"/>
            </w:tcBorders>
            <w:textDirection w:val="btLr"/>
            <w:hideMark/>
          </w:tcPr>
          <w:p w14:paraId="6BFA6424" w14:textId="77777777" w:rsidR="00341DC1" w:rsidRPr="00CE39A1" w:rsidRDefault="00341DC1" w:rsidP="0076348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lang w:val="en-CA"/>
              </w:rPr>
              <w:t>RPEA</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24" w:space="0" w:color="auto"/>
            </w:tcBorders>
            <w:textDirection w:val="btLr"/>
            <w:hideMark/>
          </w:tcPr>
          <w:p w14:paraId="7FE09F20" w14:textId="77777777" w:rsidR="00341DC1" w:rsidRPr="00CE39A1" w:rsidRDefault="00341DC1" w:rsidP="0076348E">
            <w:pPr>
              <w:spacing w:line="480" w:lineRule="auto"/>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WASABE</w:t>
            </w:r>
          </w:p>
        </w:tc>
        <w:tc>
          <w:tcPr>
            <w:tcW w:w="376" w:type="dxa"/>
            <w:tcBorders>
              <w:top w:val="single" w:sz="24" w:space="0" w:color="auto"/>
              <w:bottom w:val="single" w:sz="24" w:space="0" w:color="auto"/>
            </w:tcBorders>
            <w:textDirection w:val="btLr"/>
            <w:hideMark/>
          </w:tcPr>
          <w:p w14:paraId="67459E1C" w14:textId="77777777" w:rsidR="00341DC1" w:rsidRPr="00CE39A1" w:rsidRDefault="00341DC1" w:rsidP="0076348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SAT</w:t>
            </w: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24" w:space="0" w:color="auto"/>
            </w:tcBorders>
            <w:textDirection w:val="btLr"/>
            <w:hideMark/>
          </w:tcPr>
          <w:p w14:paraId="74CF9261" w14:textId="77777777" w:rsidR="00341DC1" w:rsidRPr="00CE39A1" w:rsidRDefault="00341DC1" w:rsidP="0076348E">
            <w:pPr>
              <w:spacing w:line="480" w:lineRule="auto"/>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PEDS</w:t>
            </w:r>
          </w:p>
        </w:tc>
        <w:tc>
          <w:tcPr>
            <w:tcW w:w="376" w:type="dxa"/>
            <w:tcBorders>
              <w:top w:val="single" w:sz="24" w:space="0" w:color="auto"/>
              <w:bottom w:val="single" w:sz="24" w:space="0" w:color="auto"/>
            </w:tcBorders>
            <w:textDirection w:val="btLr"/>
            <w:hideMark/>
          </w:tcPr>
          <w:p w14:paraId="5A2F76E4" w14:textId="77777777" w:rsidR="00341DC1" w:rsidRPr="00CE39A1" w:rsidRDefault="00341DC1" w:rsidP="0076348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AAT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24" w:space="0" w:color="auto"/>
            </w:tcBorders>
            <w:textDirection w:val="btLr"/>
            <w:hideMark/>
          </w:tcPr>
          <w:p w14:paraId="69F0F925" w14:textId="77777777" w:rsidR="00341DC1" w:rsidRPr="00CE39A1" w:rsidRDefault="00341DC1" w:rsidP="0076348E">
            <w:pPr>
              <w:spacing w:line="480" w:lineRule="auto"/>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WWAT</w:t>
            </w:r>
          </w:p>
        </w:tc>
        <w:tc>
          <w:tcPr>
            <w:tcW w:w="377" w:type="dxa"/>
            <w:tcBorders>
              <w:top w:val="single" w:sz="24" w:space="0" w:color="auto"/>
              <w:bottom w:val="single" w:sz="24" w:space="0" w:color="auto"/>
            </w:tcBorders>
            <w:textDirection w:val="btLr"/>
            <w:hideMark/>
          </w:tcPr>
          <w:p w14:paraId="5C92E4FE" w14:textId="77777777" w:rsidR="00341DC1" w:rsidRPr="00CE39A1" w:rsidRDefault="00341DC1" w:rsidP="0076348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M-SPACES</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24" w:space="0" w:color="auto"/>
            </w:tcBorders>
            <w:textDirection w:val="btLr"/>
            <w:hideMark/>
          </w:tcPr>
          <w:p w14:paraId="0A67DB57" w14:textId="77777777" w:rsidR="00341DC1" w:rsidRPr="00CE39A1" w:rsidRDefault="00341DC1" w:rsidP="0076348E">
            <w:pPr>
              <w:spacing w:line="480" w:lineRule="auto"/>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rPr>
              <w:t>PIN3</w:t>
            </w:r>
          </w:p>
        </w:tc>
        <w:tc>
          <w:tcPr>
            <w:tcW w:w="377" w:type="dxa"/>
            <w:tcBorders>
              <w:top w:val="single" w:sz="24" w:space="0" w:color="auto"/>
              <w:bottom w:val="single" w:sz="24" w:space="0" w:color="auto"/>
            </w:tcBorders>
            <w:textDirection w:val="btLr"/>
          </w:tcPr>
          <w:p w14:paraId="4D563DC5" w14:textId="77777777" w:rsidR="00341DC1" w:rsidRPr="00CE39A1" w:rsidRDefault="00341DC1" w:rsidP="0076348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lang w:val="en-CA"/>
              </w:rPr>
              <w:t>FASTVeiw</w:t>
            </w: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24" w:space="0" w:color="auto"/>
            </w:tcBorders>
            <w:textDirection w:val="btLr"/>
          </w:tcPr>
          <w:p w14:paraId="008C8C02" w14:textId="77777777" w:rsidR="00341DC1" w:rsidRPr="00CE39A1" w:rsidRDefault="00341DC1" w:rsidP="0076348E">
            <w:pPr>
              <w:spacing w:line="480" w:lineRule="auto"/>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lang w:val="en-CA"/>
              </w:rPr>
              <w:t>CBE-OUT</w:t>
            </w:r>
          </w:p>
        </w:tc>
        <w:tc>
          <w:tcPr>
            <w:tcW w:w="377" w:type="dxa"/>
            <w:tcBorders>
              <w:top w:val="single" w:sz="24" w:space="0" w:color="auto"/>
              <w:bottom w:val="single" w:sz="24" w:space="0" w:color="auto"/>
            </w:tcBorders>
            <w:textDirection w:val="btLr"/>
            <w:hideMark/>
          </w:tcPr>
          <w:p w14:paraId="2AE3C93F" w14:textId="77777777" w:rsidR="00341DC1" w:rsidRPr="00CE39A1" w:rsidRDefault="00341DC1" w:rsidP="0076348E">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lang w:val="en-CA"/>
              </w:rPr>
            </w:pPr>
            <w:r w:rsidRPr="00CE39A1">
              <w:rPr>
                <w:rFonts w:ascii="Times New Roman" w:eastAsia="Times New Roman" w:hAnsi="Times New Roman" w:cs="Times New Roman"/>
                <w:b w:val="0"/>
                <w:bCs w:val="0"/>
                <w:color w:val="000000"/>
                <w:sz w:val="24"/>
                <w:szCs w:val="24"/>
                <w:lang w:val="en-CA"/>
              </w:rPr>
              <w:t>SWAT</w:t>
            </w:r>
          </w:p>
        </w:tc>
      </w:tr>
      <w:tr w:rsidR="00DB5B43" w:rsidRPr="00CE39A1" w14:paraId="7828F270"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val="restart"/>
            <w:tcBorders>
              <w:top w:val="single" w:sz="24" w:space="0" w:color="auto"/>
            </w:tcBorders>
            <w:shd w:val="clear" w:color="auto" w:fill="FDBE6F"/>
            <w:noWrap/>
            <w:textDirection w:val="btLr"/>
            <w:hideMark/>
          </w:tcPr>
          <w:p w14:paraId="0F843ADE" w14:textId="77777777" w:rsidR="00DB5B43" w:rsidRPr="00CE39A1" w:rsidRDefault="00DB5B43" w:rsidP="0076348E">
            <w:pPr>
              <w:spacing w:line="480" w:lineRule="auto"/>
              <w:jc w:val="center"/>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Temperature</w:t>
            </w:r>
          </w:p>
        </w:tc>
        <w:tc>
          <w:tcPr>
            <w:cnfStyle w:val="000010000000" w:firstRow="0" w:lastRow="0" w:firstColumn="0" w:lastColumn="0" w:oddVBand="1" w:evenVBand="0" w:oddHBand="0" w:evenHBand="0" w:firstRowFirstColumn="0" w:firstRowLastColumn="0" w:lastRowFirstColumn="0" w:lastRowLastColumn="0"/>
            <w:tcW w:w="3758" w:type="dxa"/>
            <w:tcBorders>
              <w:top w:val="single" w:sz="24" w:space="0" w:color="auto"/>
              <w:bottom w:val="single" w:sz="4" w:space="0" w:color="auto"/>
              <w:right w:val="single" w:sz="4" w:space="0" w:color="auto"/>
            </w:tcBorders>
            <w:shd w:val="clear" w:color="auto" w:fill="FFFFFF" w:themeFill="background1"/>
            <w:hideMark/>
          </w:tcPr>
          <w:p w14:paraId="5ED3218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Indoor public space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{"citationID":"02ZYyYYw","properties":{"formattedCitation":"(City of Edmonton, 2016; Life Between Umbrellas, 2019)","plainCitation":"(City of Edmonton, 2016; Life Between Umbrellas, 2019)","noteIndex":0},"citationItems":[{"id":425,"uris":["http://zotero.org/users/local/dNtV5PxQ/items/9VS2R4X4"],"itemData":{"id":425,"type":"book","abstract":"The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Edmonton"}],"accessed":{"date-parts":[["2023",10,13]]},"issued":{"date-parts":[["2016"]]}}},{"id":442,"uris":["http://zotero.org/users/local/dNtV5PxQ/items/NC73SERY"],"itemData":{"id":442,"type":"report","abstract":"Over the past year, the VPSN held a number of events around Vancouver. We used these events to ask people about their ideas and aspirations for rain-friendly public spaces","language":"en-US","publisher":"City of Vancouver","title":"Rain Friendly Principles","URL":"https://www.lifebetweenumbrellas.ca/rain-friendly-principles","author":[{"literal":"Life Between Umbrellas"}],"accessed":{"date-parts":[["2023",10,16]]},"issued":{"date-parts":[["2019"]]}}}],"schema":"https://github.com/citation-style-language/schema/raw/master/csl-citation.json"}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 Life Between Umbrellas, 2019)</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24" w:space="0" w:color="auto"/>
              <w:left w:val="single" w:sz="4" w:space="0" w:color="auto"/>
              <w:bottom w:val="single" w:sz="4" w:space="0" w:color="auto"/>
            </w:tcBorders>
            <w:noWrap/>
            <w:hideMark/>
          </w:tcPr>
          <w:p w14:paraId="64B916F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2BB22DE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24" w:space="0" w:color="auto"/>
              <w:bottom w:val="single" w:sz="4" w:space="0" w:color="auto"/>
            </w:tcBorders>
            <w:noWrap/>
            <w:hideMark/>
          </w:tcPr>
          <w:p w14:paraId="6D972D7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5BB8EDF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24" w:space="0" w:color="auto"/>
              <w:bottom w:val="single" w:sz="4" w:space="0" w:color="auto"/>
            </w:tcBorders>
            <w:noWrap/>
            <w:hideMark/>
          </w:tcPr>
          <w:p w14:paraId="608D5F8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auto"/>
            </w:tcBorders>
            <w:noWrap/>
            <w:hideMark/>
          </w:tcPr>
          <w:p w14:paraId="2A96156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24" w:space="0" w:color="auto"/>
              <w:bottom w:val="single" w:sz="4" w:space="0" w:color="auto"/>
            </w:tcBorders>
            <w:noWrap/>
            <w:hideMark/>
          </w:tcPr>
          <w:p w14:paraId="5AC10BE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3AF383A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24" w:space="0" w:color="auto"/>
              <w:bottom w:val="single" w:sz="4" w:space="0" w:color="auto"/>
            </w:tcBorders>
            <w:noWrap/>
            <w:hideMark/>
          </w:tcPr>
          <w:p w14:paraId="2B0F520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05C98EC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24" w:space="0" w:color="auto"/>
              <w:bottom w:val="single" w:sz="4" w:space="0" w:color="auto"/>
            </w:tcBorders>
            <w:noWrap/>
            <w:hideMark/>
          </w:tcPr>
          <w:p w14:paraId="2077851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auto"/>
            </w:tcBorders>
            <w:noWrap/>
            <w:hideMark/>
          </w:tcPr>
          <w:p w14:paraId="243AB06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24" w:space="0" w:color="auto"/>
              <w:bottom w:val="single" w:sz="4" w:space="0" w:color="auto"/>
            </w:tcBorders>
            <w:noWrap/>
            <w:hideMark/>
          </w:tcPr>
          <w:p w14:paraId="7A8E5DD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auto"/>
            </w:tcBorders>
            <w:noWrap/>
            <w:hideMark/>
          </w:tcPr>
          <w:p w14:paraId="42B22B8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24" w:space="0" w:color="auto"/>
              <w:bottom w:val="single" w:sz="4" w:space="0" w:color="auto"/>
            </w:tcBorders>
            <w:noWrap/>
            <w:hideMark/>
          </w:tcPr>
          <w:p w14:paraId="483D167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6A948C9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24" w:space="0" w:color="auto"/>
              <w:bottom w:val="single" w:sz="4" w:space="0" w:color="auto"/>
            </w:tcBorders>
            <w:noWrap/>
            <w:hideMark/>
          </w:tcPr>
          <w:p w14:paraId="5FE1FB6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7B7799D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24" w:space="0" w:color="auto"/>
              <w:bottom w:val="single" w:sz="4" w:space="0" w:color="auto"/>
            </w:tcBorders>
            <w:noWrap/>
            <w:hideMark/>
          </w:tcPr>
          <w:p w14:paraId="365639C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auto"/>
            </w:tcBorders>
            <w:noWrap/>
            <w:hideMark/>
          </w:tcPr>
          <w:p w14:paraId="24F4662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24" w:space="0" w:color="auto"/>
              <w:bottom w:val="single" w:sz="4" w:space="0" w:color="auto"/>
            </w:tcBorders>
            <w:noWrap/>
            <w:hideMark/>
          </w:tcPr>
          <w:p w14:paraId="4F00E47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704905A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24" w:space="0" w:color="auto"/>
              <w:bottom w:val="single" w:sz="4" w:space="0" w:color="auto"/>
            </w:tcBorders>
            <w:noWrap/>
            <w:hideMark/>
          </w:tcPr>
          <w:p w14:paraId="3C6A33B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514E530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24" w:space="0" w:color="auto"/>
              <w:bottom w:val="single" w:sz="4" w:space="0" w:color="auto"/>
            </w:tcBorders>
          </w:tcPr>
          <w:p w14:paraId="44D4678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auto"/>
            </w:tcBorders>
          </w:tcPr>
          <w:p w14:paraId="23943EB2" w14:textId="77777777" w:rsidR="00DB5B43" w:rsidRPr="00CE39A1" w:rsidRDefault="00DB5B43" w:rsidP="0076348E">
            <w:pPr>
              <w:spacing w:line="480" w:lineRule="auto"/>
              <w:rPr>
                <w:rFonts w:ascii="Times New Roman" w:eastAsia="Times New Roman" w:hAnsi="Times New Roman" w:cs="Times New Roman"/>
                <w:color w:val="000000"/>
                <w:sz w:val="24"/>
                <w:szCs w:val="24"/>
              </w:rPr>
            </w:pPr>
            <w:r w:rsidRPr="00CE39A1">
              <w:rPr>
                <w:rFonts w:ascii="Segoe UI Symbol" w:eastAsia="Times New Roman" w:hAnsi="Segoe UI Symbol" w:cs="Segoe UI Symbol"/>
                <w:color w:val="000000"/>
                <w:sz w:val="24"/>
                <w:szCs w:val="24"/>
              </w:rPr>
              <w:t>✓</w:t>
            </w:r>
          </w:p>
        </w:tc>
        <w:tc>
          <w:tcPr>
            <w:tcW w:w="377" w:type="dxa"/>
            <w:tcBorders>
              <w:top w:val="single" w:sz="24" w:space="0" w:color="auto"/>
              <w:bottom w:val="single" w:sz="4" w:space="0" w:color="auto"/>
            </w:tcBorders>
            <w:noWrap/>
            <w:hideMark/>
          </w:tcPr>
          <w:p w14:paraId="0936034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r>
      <w:tr w:rsidR="00DB5B43" w:rsidRPr="00CE39A1" w14:paraId="5FD167C8" w14:textId="77777777" w:rsidTr="0076348E">
        <w:trPr>
          <w:trHeight w:val="86"/>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55E9BA9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02A8B95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Direct Cooling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{"citationID":"nc2chh7z","properties":{"formattedCitation":"(Vanos et al., 2017; Yuen &amp; Chor, 1998)","plainCitation":"(Vanos et al., 2017; Yuen &amp; Chor, 1998)","noteIndex":0},"citationItems":[{"id":353,"uris":["http://zotero.org/users/local/dNtV5PxQ/items/H8FULV7Y"],"itemData":{"id":353,"type":"article-journal","abstract":"Outdoor thermal comfort (TC) is an important parameter in assessing the value and health utility of a recreational space. Given the public health significance of child heat illness, the ability to model children's heat balance and TC during activity has received little attention. The current pilot study tests the performance of an outdoor human heat balance model on children playing in warm/hot outdoor environments in sun and shade. Fourteen children aged 9–13 participated in the 8-day study in Texas in spring 2016, performing physical activity while wearing heartrate monitors and completing thermal perception surveys (e.g., actual thermal sensation (ATS)). Surveys were compared to predicted thermal sensation (PTS) based on principles of human-environment heat exchange using personal data and a suite of on-site microclimate information. Results demonstrate the model to significantly predict ATS votes (Spearman's rho = 0.504). Subjective preferred change was also significantly correlated to modeled PTS (rho = −0.607). Radiation, air temperature, windspeed, and level of tiredness were significant predictors of ATS. Finally, the mean human energy balance was significantly lower in the shade (−168 W m-2), thus lowering heat stress potential, with the model predicting ATS with little-to-no error (0.2 and 0.0 scale error units in sun and shade, respectively). This study demonstrates an ability to estimate a child's heat balance while accounting for changes in major heat contributors (e.g., radiation, metabolism), and is the first study to evaluate TC of children during activity in outdoor built environments. New insights of heat perception may aid in recognition of often under-recognized heat stress.","container-title":"Building and Environment","DOI":"10.1016/j.buildenv.2017.09.026","ISSN":"0360-1323","journalAbbreviation":"Building and Environment","page":"119-131","source":"ScienceDirect","title":"Effects of physical activity and shade on the heat balance and thermal perceptions of children in a playground microclimate","volume":"126","author":[{"family":"Vanos","given":"Jennifer K."},{"family":"Herdt","given":"Alexandria J."},{"family":"Lochbaum","given":"Marc R."}],"issued":{"date-parts":[["2017",12,1]]}}},{"id":410,"uris":["http://zotero.org/users/local/dNtV5PxQ/items/ZQ48CF45"],"itemData":{"id":410,"type":"article-journal","abstract":"A fair amount of literature pertaining to pedestrian streets has been produced but for the most part it is on the American and European developments. There has been surprisingly little published research on pedestrian street development in Asia. The purpose of this paper, therefore, is to examine pedestrian streets in Asia, using the city-state of Singapore as a case study. Since the mid-1980s, pedestrian streets have been adopted as a policy in the conservation and planning of Singapore's city centre. The resulting pedestrian streets came in many forms, from a single pedestrian-only street to a whole precinct of several streets.","container-title":"Transportation","DOI":"10.1023/A:1005055225542","ISSN":"1572-9435","issue":"3","journalAbbreviation":"Transportation","language":"en","page":"225-242","source":"Springer Link","title":"Pedestrian streets in Singapore","volume":"25","author":[{"family":"Yuen","given":"Belinda"},{"family":"Chor","given":"Chin Hoong"}],"issued":{"date-parts":[["1998",8,1]]}}}],"schema":"https://github.com/citation-style-language/schema/raw/master/csl-citation.json"}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(Vanos et al., 2017; Yuen &amp; Chor, 1998)</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1DDAB05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9ACF2B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2AE8754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2E7147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660992A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84C77C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489ABB1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3095AD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48EEEE5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13AE37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1B350DD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D61DBF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E41205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381D87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5759E53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EBB00E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571DEE1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244ACB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0FA2F50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99F9DE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7B79B13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69130A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0B033E4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678B63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2FF3D51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3843B80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18F73C4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41DBBC8C" w14:textId="77777777" w:rsidTr="0076348E">
        <w:trPr>
          <w:trHeight w:val="86"/>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7F874FA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0506A38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Direct Heating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{"citationID":"JkV5vH30","properties":{"formattedCitation":"(City of Edmonton, 2016)","plainCitation":"(City of Edmonton, 2016)","noteIndex":0},"citationItems":[{"id":425,"uris":["http://zotero.org/users/local/dNtV5PxQ/items/9VS2R4X4"],"itemData":{"id":425,"type":"book","abstract":"The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6ABBB22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DAD782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42E733A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AB666F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0297DF0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753E13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07F3D46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02725B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68DFACB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7F18EE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3904AE2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39AE84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8CD2C1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221D28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0695C91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B50B84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22BB0AE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C9D60A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3C92F89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D57524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49FB778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F266AD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0FDC7A7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852027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1D3558A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2297258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1B87BFF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54DCC67A"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25DD169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2DB83629"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Arctic entry / vestibule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{"citationID":"ZArTVqBv","properties":{"formattedCitation":"(City of Edmonton, 2016)","plainCitation":"(City of Edmonton, 2016)","noteIndex":0},"citationItems":[{"id":425,"uris":["http://zotero.org/users/local/dNtV5PxQ/items/9VS2R4X4"],"itemData":{"id":425,"type":"book","abstract":"The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(City of Edmonton, 2016)</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0F02892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F556BB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B12730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DD3665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20A54E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166E87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3F12E4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689BFE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D93AD6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571046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BC2496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787669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07764B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F60246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661BF1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EED95C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1B96B4E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FA6C6B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C21B77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48916F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A43ED4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AF2C94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F20BF1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6500A2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27A285D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20F52C6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78B50DB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1527FBDD" w14:textId="77777777" w:rsidTr="00DB5B43">
        <w:trPr>
          <w:trHeight w:val="333"/>
        </w:trPr>
        <w:tc>
          <w:tcPr>
            <w:cnfStyle w:val="001000000000" w:firstRow="0" w:lastRow="0" w:firstColumn="1" w:lastColumn="0" w:oddVBand="0" w:evenVBand="0" w:oddHBand="0" w:evenHBand="0" w:firstRowFirstColumn="0" w:firstRowLastColumn="0" w:lastRowFirstColumn="0" w:lastRowLastColumn="0"/>
            <w:tcW w:w="473" w:type="dxa"/>
            <w:vMerge w:val="restart"/>
            <w:shd w:val="clear" w:color="auto" w:fill="FDBE6F"/>
            <w:textDirection w:val="btLr"/>
            <w:vAlign w:val="center"/>
            <w:hideMark/>
          </w:tcPr>
          <w:p w14:paraId="34B726CA" w14:textId="164365E5" w:rsidR="00DB5B43" w:rsidRPr="00CE39A1" w:rsidRDefault="00DB5B43" w:rsidP="00DB5B43">
            <w:pPr>
              <w:spacing w:line="480" w:lineRule="auto"/>
              <w:ind w:left="113" w:right="113"/>
              <w:jc w:val="center"/>
              <w:rPr>
                <w:rFonts w:ascii="Times New Roman" w:eastAsia="Times New Roman" w:hAnsi="Times New Roman" w:cs="Times New Roman"/>
                <w:color w:val="000000"/>
                <w:sz w:val="24"/>
                <w:szCs w:val="24"/>
                <w:lang w:val="en-CA"/>
              </w:rPr>
            </w:pPr>
            <w:r>
              <w:rPr>
                <w:rFonts w:ascii="Times New Roman" w:eastAsia="Times New Roman" w:hAnsi="Times New Roman" w:cs="Times New Roman"/>
                <w:color w:val="000000"/>
                <w:sz w:val="24"/>
                <w:szCs w:val="24"/>
                <w:lang w:val="en-CA"/>
              </w:rPr>
              <w:lastRenderedPageBreak/>
              <w:t>Temperature</w:t>
            </w: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7157DF8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Building height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{"citationID":"TJQEmhsK","properties":{"formattedCitation":"(City of Edmonton, 2016; Wei et al., 2016)","plainCitation":"(City of Edmonton, 2016; Wei et al., 2016)","noteIndex":0},"citationItems":[{"id":425,"uris":["http://zotero.org/users/local/dNtV5PxQ/items/9VS2R4X4"],"itemData":{"id":425,"type":"book","abstract":"The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Edmonton"}],"accessed":{"date-parts":[["2023",10,13]]},"issued":{"date-parts":[["2016"]]}}},{"id":431,"uris":["http://zotero.org/users/local/dNtV5PxQ/items/ZU7THHNM"],"itemData":{"id":431,"type":"article-journal","abstract":"Urbanization process has dramatically influenced urban climate and environment. In the urban planning and design practice, there are several important parameters such as sky view factor, floor area ratio, site coverage ratio and building stories. These parameters can determine the urban morphology. This study shows the impact of urban morphology parameters on urban microclimate. It aims at provide suitable ranges of parameters which are beneficial for the thermal comfort of urban pedestrians. As a result, recommendations are given for government agency and urban planners in the urban design process.","collection-title":"Fourth International Conference on Countermeasures to Urban Heat Island, 30-31 May and 1 June 2016","container-title":"Procedia Engineering","DOI":"10.1016/j.proeng.2016.10.017","ISSN":"1877-7058","journalAbbreviation":"Procedia Engineering","page":"142-149","source":"ScienceDirect","title":"Impact of Urban Morphology Parameters on Microclimate","volume":"169","author":[{"family":"Wei","given":"Ruihan"},{"family":"Song","given":"Dexuan"},{"family":"Wong","given":"Nyuk Hien"},{"family":"Martin","given":"Miguel"}],"issued":{"date-parts":[["2016",1,1]]}}}],"schema":"https://github.com/citation-style-language/schema/raw/master/csl-citation.json"}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 Wei et al., 2016)</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53266D0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43231B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14A9F07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67B5E9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55E8EB1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38FFDE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260CE01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6FC886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10A836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B60F7E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212B30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26A0AC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92D215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365737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60B095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0727DD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auto"/>
              <w:bottom w:val="single" w:sz="4" w:space="0" w:color="auto"/>
            </w:tcBorders>
            <w:noWrap/>
            <w:hideMark/>
          </w:tcPr>
          <w:p w14:paraId="13535BA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FF003B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5CC3CF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74C426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439D0FE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B774B9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2A9C78D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FD4899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27AEB27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7400F51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63C845B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0FE6BE20"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39F61A7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3161FE2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Building material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{"citationID":"tZZEfAKC","properties":{"formattedCitation":"(Nasrollahi et al., 2020; Rizwan et al., 2008; Salata et al., 2015)","plainCitation":"(Nasrollahi et al., 2020; Rizwan et al., 2008; Salata et al., 2015)","noteIndex":0},"citationItems":[{"id":414,"uris":["http://zotero.org/users/local/dNtV5PxQ/items/MLKXM2GK"],"itemData":{"id":414,"type":"article-journal","abstract":"Thermal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id":406,"uris":["http://zotero.org/users/local/dNtV5PxQ/items/KX6FIULW"],"itemData":{"id":406,"type":"article-journal","abstract":"Urban Heat Island (UHI) is considered as one of the major problems in the 21st century posed to human beings as a result of urbanization and industrialization of human civilization. The large amount of heat generated from urban structures, as they consume and re-radiate solar radiations, and from the anthropogenic heat sources are the main causes of UHI. The two heat sources increase the temperatures of an urban area as compared to its surroundings, which is known as Urban Heat Island Intensity (UHII). The problem is even worse in cities or metropolises with large population and extensive economic activities. The estimated three billion people living in the urban areas in the world are directly exposed to the problem, which will be increased significantly in the near future. Due to the severity of the problem, vast research effort has been dedicated and a wide range of literature is available for the subject. The literature available in this area includes the latest research approaches, concepts, methodologies, latest investigation tools and mitigation measures. This study was carried out to review and summarize this research area through an investigation of the most important feature of UHI. It was concluded that the heat re-radiated by the urban structures plays the most important role which should be investigated in details to study urban heating especially the UHI. It was also concluded that the future research should be focused on design and planning parameters for reducing the effects of urban heat island and ultimately living in a better environment.","container-title":"Journal of Environmental Sciences","DOI":"10.1016/S1001-0742(08)60019-4","ISSN":"1001-0742","issue":"1","journalAbbreviation":"Journal of Environmental Sciences","page":"120-128","source":"ScienceDirect","title":"A review on the generation, determination and mitigation of Urban Heat Island","volume":"20","author":[{"family":"Rizwan","given":"Ahmed Memon"},{"family":"Dennis","given":"Leung Y. C."},{"family":"Liu","given":"Chunho"}],"issued":{"date-parts":[["2008",1,1]]}}},{"id":429,"uris":["http://zotero.org/users/local/dNtV5PxQ/items/QVIQI5HU"],"itemData":{"id":429,"type":"article-journal","abstract":"The wellbeing and life quality also depend on the climatic conditions of the surrounding environment. In this case study the focus is on those interventions that can be performed, especially on enclosed urban contexts, to control the thermal environment. It pays attention on the effect of the vegetation and high albedo materials characterizing horizontal and vertical boundaries of the site and the Cloister by Giuliano da Sangallo, a historical site in Rome, is taken as case study. The model of the site was simulated with the software ENVI-met and it was verified thanks to a measurement campaign in situ. Five scenarios with different vertical and horizontal materials of the present buildings were simulated together with an analysis of the variations of physical quantities (air temperature, mean radiant temperature, relative humidity, wind speed) affecting the perception of environmental comfort (calculated through the Predicted Mean Vote). The result is that in those areas characterized by a Mediterranean climate, where the summer months with high temperatures must be mitigated, the vegetation can be a significant benefit to the environment, and high albedo materials can ease the thermal load of the buildings with a higher thermal stress for the pedestrians.","container-title":"Energy and Buildings","DOI":"10.1016/j.enbuild.2015.04.010","ISSN":"0378-7788","journalAbbreviation":"Energy and Buildings","page":"32-49","source":"ScienceDirect","title":"How high albedo and traditional buildings’ materials and vegetation affect the quality of urban microclimate. A case study","volume":"99","author":[{"family":"Salata","given":"Ferdinando"},{"family":"Golasi","given":"Iacopo"},{"family":"Vollaro","given":"Andrea de Lieto"},{"family":"Vollaro","given":"Roberto de Lieto"}],"issued":{"date-parts":[["2015",7,15]]}}}],"schema":"https://github.com/citation-style-language/schema/raw/master/csl-citation.json"}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(Nasrollahi et al., 2020; Rizwan et al., 2008; Salata et al., 2015)</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175FFD7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88C0CF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0FD9F27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737827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6794004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3DB1B0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77A8ABB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CD072F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03D6F50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881CC3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5684B4F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C20720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3C2624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3406C4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29867B4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734B92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2CAEC20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756C31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668616F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12B55D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3688488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55465A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31CD5B8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E3C9D3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6668EF2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62AC45C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05FE82A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54A53A35"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22187E5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20B453C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Sidewalk material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{"citationID":"HSftGpmA","properties":{"formattedCitation":"(Chatzidimitriou &amp; Yannas, 2015; Life Between Umbrellas, 2019; Nasrollahi et al., 2020; Rizwan et al., 2008; Salata et al., 2015)","plainCitation":"(Chatzidimitriou &amp; Yannas, 2015; Life Between Umbrellas, 2019; Nasrollahi et al., 2020; Rizwan et al., 2008; Salata et al., 2015)","noteIndex":0},"citationItems":[{"id":427,"uris":["http://zotero.org/users/local/dNtV5PxQ/items/YDRZHZQS"],"itemData":{"id":427,"type":"article-journal","abstract":"The microclimates of open spaces in cities are highly influenced by urban geometry and construction materials. The present study reports on measurements of microclimate data taken in different open urban spaces such as parks, squares and courtyards featuring various ground surface materials, in particular asphalt, concrete, marble, granite, porous stone, cobble stone, ceramic tiles, gravel, grass and water. The measured data were used to assess the effect of morphologic features and material properties on microclimate development. Measurements were taken in two stages, starting with exploratory readings followed by corrective and complementary measurements. These took place in six different sites in the city of Thessaloniki, in northern Greece. The measurements include surface and ambient temperatures, relative humidity and wind velocity readings. Spot measurements of direct and reflected solar radiation were also taken for an indicative calculation of surface albedo. The second round of measurements included globe temperatures in order to estimate the effect of the radiant environment on pedestrian thermal comfort. The results show differences between and within open spaces and their surfaces, thus highlighting the effects of shading, vegetation, water and material properties on microclimate development and pedestrian thermal comfort.","container-title":"Energy and Buildings","DOI":"10.1016/j.enbuild.2015.08.048","ISSN":"0378-7788","journalAbbreviation":"Energy and Buildings","page":"156-174","source":"ScienceDirect","title":"Microclimate development in open urban spaces: The influence of form and materials","title-short":"Microclimate development in open urban spaces","volume":"108","author":[{"family":"Chatzidimitriou","given":"Angeliki"},{"family":"Yannas","given":"Simos"}],"issued":{"date-parts":[["2015",12,1]]}}},{"id":442,"uris":["http://zotero.org/users/local/dNtV5PxQ/items/NC73SERY"],"itemData":{"id":442,"type":"report","abstract":"Over the past year, the VPSN held a number of events around Vancouver. We used these events to ask people about their ideas and aspirations for rain-friendly public spaces","language":"en-US","publisher":"City of Vancouver","title":"Rain Friendly Principles","URL":"https://www.lifebetweenumbrellas.ca/rain-friendly-principles","author":[{"literal":"Life Between Umbrellas"}],"accessed":{"date-parts":[["2023",10,16]]},"issued":{"date-parts":[["2019"]]}}},{"id":414,"uris":["http://zotero.org/users/local/dNtV5PxQ/items/MLKXM2GK"],"itemData":{"id":414,"type":"article-journal","abstract":"Thermal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id":406,"uris":["http://zotero.org/users/local/dNtV5PxQ/items/KX6FIULW"],"itemData":{"id":406,"type":"article-journal","abstract":"Urban Heat Island (UHI) is considered as one of the major problems in the 21st century posed to human beings as a result of urbanization and industrialization of human civilization. The large amount of heat generated from urban structures, as they consume and re-radiate solar radiations, and from the anthropogenic heat sources are the main causes of UHI. The two heat sources increase the temperatures of an urban area as compared to its surroundings, which is known as Urban Heat Island Intensity (UHII). The problem is even worse in cities or metropolises with large population and extensive economic activities. The estimated three billion people living in the urban areas in the world are directly exposed to the problem, which will be increased significantly in the near future. Due to the severity of the problem, vast research effort has been dedicated and a wide range of literature is available for the subject. The literature available in this area includes the latest research approaches, concepts, methodologies, latest investigation tools and mitigation measures. This study was carried out to review and summarize this research area through an investigation of the most important feature of UHI. It was concluded that the heat re-radiated by the urban structures plays the most important role which should be investigated in details to study urban heating especially the UHI. It was also concluded that the future research should be focused on design and planning parameters for reducing the effects of urban heat island and ultimately living in a better environment.","container-title":"Journal of Environmental Sciences","DOI":"10.1016/S1001-0742(08)60019-4","ISSN":"1001-0742","issue":"1","journalAbbreviation":"Journal of Environmental Sciences","page":"120-128","source":"ScienceDirect","title":"A review on the generation, determination and mitigation of Urban Heat Island","volume":"20","author":[{"family":"Rizwan","given":"Ahmed Memon"},{"family":"Dennis","given":"Leung Y. C."},{"family":"Liu","given":"Chunho"}],"issued":{"date-parts":[["2008",1,1]]}}},{"id":429,"uris":["http://zotero.org/users/local/dNtV5PxQ/items/QVIQI5HU"],"itemData":{"id":429,"type":"article-journal","abstract":"The wellbeing and life quality also depend on the climatic conditions of the surrounding environment. In this case study the focus is on those interventions that can be performed, especially on enclosed urban contexts, to control the thermal environment. It pays attention on the effect of the vegetation and high albedo materials characterizing horizontal and vertical boundaries of the site and the Cloister by Giuliano da Sangallo, a historical site in Rome, is taken as case study. The model of the site was simulated with the software ENVI-met and it was verified thanks to a measurement campaign in situ. Five scenarios with different vertical and horizontal materials of the present buildings were simulated together with an analysis of the variations of physical quantities (air temperature, mean radiant temperature, relative humidity, wind speed) affecting the perception of environmental comfort (calculated through the Predicted Mean Vote). The result is that in those areas characterized by a Mediterranean climate, where the summer months with high temperatures must be mitigated, the vegetation can be a significant benefit to the environment, and high albedo materials can ease the thermal load of the buildings with a higher thermal stress for the pedestrians.","container-title":"Energy and Buildings","DOI":"10.1016/j.enbuild.2015.04.010","ISSN":"0378-7788","journalAbbreviation":"Energy and Buildings","page":"32-49","source":"ScienceDirect","title":"How high albedo and traditional buildings’ materials and vegetation affect the quality of urban microclimate. A case study","volume":"99","author":[{"family":"Salata","given":"Ferdinando"},{"family":"Golasi","given":"Iacopo"},{"family":"Vollaro","given":"Andrea de Lieto"},{"family":"Vollaro","given":"Roberto de Lieto"}],"issued":{"date-parts":[["2015",7,15]]}}}],"schema":"https://github.com/citation-style-language/schema/raw/master/csl-citation.json"}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(Chatzidimitriou &amp; Yannas, 2015; Life Between Umbrellas, 2019; Nasrollahi et al., 2020; Rizwan et al., 2008; Salata et al., 2015)</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40FE062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C3DF2D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1F9AB7B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D86C09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059679C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8C9BD5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6E71F02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417B71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3CD848A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068BB5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5CE8A03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3568DF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A90CA2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FA7B49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0FC9270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2EB2DB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03453D6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250E77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44CD8F2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CFA063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3ECC47A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DE611A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E3F5BA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FAAF8E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7D1C298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3C714DC6" w14:textId="77777777" w:rsidR="00DB5B43" w:rsidRPr="00CE39A1" w:rsidRDefault="00DB5B43" w:rsidP="0076348E">
            <w:pPr>
              <w:spacing w:line="480" w:lineRule="auto"/>
              <w:rPr>
                <w:rFonts w:ascii="Times New Roman" w:eastAsia="Times New Roman" w:hAnsi="Times New Roman" w:cs="Times New Roman"/>
                <w:color w:val="000000"/>
                <w:sz w:val="24"/>
                <w:szCs w:val="24"/>
              </w:rPr>
            </w:pPr>
          </w:p>
        </w:tc>
        <w:tc>
          <w:tcPr>
            <w:tcW w:w="377" w:type="dxa"/>
            <w:tcBorders>
              <w:top w:val="single" w:sz="4" w:space="0" w:color="auto"/>
              <w:bottom w:val="single" w:sz="4" w:space="0" w:color="auto"/>
            </w:tcBorders>
            <w:noWrap/>
            <w:hideMark/>
          </w:tcPr>
          <w:p w14:paraId="61C16DF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r>
      <w:tr w:rsidR="00DB5B43" w:rsidRPr="00CE39A1" w14:paraId="65418F50"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61B6DF0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3F97700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Road material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{"citationID":"jMJCHWcB","properties":{"formattedCitation":"(Chatzidimitriou &amp; Yannas, 2015; Nasrollahi et al., 2020; Rizwan et al., 2008; Salata et al., 2015)","plainCitation":"(Chatzidimitriou &amp; Yannas, 2015; Nasrollahi et al., 2020; Rizwan et al., 2008; Salata et al., 2015)","noteIndex":0},"citationItems":[{"id":427,"uris":["http://zotero.org/users/local/dNtV5PxQ/items/YDRZHZQS"],"itemData":{"id":427,"type":"article-journal","abstract":"The microclimates of open spaces in cities are highly influenced by urban geometry and construction materials. The present study reports on measurements of microclimate data taken in different open urban spaces such as parks, squares and courtyards featuring various ground surface materials, in particular asphalt, concrete, marble, granite, porous stone, cobble stone, ceramic tiles, gravel, grass and water. The measured data were used to assess the effect of morphologic features and material properties on microclimate development. Measurements were taken in two stages, starting with exploratory readings followed by corrective and complementary measurements. These took place in six different sites in the city of Thessaloniki, in northern Greece. The measurements include surface and ambient temperatures, relative humidity and wind velocity readings. Spot measurements of direct and reflected solar radiation were also taken for an indicative calculation of surface albedo. The second round of measurements included globe temperatures in order to estimate the effect of the radiant environment on pedestrian thermal comfort. The results show differences between and within open spaces and their surfaces, thus highlighting the effects of shading, vegetation, water and material properties on microclimate development and pedestrian thermal comfort.","container-title":"Energy and Buildings","DOI":"10.1016/j.enbuild.2015.08.048","ISSN":"0378-7788","journalAbbreviation":"Energy and Buildings","page":"156-174","source":"ScienceDirect","title":"Microclimate development in open urban spaces: The influence of form and materials","title-short":"Microclimate development in open urban spaces","volume":"108","author":[{"family":"Chatzidimitriou","given":"Angeliki"},{"family":"Yannas","given":"Simos"}],"issued":{"date-parts":[["2015",12,1]]}}},{"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id":406,"uris":["http://zotero.org/users/local/dNtV5PxQ/items/KX6FIULW"],"itemData":{"id":406,"type":"article-journal","abstract":"Urban Heat Island (UHI) is considered as one of the major problems in the 21st century posed to human beings as a result of urbanization and industrialization of human civilization. The large amount of heat generated from urban structures, as they consume and re-radiate solar radiations, and from the anthropogenic heat sources are the main causes of UHI. The two heat sources increase the temperatures of an urban area as compared to its surroundings, which is known as Urban Heat Island Intensity (UHII). The problem is even worse in cities or metropolises with large population and extensive economic activities. The estimated three billion people living in the urban areas in the world are directly exposed to the problem, which will be increased significantly in the near future. Due to the severity of the problem, vast research effort has been dedicated and a wide range of literature is available for the subject. The literature available in this area includes the latest research approaches, concepts, methodologies, latest investigation tools and mitigation measures. This study was carried out to review and summarize this research area through an investigation of the most important feature of UHI. It was concluded that the heat re-radiated by the urban structures plays the most important role which should be investigated in details to study urban heating especially the UHI. It was also concluded that the future research should be focused on design and planning parameters for reducing the effects of urban heat island and ultimately living in a better environment.","container-title":"Journal of Environmental Sciences","DOI":"10.1016/S1001-0742(08)60019-4","ISSN":"1001-0742","issue":"1","journalAbbreviation":"Journal of Environmental Sciences","page":"120-128","source":"ScienceDirect","title":"A review on the generation, determination and mitigation of Urban Heat Island","volume":"20","author":[{"family":"Rizwan","given":"Ahmed Memon"},{"family":"Dennis","given":"Leung Y. C."},{"family":"Liu","given":"Chunho"}],"issued":{"date-parts":[["2008",1,1]]}}},{"id":429,"uris":["http://zotero.org/users/local/dNtV5PxQ/items/QVIQI5HU"],"itemData":{"id":429,"type":"article-journal","abstract":"The wellbeing and life quality also depend on the climatic conditions of the surrounding environment. In this case study the focus is on those interventions that can be performed, especially on enclosed urban contexts, to control the thermal environment. It pays attention on the effect of the vegetation and high albedo materials characterizing horizontal and vertical boundaries of the site and the Cloister by Giuliano da Sangallo, a historical site in Rome, is taken as case study. The model of the site was simulated with the software ENVI-met and it was verified thanks to a measurement campaign in situ. Five scenarios with different vertical and horizontal materials of the present buildings were simulated together with an analysis of the variations of physical quantities (air temperature, mean radiant temperature, relative humidity, wind speed) affecting the perception of environmental comfort (calculated through the Predicted Mean Vote). The result is that in those areas characterized by a Mediterranean climate, where the summer months with high temperatures must be mitigated, the vegetation can be a significant benefit to the environment, and high albedo materials can ease the thermal load of the buildings with a higher thermal stress for the pedestrians.","container-title":"Energy and Buildings","DOI":"10.1016/j.enbuild.2015.04.010","ISSN":"0378-7788","journalAbbreviation":"Energy and Buildings","page":"32-49","source":"ScienceDirect","title":"How high albedo and traditional buildings’ materials and vegetation affect the quality of urban microclimate. A case study","volume":"99","author":[{"family":"Salata","given":"Ferdinando"},{"family":"Golasi","given":"Iacopo"},{"family":"Vollaro","given":"Andrea de Lieto"},{"family":"Vollaro","given":"Roberto de Lieto"}],"issued":{"date-parts":[["2015",7,15]]}}}],"schema":"https://github.com/citation-style-language/schema/raw/master/csl-citation.json"}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(Chatzidimitriou &amp; Yannas, 2015; Nasrollahi et al., 2020; Rizwan et al., 2008; Salata et al., 2015)</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2FB19DE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C02725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14E956E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6B70FC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7E5A39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FC2486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B5F674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6094DC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6DF8CBD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CB0D21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677C3C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B9F390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65CC70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04BEB1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B87079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63AAF6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auto"/>
              <w:bottom w:val="single" w:sz="4" w:space="0" w:color="auto"/>
            </w:tcBorders>
            <w:noWrap/>
            <w:hideMark/>
          </w:tcPr>
          <w:p w14:paraId="0466E46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A54CD7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25AE86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491BA3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5A195D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2FD317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16607BF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E7FF69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5E22D19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78D09C6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760CD48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5156CCD7"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1F23D54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3CBA60EF"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Roof material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{"citationID":"yjGyVMme","properties":{"formattedCitation":"(Nasrollahi et al., 2020; Rizwan et al., 2008; Salata et al., 2015)","plainCitation":"(Nasrollahi et al., 2020; Rizwan et al., 2008; Salata et al., 2015)","noteIndex":0},"citationItems":[{"id":414,"uris":["http://zotero.org/users/local/dNtV5PxQ/items/MLKXM2GK"],"itemData":{"id":414,"type":"article-journal","abstract":"Thermal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id":406,"uris":["http://zotero.org/users/local/dNtV5PxQ/items/KX6FIULW"],"itemData":{"id":406,"type":"article-journal","abstract":"Urban Heat Island (UHI) is considered as one of the major problems in the 21st century posed to human beings as a result of urbanization and industrialization of human civilization. The large amount of heat generated from urban structures, as they consume and re-radiate solar radiations, and from the anthropogenic heat sources are the main causes of UHI. The two heat sources increase the temperatures of an urban area as compared to its surroundings, which is known as Urban Heat Island Intensity (UHII). The problem is even worse in cities or metropolises with large population and extensive economic activities. The estimated three billion people living in the urban areas in the world are directly exposed to the problem, which will be increased significantly in the near future. Due to the severity of the problem, vast research effort has been dedicated and a wide range of literature is available for the subject. The literature available in this area includes the latest research approaches, concepts, methodologies, latest investigation tools and mitigation measures. This study was carried out to review and summarize this research area through an investigation of the most important feature of UHI. It was concluded that the heat re-radiated by the urban structures plays the most important role which should be investigated in details to study urban heating especially the UHI. It was also concluded that the future research should be focused on design and planning parameters for reducing the effects of urban heat island and ultimately living in a better environment.","container-title":"Journal of Environmental Sciences","DOI":"10.1016/S1001-0742(08)60019-4","ISSN":"1001-0742","issue":"1","journalAbbreviation":"Journal of Environmental Sciences","page":"120-128","source":"ScienceDirect","title":"A review on the generation, determination and mitigation of Urban Heat Island","volume":"20","author":[{"family":"Rizwan","given":"Ahmed Memon"},{"family":"Dennis","given":"Leung Y. C."},{"family":"Liu","given":"Chunho"}],"issued":{"date-parts":[["2008",1,1]]}}},{"id":429,"uris":["http://zotero.org/users/local/dNtV5PxQ/items/QVIQI5HU"],"itemData":{"id":429,"type":"article-journal","abstract":"The wellbeing and life quality also depend on the climatic conditions of the surrounding environment. In this case study the focus is on those interventions that can be performed, especially on enclosed urban contexts, to control the thermal environment. It pays attention on the effect of the vegetation and high albedo materials characterizing horizontal and vertical boundaries of the site and the Cloister by Giuliano da Sangallo, a historical site in Rome, is taken as case study. The model of the site was simulated with the software ENVI-met and it was verified thanks to a measurement campaign in situ. Five scenarios with different vertical and horizontal materials of the present buildings were simulated together with an analysis of the variations of physical quantities (air temperature, mean radiant temperature, relative humidity, wind speed) affecting the perception of environmental comfort (calculated through the Predicted Mean Vote). The result is that in those areas characterized by a Mediterranean climate, where the summer months with high temperatures must be mitigated, the vegetation can be a significant benefit to the environment, and high albedo materials can ease the thermal load of the buildings with a higher thermal stress for the pedestrians.","container-title":"Energy and Buildings","DOI":"10.1016/j.enbuild.2015.04.010","ISSN":"0378-7788","journalAbbreviation":"Energy and Buildings","page":"32-49","source":"ScienceDirect","title":"How high albedo and traditional buildings’ materials and vegetation affect the quality of urban microclimate. A case study","volume":"99","author":[{"family":"Salata","given":"Ferdinando"},{"family":"Golasi","given":"Iacopo"},{"family":"Vollaro","given":"Andrea de Lieto"},{"family":"Vollaro","given":"Roberto de Lieto"}],"issued":{"date-parts":[["2015",7,15]]}}}],"schema":"https://github.com/citation-style-language/schema/raw/master/csl-citation.json"}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(Nasrollahi et al., 2020; Rizwan et al., 2008; Salata et al., 2015)</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55257DA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A5143E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AA7F56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87D3DA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7B2874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6FCB2A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75F17F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6277AC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639F186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977690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504197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950C1D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A2A35D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06165C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38A853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4258DD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6FBF121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02539B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F251BF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DADD84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14FBD3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B1BC10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42C7EFC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B4733F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45A034F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2E1C92B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1936408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4D02A533" w14:textId="77777777" w:rsidTr="00DB5B43">
        <w:trPr>
          <w:trHeight w:val="333"/>
        </w:trPr>
        <w:tc>
          <w:tcPr>
            <w:cnfStyle w:val="001000000000" w:firstRow="0" w:lastRow="0" w:firstColumn="1" w:lastColumn="0" w:oddVBand="0" w:evenVBand="0" w:oddHBand="0" w:evenHBand="0" w:firstRowFirstColumn="0" w:firstRowLastColumn="0" w:lastRowFirstColumn="0" w:lastRowLastColumn="0"/>
            <w:tcW w:w="473" w:type="dxa"/>
            <w:vMerge w:val="restart"/>
            <w:shd w:val="clear" w:color="auto" w:fill="FDBE6F"/>
            <w:textDirection w:val="btLr"/>
            <w:vAlign w:val="center"/>
            <w:hideMark/>
          </w:tcPr>
          <w:p w14:paraId="09FD44BA" w14:textId="56FF5454" w:rsidR="00DB5B43" w:rsidRPr="00CE39A1" w:rsidRDefault="00DB5B43" w:rsidP="00DB5B43">
            <w:pPr>
              <w:spacing w:line="480" w:lineRule="auto"/>
              <w:ind w:left="113" w:right="113"/>
              <w:jc w:val="center"/>
              <w:rPr>
                <w:rFonts w:ascii="Times New Roman" w:eastAsia="Times New Roman" w:hAnsi="Times New Roman" w:cs="Times New Roman"/>
                <w:color w:val="000000"/>
                <w:sz w:val="24"/>
                <w:szCs w:val="24"/>
                <w:lang w:val="en-CA"/>
              </w:rPr>
            </w:pPr>
            <w:r>
              <w:rPr>
                <w:rFonts w:ascii="Times New Roman" w:eastAsia="Times New Roman" w:hAnsi="Times New Roman" w:cs="Times New Roman"/>
                <w:color w:val="000000"/>
                <w:sz w:val="24"/>
                <w:szCs w:val="24"/>
                <w:lang w:val="en-CA"/>
              </w:rPr>
              <w:lastRenderedPageBreak/>
              <w:t>Temperature</w:t>
            </w: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54424745"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Furniture material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{"citationID":"iDbcZvo0","properties":{"formattedCitation":"(City of Edmonton, 2016; Housing for Health, 2023; Pressman, 1996)","plainCitation":"(City of Edmonton, 2016; Housing for Health, 2023; Pressman, 1996)","noteIndex":0},"citationItems":[{"id":425,"uris":["http://zotero.org/users/local/dNtV5PxQ/items/9VS2R4X4"],"itemData":{"id":425,"type":"book","abstract":"The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Edmonton"}],"accessed":{"date-parts":[["2023",10,13]]},"issued":{"date-parts":[["2016"]]}}},{"id":78,"uris":["http://zotero.org/users/local/dNtV5PxQ/items/83773BBS"],"itemData":{"id":78,"type":"report","publisher":"University of Alberta","title":"Healthy Community Guidelines","URL":"https://www.ualberta.ca/department-of-medicine/divisions/preventive-medicine/housing-for-health/healthy-community-guidelines.html","author":[{"literal":"Housing for Health"}],"issued":{"date-parts":[["2023"]]}}},{"id":351,"uris":["http://zotero.org/users/local/dNtV5PxQ/items/YDMMZT2P"],"itemData":{"id":351,"type":"article-journal","abstract":"Attempts to generate a “climate-responsive” northern urban form are part of a relatively recent phenomenon and field of investigation. In conjunction with the international “winter cities” movement, the need has been established for explicit, systematic inquiry directed toward national and local action to improve the comfort and lifestyles of all northern inhabitants. It is important to recognize that winter-induced discomforts exist and that they must be acknowledged in planning theory and practice. For northern cities to function more satisfactorily, the negative impacts of winter must be reduced while its beneficial characteristics are enhanced. While not all summer activities can or should be abandoned during winter, proper micro-climatic control is essential if human life is to be retained outside. The outdoor season should be extended since so much indoor isolation occurs. The main principles to be incorporated in exemplary “winter city” design should be contact with nature, year-round usability, user participation, cultural continuity, and the creation of comfortable micro-climatic conditions throughout much of the city's open spaces. All valuable sources of inspiration must be harnessed in the attempt to mediate between organic regionalism and internationalism, on the one hand, and romanticism and pragmatic realism, on the other. Creating optimum conditions for human well-being, habitation, work and intellectual development in each of the four seasons is vital under harsh environments. Adopting a climate-sensitive approach to planning policy and urban design can render everyday life less stressful, especially during the lengthy winter periods found in many northern latitude and high altitude settings.","collection-title":"Conference on the Urban Thermal Environment Studies in Tohwa","container-title":"Atmospheric Environment","DOI":"10.1016/1352-2310(95)00012-7","ISSN":"1352-2310","issue":"3","journalAbbreviation":"Atmospheric Environment","page":"521-529","source":"ScienceDirect","title":"Sustainable winter cities: Future directions for planning, policy and design","title-short":"Sustainable winter cities","volume":"30","author":[{"family":"Pressman","given":"Norman E. P."}],"issued":{"date-parts":[["1996",2,1]]}}}],"schema":"https://github.com/citation-style-language/schema/raw/master/csl-citation.json"}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(City of Edmonton, 2016; Housing for Health, 2023; Pressman, 1996)</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0DB508A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5196EF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6BC2EF7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068A9A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A4233C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8C942A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C0E764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1DB6BF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69C8A53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177E0D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EF95D1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F76068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DE5B04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FA86CF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B68D2B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F67820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20F51DF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68A6BA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75011D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5C89BC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C0BF54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1CCBD0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267C2CB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4CBBE9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175BCFD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384075C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1BF2CF2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1A5BF9AD"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798863A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0064CF00"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Building colour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{"citationID":"QCEMHk1L","properties":{"formattedCitation":"(City of Edmonton, 2016; Nasrollahi et al., 2020; Rizwan et al., 2008; Salata et al., 2015)","plainCitation":"(City of Edmonton, 2016; Nasrollahi et al., 2020; Rizwan et al., 2008; Salata et al., 2015)","noteIndex":0},"citationItems":[{"id":425,"uris":["http://zotero.org/users/local/dNtV5PxQ/items/9VS2R4X4"],"itemData":{"id":425,"type":"book","abstract":"The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id":406,"uris":["http://zotero.org/users/local/dNtV5PxQ/items/KX6FIULW"],"itemData":{"id":406,"type":"article-journal","abstract":"Urban Heat Island (UHI) is considered as one of the major problems in the 21st century posed to human beings as a result of urbanization and industrialization of human civilization. The large amount of heat generated from urban structures, as they consume and re-radiate solar radiations, and from the anthropogenic heat sources are the main causes of UHI. The two heat sources increase the temperatures of an urban area as compared to its surroundings, which is known as Urban Heat Island Intensity (UHII). The problem is even worse in cities or metropolises with large population and extensive economic activities. The estimated three billion people living in the urban areas in the world are directly exposed to the problem, which will be increased significantly in the near future. Due to the severity of the problem, vast research effort has been dedicated and a wide range of literature is available for the subject. The literature available in this area includes the latest research approaches, concepts, methodologies, latest investigation tools and mitigation measures. This study was carried out to review and summarize this research area through an investigation of the most important feature of UHI. It was concluded that the heat re-radiated by the urban structures plays the most important role which should be investigated in details to study urban heating especially the UHI. It was also concluded that the future research should be focused on design and planning parameters for reducing the effects of urban heat island and ultimately living in a better environment.","container-title":"Journal of Environmental Sciences","DOI":"10.1016/S1001-0742(08)60019-4","ISSN":"1001-0742","issue":"1","journalAbbreviation":"Journal of Environmental Sciences","page":"120-128","source":"ScienceDirect","title":"A review on the generation, determination and mitigation of Urban Heat Island","volume":"20","author":[{"family":"Rizwan","given":"Ahmed Memon"},{"family":"Dennis","given":"Leung Y. C."},{"family":"Liu","given":"Chunho"}],"issued":{"date-parts":[["2008",1,1]]}}},{"id":429,"uris":["http://zotero.org/users/local/dNtV5PxQ/items/QVIQI5HU"],"itemData":{"id":429,"type":"article-journal","abstract":"The wellbeing and life quality also depend on the climatic conditions of the surrounding environment. In this case study the focus is on those interventions that can be performed, especially on enclosed urban contexts, to control the thermal environment. It pays attention on the effect of the vegetation and high albedo materials characterizing horizontal and vertical boundaries of the site and the Cloister by Giuliano da Sangallo, a historical site in Rome, is taken as case study. The model of the site was simulated with the software ENVI-met and it was verified thanks to a measurement campaign in situ. Five scenarios with different vertical and horizontal materials of the present buildings were simulated together with an analysis of the variations of physical quantities (air temperature, mean radiant temperature, relative humidity, wind speed) affecting the perception of environmental comfort (calculated through the Predicted Mean Vote). The result is that in those areas characterized by a Mediterranean climate, where the summer months with high temperatures must be mitigated, the vegetation can be a significant benefit to the environment, and high albedo materials can ease the thermal load of the buildings with a higher thermal stress for the pedestrians.","container-title":"Energy and Buildings","DOI":"10.1016/j.enbuild.2015.04.010","ISSN":"0378-7788","journalAbbreviation":"Energy and Buildings","page":"32-49","source":"ScienceDirect","title":"How high albedo and traditional buildings’ materials and vegetation affect the quality of urban microclimate. A case study","volume":"99","author":[{"family":"Salata","given":"Ferdinando"},{"family":"Golasi","given":"Iacopo"},{"family":"Vollaro","given":"Andrea de Lieto"},{"family":"Vollaro","given":"Roberto de Lieto"}],"issued":{"date-parts":[["2015",7,15]]}}}],"schema":"https://github.com/citation-style-language/schema/raw/master/csl-citation.json"}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(City of Edmonton, 2016; Nasrollahi et al., 2020; Rizwan et al., 2008; Salata et al., 2015)</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3665DCE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CD7B88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ACFB10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CC7D94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9E72A0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443E89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C3FD75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8349AD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525F8F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CCCC5B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6C8E65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439D65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9E1E5E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A3CF41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F6D83F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76C00C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567BE8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804CC6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B23892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D526EC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E714DB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BBF5BD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7342D2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7B666A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1B8DC56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28DACFF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6D6A195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4E997B84"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5586231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15FDCB08"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Sidewalk colour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{"citationID":"QDNslQzL","properties":{"formattedCitation":"(Chatzidimitriou &amp; Yannas, 2015; Nasrollahi et al., 2020; Rizwan et al., 2008; Salata et al., 2015)","plainCitation":"(Chatzidimitriou &amp; Yannas, 2015; Nasrollahi et al., 2020; Rizwan et al., 2008; Salata et al., 2015)","noteIndex":0},"citationItems":[{"id":427,"uris":["http://zotero.org/users/local/dNtV5PxQ/items/YDRZHZQS"],"itemData":{"id":427,"type":"article-journal","abstract":"The microclimates of open spaces in cities are highly influenced by urban geometry and construction materials. The present study reports on measurements of microclimate data taken in different open urban spaces such as parks, squares and courtyards featuring various ground surface materials, in particular asphalt, concrete, marble, granite, porous stone, cobble stone, ceramic tiles, gravel, grass and water. The measured data were used to assess the effect of morphologic features and material properties on microclimate development. Measurements were taken in two stages, starting with exploratory readings followed by corrective and complementary measurements. These took place in six different sites in the city of Thessaloniki, in northern Greece. The measurements include surface and ambient temperatures, relative humidity and wind velocity readings. Spot measurements of direct and reflected solar radiation were also taken for an indicative calculation of surface albedo. The second round of measurements included globe temperatures in order to estimate the effect of the radiant environment on pedestrian thermal comfort. The results show differences between and within open spaces and their surfaces, thus highlighting the effects of shading, vegetation, water and material properties on microclimate development and pedestrian thermal comfort.","container-title":"Energy and Buildings","DOI":"10.1016/j.enbuild.2015.08.048","ISSN":"0378-7788","journalAbbreviation":"Energy and Buildings","page":"156-174","source":"ScienceDirect","title":"Microclimate development in open urban spaces: The influence of form and materials","title-short":"Microclimate development in open urban spaces","volume":"108","author":[{"family":"Chatzidimitriou","given":"Angeliki"},{"family":"Yannas","given":"Simos"}],"issued":{"date-parts":[["2015",12,1]]}}},{"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id":406,"uris":["http://zotero.org/users/local/dNtV5PxQ/items/KX6FIULW"],"itemData":{"id":406,"type":"article-journal","abstract":"Urban Heat Island (UHI) is considered as one of the major problems in the 21st century posed to human beings as a result of urbanization and industrialization of human civilization. The large amount of heat generated from urban structures, as they consume and re-radiate solar radiations, and from the anthropogenic heat sources are the main causes of UHI. The two heat sources increase the temperatures of an urban area as compared to its surroundings, which is known as Urban Heat Island Intensity (UHII). The problem is even worse in cities or metropolises with large population and extensive economic activities. The estimated three billion people living in the urban areas in the world are directly exposed to the problem, which will be increased significantly in the near future. Due to the severity of the problem, vast research effort has been dedicated and a wide range of literature is available for the subject. The literature available in this area includes the latest research approaches, concepts, methodologies, latest investigation tools and mitigation measures. This study was carried out to review and summarize this research area through an investigation of the most important feature of UHI. It was concluded that the heat re-radiated by the urban structures plays the most important role which should be investigated in details to study urban heating especially the UHI. It was also concluded that the future research should be focused on design and planning parameters for reducing the effects of urban heat island and ultimately living in a better environment.","container-title":"Journal of Environmental Sciences","DOI":"10.1016/S1001-0742(08)60019-4","ISSN":"1001-0742","issue":"1","journalAbbreviation":"Journal of Environmental Sciences","page":"120-128","source":"ScienceDirect","title":"A review on the generation, determination and mitigation of Urban Heat Island","volume":"20","author":[{"family":"Rizwan","given":"Ahmed Memon"},{"family":"Dennis","given":"Leung Y. C."},{"family":"Liu","given":"Chunho"}],"issued":{"date-parts":[["2008",1,1]]}}},{"id":429,"uris":["http://zotero.org/users/local/dNtV5PxQ/items/QVIQI5HU"],"itemData":{"id":429,"type":"article-journal","abstract":"The wellbeing and life quality also depend on the climatic conditions of the surrounding environment. In this case study the focus is on those interventions that can be performed, especially on enclosed urban contexts, to control the thermal environment. It pays attention on the effect of the vegetation and high albedo materials characterizing horizontal and vertical boundaries of the site and the Cloister by Giuliano da Sangallo, a historical site in Rome, is taken as case study. The model of the site was simulated with the software ENVI-met and it was verified thanks to a measurement campaign in situ. Five scenarios with different vertical and horizontal materials of the present buildings were simulated together with an analysis of the variations of physical quantities (air temperature, mean radiant temperature, relative humidity, wind speed) affecting the perception of environmental comfort (calculated through the Predicted Mean Vote). The result is that in those areas characterized by a Mediterranean climate, where the summer months with high temperatures must be mitigated, the vegetation can be a significant benefit to the environment, and high albedo materials can ease the thermal load of the buildings with a higher thermal stress for the pedestrians.","container-title":"Energy and Buildings","DOI":"10.1016/j.enbuild.2015.04.010","ISSN":"0378-7788","journalAbbreviation":"Energy and Buildings","page":"32-49","source":"ScienceDirect","title":"How high albedo and traditional buildings’ materials and vegetation affect the quality of urban microclimate. A case study","volume":"99","author":[{"family":"Salata","given":"Ferdinando"},{"family":"Golasi","given":"Iacopo"},{"family":"Vollaro","given":"Andrea de Lieto"},{"family":"Vollaro","given":"Roberto de Lieto"}],"issued":{"date-parts":[["2015",7,15]]}}}],"schema":"https://github.com/citation-style-language/schema/raw/master/csl-citation.json"}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(Chatzidimitriou &amp; Yannas, 2015; Nasrollahi et al., 2020; Rizwan et al., 2008; Salata et al., 2015)</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4462ADE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8B7238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44DAE85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D10BDA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647A9C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648D41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2FC606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70BFDA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620FCC0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31253B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122C8B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E7B96A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6508ED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B85A5A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130CAB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7DCA5A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6CC61E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9D460B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38E194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D6B99D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3FACFE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806031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09B0879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44E21E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5476FB9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739EF94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34CD99F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7877BB65"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7124536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19A0E8E5"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Road colour (</w:t>
            </w:r>
            <w:proofErr w:type="spellStart"/>
            <w:r w:rsidRPr="00CE39A1">
              <w:rPr>
                <w:rFonts w:ascii="Times New Roman" w:eastAsia="Times New Roman" w:hAnsi="Times New Roman" w:cs="Times New Roman"/>
                <w:b/>
                <w:bCs/>
                <w:noProof/>
                <w:color w:val="000000"/>
                <w:sz w:val="24"/>
                <w:szCs w:val="24"/>
                <w:lang w:val="en-CA"/>
              </w:rPr>
              <w:t>Chatzidimitriou</w:t>
            </w:r>
            <w:proofErr w:type="spellEnd"/>
            <w:r w:rsidRPr="00CE39A1">
              <w:rPr>
                <w:rFonts w:ascii="Times New Roman" w:eastAsia="Times New Roman" w:hAnsi="Times New Roman" w:cs="Times New Roman"/>
                <w:b/>
                <w:bCs/>
                <w:noProof/>
                <w:color w:val="000000"/>
                <w:sz w:val="24"/>
                <w:szCs w:val="24"/>
                <w:lang w:val="en-CA"/>
              </w:rPr>
              <w:t xml:space="preserve"> &amp; Yannas, 2015; Nasrollahi et al., 2020; Rizwan et al., 2008; Salata et al., 2015)</w:t>
            </w:r>
          </w:p>
        </w:tc>
        <w:tc>
          <w:tcPr>
            <w:tcW w:w="376" w:type="dxa"/>
            <w:tcBorders>
              <w:top w:val="single" w:sz="4" w:space="0" w:color="auto"/>
              <w:left w:val="single" w:sz="4" w:space="0" w:color="auto"/>
              <w:bottom w:val="single" w:sz="4" w:space="0" w:color="auto"/>
            </w:tcBorders>
            <w:noWrap/>
            <w:hideMark/>
          </w:tcPr>
          <w:p w14:paraId="4D13558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9C43E8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89FCD3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5914AF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1F4D8C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92DA40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6FAC14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CD518E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162A4A6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F748F6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5AE61A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DE4E14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0A2BDE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E5B21F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9343BD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3E92E7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13A8EA1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2286FA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45065E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B635CD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DEE587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BC3857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16E4430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DED50A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243C8F2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424BCB1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70BC077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5F7C1FC7"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245CF71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1D7F3E3D"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Roof colour</w:t>
            </w:r>
            <w:r w:rsidRPr="00CE39A1">
              <w:rPr>
                <w:rFonts w:ascii="Times New Roman" w:eastAsia="Times New Roman" w:hAnsi="Times New Roman" w:cs="Times New Roman"/>
                <w:b/>
                <w:bCs/>
                <w:noProof/>
                <w:color w:val="000000"/>
                <w:sz w:val="24"/>
                <w:szCs w:val="24"/>
                <w:lang w:val="en-CA"/>
              </w:rPr>
              <w:t xml:space="preserve"> (Chatzidimitriou &amp; Yannas, 2015; Nasrollahi et al., </w:t>
            </w:r>
            <w:r w:rsidRPr="00CE39A1">
              <w:rPr>
                <w:rFonts w:ascii="Times New Roman" w:eastAsia="Times New Roman" w:hAnsi="Times New Roman" w:cs="Times New Roman"/>
                <w:b/>
                <w:bCs/>
                <w:noProof/>
                <w:color w:val="000000"/>
                <w:sz w:val="24"/>
                <w:szCs w:val="24"/>
                <w:lang w:val="en-CA"/>
              </w:rPr>
              <w:lastRenderedPageBreak/>
              <w:t>2020; Rizwan et al., 2008; Salata et al., 2015)</w:t>
            </w:r>
          </w:p>
        </w:tc>
        <w:tc>
          <w:tcPr>
            <w:tcW w:w="376" w:type="dxa"/>
            <w:tcBorders>
              <w:top w:val="single" w:sz="4" w:space="0" w:color="auto"/>
              <w:left w:val="single" w:sz="4" w:space="0" w:color="auto"/>
              <w:bottom w:val="single" w:sz="4" w:space="0" w:color="auto"/>
            </w:tcBorders>
            <w:noWrap/>
            <w:hideMark/>
          </w:tcPr>
          <w:p w14:paraId="358375B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lastRenderedPageBreak/>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F46BE6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28022FC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6EEF8D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8CE633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0C13DE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06F8EC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2C3FD1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43D1550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0B8455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848D2E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CCEC50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369555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AFCB6F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C04D87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0F0E47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479422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AECCB3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93C8AB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2A18B6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A6EE0B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AAF999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5DA3BF7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DF45BD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527448B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5217111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59F6789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7BC53122" w14:textId="77777777" w:rsidTr="00DB5B43">
        <w:trPr>
          <w:trHeight w:val="333"/>
        </w:trPr>
        <w:tc>
          <w:tcPr>
            <w:cnfStyle w:val="001000000000" w:firstRow="0" w:lastRow="0" w:firstColumn="1" w:lastColumn="0" w:oddVBand="0" w:evenVBand="0" w:oddHBand="0" w:evenHBand="0" w:firstRowFirstColumn="0" w:firstRowLastColumn="0" w:lastRowFirstColumn="0" w:lastRowLastColumn="0"/>
            <w:tcW w:w="473" w:type="dxa"/>
            <w:vMerge w:val="restart"/>
            <w:shd w:val="clear" w:color="auto" w:fill="FDBE6F"/>
            <w:textDirection w:val="btLr"/>
            <w:vAlign w:val="center"/>
            <w:hideMark/>
          </w:tcPr>
          <w:p w14:paraId="37DBEB9C" w14:textId="72D3DBDF" w:rsidR="00DB5B43" w:rsidRPr="00CE39A1" w:rsidRDefault="00DB5B43" w:rsidP="00DB5B43">
            <w:pPr>
              <w:spacing w:line="480" w:lineRule="auto"/>
              <w:ind w:left="113" w:right="113"/>
              <w:jc w:val="center"/>
              <w:rPr>
                <w:rFonts w:ascii="Times New Roman" w:eastAsia="Times New Roman" w:hAnsi="Times New Roman" w:cs="Times New Roman"/>
                <w:color w:val="000000"/>
                <w:sz w:val="24"/>
                <w:szCs w:val="24"/>
                <w:lang w:val="en-CA"/>
              </w:rPr>
            </w:pPr>
            <w:r>
              <w:rPr>
                <w:rFonts w:ascii="Times New Roman" w:eastAsia="Times New Roman" w:hAnsi="Times New Roman" w:cs="Times New Roman"/>
                <w:color w:val="000000"/>
                <w:sz w:val="24"/>
                <w:szCs w:val="24"/>
                <w:lang w:val="en-CA"/>
              </w:rPr>
              <w:t>Temperature</w:t>
            </w: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0AEAA31B"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Furniture colour (</w:t>
            </w:r>
            <w:proofErr w:type="spellStart"/>
            <w:r w:rsidRPr="00CE39A1">
              <w:rPr>
                <w:rFonts w:ascii="Times New Roman" w:eastAsia="Times New Roman" w:hAnsi="Times New Roman" w:cs="Times New Roman"/>
                <w:b/>
                <w:bCs/>
                <w:noProof/>
                <w:color w:val="000000"/>
                <w:sz w:val="24"/>
                <w:szCs w:val="24"/>
                <w:lang w:val="en-CA"/>
              </w:rPr>
              <w:t>Chatzidimitriou</w:t>
            </w:r>
            <w:proofErr w:type="spellEnd"/>
            <w:r w:rsidRPr="00CE39A1">
              <w:rPr>
                <w:rFonts w:ascii="Times New Roman" w:eastAsia="Times New Roman" w:hAnsi="Times New Roman" w:cs="Times New Roman"/>
                <w:b/>
                <w:bCs/>
                <w:noProof/>
                <w:color w:val="000000"/>
                <w:sz w:val="24"/>
                <w:szCs w:val="24"/>
                <w:lang w:val="en-CA"/>
              </w:rPr>
              <w:t xml:space="preserve"> &amp; Yannas, 2015; Nasrollahi et al., 2020; Rizwan et al., 2008; Salata et al., 2015)</w:t>
            </w:r>
          </w:p>
        </w:tc>
        <w:tc>
          <w:tcPr>
            <w:tcW w:w="376" w:type="dxa"/>
            <w:tcBorders>
              <w:top w:val="single" w:sz="4" w:space="0" w:color="auto"/>
              <w:left w:val="single" w:sz="4" w:space="0" w:color="auto"/>
              <w:bottom w:val="single" w:sz="4" w:space="0" w:color="auto"/>
            </w:tcBorders>
            <w:noWrap/>
            <w:hideMark/>
          </w:tcPr>
          <w:p w14:paraId="667FF7B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64EBDB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25D1AD1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7EB06E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E73BB4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8E589F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8EA680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3A691B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2830EEE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849CA1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1DABAB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F39906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E650F9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614D85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8BD824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93C193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019F2B2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246E2B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47449C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C3ECDD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06C026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AA4298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26D9847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1BBCF6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1D116EA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40CEBF4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568D09F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7F3C008D"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56FAD9B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707F1EC3"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Building texture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{"citationID":"9AJkQJlv","properties":{"formattedCitation":"(Nasrollahi et al., 2020; Rizwan et al., 2008; Salata et al., 2015)","plainCitation":"(Nasrollahi et al., 2020; Rizwan et al., 2008; Salata et al., 2015)","noteIndex":0},"citationItems":[{"id":414,"uris":["http://zotero.org/users/local/dNtV5PxQ/items/MLKXM2GK"],"itemData":{"id":414,"type":"article-journal","abstract":"Thermal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id":406,"uris":["http://zotero.org/users/local/dNtV5PxQ/items/KX6FIULW"],"itemData":{"id":406,"type":"article-journal","abstract":"Urban Heat Island (UHI) is considered as one of the major problems in the 21st century posed to human beings as a result of urbanization and industrialization of human civilization. The large amount of heat generated from urban structures, as they consume and re-radiate solar radiations, and from the anthropogenic heat sources are the main causes of UHI. The two heat sources increase the temperatures of an urban area as compared to its surroundings, which is known as Urban Heat Island Intensity (UHII). The problem is even worse in cities or metropolises with large population and extensive economic activities. The estimated three billion people living in the urban areas in the world are directly exposed to the problem, which will be increased significantly in the near future. Due to the severity of the problem, vast research effort has been dedicated and a wide range of literature is available for the subject. The literature available in this area includes the latest research approaches, concepts, methodologies, latest investigation tools and mitigation measures. This study was carried out to review and summarize this research area through an investigation of the most important feature of UHI. It was concluded that the heat re-radiated by the urban structures plays the most important role which should be investigated in details to study urban heating especially the UHI. It was also concluded that the future research should be focused on design and planning parameters for reducing the effects of urban heat island and ultimately living in a better environment.","container-title":"Journal of Environmental Sciences","DOI":"10.1016/S1001-0742(08)60019-4","ISSN":"1001-0742","issue":"1","journalAbbreviation":"Journal of Environmental Sciences","page":"120-128","source":"ScienceDirect","title":"A review on the generation, determination and mitigation of Urban Heat Island","volume":"20","author":[{"family":"Rizwan","given":"Ahmed Memon"},{"family":"Dennis","given":"Leung Y. C."},{"family":"Liu","given":"Chunho"}],"issued":{"date-parts":[["2008",1,1]]}}},{"id":429,"uris":["http://zotero.org/users/local/dNtV5PxQ/items/QVIQI5HU"],"itemData":{"id":429,"type":"article-journal","abstract":"The wellbeing and life quality also depend on the climatic conditions of the surrounding environment. In this case study the focus is on those interventions that can be performed, especially on enclosed urban contexts, to control the thermal environment. It pays attention on the effect of the vegetation and high albedo materials characterizing horizontal and vertical boundaries of the site and the Cloister by Giuliano da Sangallo, a historical site in Rome, is taken as case study. The model of the site was simulated with the software ENVI-met and it was verified thanks to a measurement campaign in situ. Five scenarios with different vertical and horizontal materials of the present buildings were simulated together with an analysis of the variations of physical quantities (air temperature, mean radiant temperature, relative humidity, wind speed) affecting the perception of environmental comfort (calculated through the Predicted Mean Vote). The result is that in those areas characterized by a Mediterranean climate, where the summer months with high temperatures must be mitigated, the vegetation can be a significant benefit to the environment, and high albedo materials can ease the thermal load of the buildings with a higher thermal stress for the pedestrians.","container-title":"Energy and Buildings","DOI":"10.1016/j.enbuild.2015.04.010","ISSN":"0378-7788","journalAbbreviation":"Energy and Buildings","page":"32-49","source":"ScienceDirect","title":"How high albedo and traditional buildings’ materials and vegetation affect the quality of urban microclimate. A case study","volume":"99","author":[{"family":"Salata","given":"Ferdinando"},{"family":"Golasi","given":"Iacopo"},{"family":"Vollaro","given":"Andrea de Lieto"},{"family":"Vollaro","given":"Roberto de Lieto"}],"issued":{"date-parts":[["2015",7,15]]}}}],"schema":"https://github.com/citation-style-language/schema/raw/master/csl-citation.json"}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(Nasrollahi et al., 2020; Rizwan et al., 2008; Salata et al., 2015)</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57CC248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DA1913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4A4D3D8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03E4D9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1347D9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5C3DA5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59CCB9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B3B6DB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1EC199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99E53C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9FFD8E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72FC0F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E0AE1C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283860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AB9770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81777F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576242A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FA4E20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380181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427D87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7A8C92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139377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B12358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49BB58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2490258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48FCA74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1FAB071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6004CD66"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3BEE237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39D2C0EE"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Sidewalk texture (</w:t>
            </w:r>
            <w:proofErr w:type="spellStart"/>
            <w:r w:rsidRPr="00CE39A1">
              <w:rPr>
                <w:rFonts w:ascii="Times New Roman" w:eastAsia="Times New Roman" w:hAnsi="Times New Roman" w:cs="Times New Roman"/>
                <w:b/>
                <w:bCs/>
                <w:noProof/>
                <w:color w:val="000000"/>
                <w:sz w:val="24"/>
                <w:szCs w:val="24"/>
                <w:lang w:val="en-CA"/>
              </w:rPr>
              <w:t>Nasrollahi</w:t>
            </w:r>
            <w:proofErr w:type="spellEnd"/>
            <w:r w:rsidRPr="00CE39A1">
              <w:rPr>
                <w:rFonts w:ascii="Times New Roman" w:eastAsia="Times New Roman" w:hAnsi="Times New Roman" w:cs="Times New Roman"/>
                <w:b/>
                <w:bCs/>
                <w:noProof/>
                <w:color w:val="000000"/>
                <w:sz w:val="24"/>
                <w:szCs w:val="24"/>
                <w:lang w:val="en-CA"/>
              </w:rPr>
              <w:t xml:space="preserve"> et al., 2020; Rizwan et al., 2008; Salata et al., 2015)</w:t>
            </w:r>
          </w:p>
        </w:tc>
        <w:tc>
          <w:tcPr>
            <w:tcW w:w="376" w:type="dxa"/>
            <w:tcBorders>
              <w:top w:val="single" w:sz="4" w:space="0" w:color="auto"/>
              <w:left w:val="single" w:sz="4" w:space="0" w:color="auto"/>
              <w:bottom w:val="single" w:sz="4" w:space="0" w:color="auto"/>
            </w:tcBorders>
            <w:noWrap/>
            <w:hideMark/>
          </w:tcPr>
          <w:p w14:paraId="65402F3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A6153F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2DFCB0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E7DB02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6DAA5E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D1A4B9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4D2585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494BB5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28E373A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8D8F4A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62FB2B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EE7175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276C21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0FFC3C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F061BE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868733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A199F3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3FEA3D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AE0C12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B5DEE2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D85F58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7283D9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1DCEA62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BC86AF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72BCBFA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4E104FE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62D6A85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335B8926"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334899F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0346B53B"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Road texture</w:t>
            </w:r>
            <w:r w:rsidRPr="00CE39A1">
              <w:rPr>
                <w:rFonts w:ascii="Times New Roman" w:eastAsia="Times New Roman" w:hAnsi="Times New Roman" w:cs="Times New Roman"/>
                <w:b/>
                <w:bCs/>
                <w:noProof/>
                <w:color w:val="000000"/>
                <w:sz w:val="24"/>
                <w:szCs w:val="24"/>
                <w:lang w:val="en-CA"/>
              </w:rPr>
              <w:t xml:space="preserve"> (Nasrollahi et al., 2020; Rizwan et al., 2008; Salata et al., 2015)</w:t>
            </w:r>
          </w:p>
        </w:tc>
        <w:tc>
          <w:tcPr>
            <w:tcW w:w="376" w:type="dxa"/>
            <w:tcBorders>
              <w:top w:val="single" w:sz="4" w:space="0" w:color="auto"/>
              <w:left w:val="single" w:sz="4" w:space="0" w:color="auto"/>
              <w:bottom w:val="single" w:sz="4" w:space="0" w:color="auto"/>
            </w:tcBorders>
            <w:noWrap/>
            <w:hideMark/>
          </w:tcPr>
          <w:p w14:paraId="4AA3438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46209C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01EEF1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DC620B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4E2CA1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B70206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79740B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09B9DA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CFBE75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6E695A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707DF1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407454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5F8DA3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6D7E5F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39D1B5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D2F2C8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05CB1E6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C5AA24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C10222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1FA4FD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AD69F2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6A3D0F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15955AA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DC3328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64761C9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2232B10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0DBD546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6AE72A0B" w14:textId="77777777" w:rsidTr="00DB5B43">
        <w:trPr>
          <w:trHeight w:val="333"/>
        </w:trPr>
        <w:tc>
          <w:tcPr>
            <w:cnfStyle w:val="001000000000" w:firstRow="0" w:lastRow="0" w:firstColumn="1" w:lastColumn="0" w:oddVBand="0" w:evenVBand="0" w:oddHBand="0" w:evenHBand="0" w:firstRowFirstColumn="0" w:firstRowLastColumn="0" w:lastRowFirstColumn="0" w:lastRowLastColumn="0"/>
            <w:tcW w:w="473" w:type="dxa"/>
            <w:vMerge w:val="restart"/>
            <w:shd w:val="clear" w:color="auto" w:fill="FDBE6F"/>
            <w:textDirection w:val="btLr"/>
            <w:vAlign w:val="center"/>
            <w:hideMark/>
          </w:tcPr>
          <w:p w14:paraId="59A94434" w14:textId="5385D7B1" w:rsidR="00DB5B43" w:rsidRPr="00CE39A1" w:rsidRDefault="00DB5B43" w:rsidP="00DB5B43">
            <w:pPr>
              <w:spacing w:line="480" w:lineRule="auto"/>
              <w:ind w:left="113" w:right="113"/>
              <w:jc w:val="center"/>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lastRenderedPageBreak/>
              <w:t>Temperature</w:t>
            </w: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4DAA7115"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Roof texture (</w:t>
            </w:r>
            <w:proofErr w:type="spellStart"/>
            <w:r w:rsidRPr="00CE39A1">
              <w:rPr>
                <w:rFonts w:ascii="Times New Roman" w:eastAsia="Times New Roman" w:hAnsi="Times New Roman" w:cs="Times New Roman"/>
                <w:b/>
                <w:bCs/>
                <w:noProof/>
                <w:color w:val="000000"/>
                <w:sz w:val="24"/>
                <w:szCs w:val="24"/>
                <w:lang w:val="en-CA"/>
              </w:rPr>
              <w:t>Nasrollahi</w:t>
            </w:r>
            <w:proofErr w:type="spellEnd"/>
            <w:r w:rsidRPr="00CE39A1">
              <w:rPr>
                <w:rFonts w:ascii="Times New Roman" w:eastAsia="Times New Roman" w:hAnsi="Times New Roman" w:cs="Times New Roman"/>
                <w:b/>
                <w:bCs/>
                <w:noProof/>
                <w:color w:val="000000"/>
                <w:sz w:val="24"/>
                <w:szCs w:val="24"/>
                <w:lang w:val="en-CA"/>
              </w:rPr>
              <w:t xml:space="preserve"> et al., 2020; Rizwan et al., 2008; Salata et al., 2015)</w:t>
            </w:r>
          </w:p>
        </w:tc>
        <w:tc>
          <w:tcPr>
            <w:tcW w:w="376" w:type="dxa"/>
            <w:tcBorders>
              <w:top w:val="single" w:sz="4" w:space="0" w:color="auto"/>
              <w:left w:val="single" w:sz="4" w:space="0" w:color="auto"/>
              <w:bottom w:val="single" w:sz="4" w:space="0" w:color="auto"/>
            </w:tcBorders>
            <w:noWrap/>
            <w:hideMark/>
          </w:tcPr>
          <w:p w14:paraId="1EC1059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DFFB52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05D5E12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92B675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1293E9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652FE9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8FE01F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39DEDD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0CBA492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194C39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321609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28237D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8A4666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5F8711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716DDF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34D199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2FDB10F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227AC0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6FF548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C5A533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036B70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E193A4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8DE67D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743D64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5080AD8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738DC2F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207CB2E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3C7F3B69"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4144CCB3" w14:textId="39CEF47B" w:rsidR="00DB5B43" w:rsidRPr="00CE39A1" w:rsidRDefault="00DB5B43" w:rsidP="00D820A7">
            <w:pPr>
              <w:spacing w:line="480" w:lineRule="auto"/>
              <w:ind w:left="113" w:right="113"/>
              <w:jc w:val="center"/>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right w:val="single" w:sz="4" w:space="0" w:color="auto"/>
            </w:tcBorders>
            <w:shd w:val="clear" w:color="auto" w:fill="FFFFFF" w:themeFill="background1"/>
            <w:hideMark/>
          </w:tcPr>
          <w:p w14:paraId="076DCDAA"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Green roofs*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{"citationID":"uXntpEkP","properties":{"formattedCitation":"(Life Between Umbrellas, 2019; Nasrollahi et al., 2020; Rizwan et al., 2008; Xu et al., 2023)","plainCitation":"(Life Between Umbrellas, 2019; Nasrollahi et al., 2020; Rizwan et al., 2008; Xu et al., 2023)","noteIndex":0},"citationItems":[{"id":442,"uris":["http://zotero.org/users/local/dNtV5PxQ/items/NC73SERY"],"itemData":{"id":442,"type":"report","abstract":"Over the past year, the VPSN held a number of events around Vancouver. We used these events to ask people about their ideas and aspirations for rain-friendly public spaces","language":"en-US","publisher":"City of Vancouver","title":"Rain Friendly Principles","URL":"https://www.lifebetweenumbrellas.ca/rain-friendly-principles","author":[{"literal":"Life Between Umbrellas"}],"accessed":{"date-parts":[["2023",10,16]]},"issued":{"date-parts":[["2019"]]}}},{"id":414,"uris":["http://zotero.org/users/local/dNtV5PxQ/items/MLKXM2GK"],"itemData":{"id":414,"type":"article-journal","abstract":"Thermal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id":406,"uris":["http://zotero.org/users/local/dNtV5PxQ/items/KX6FIULW"],"itemData":{"id":406,"type":"article-journal","abstract":"Urban Heat Island (UHI) is considered as one of the major problems in the 21st century posed to human beings as a result of urbanization and industrialization of human civilization. The large amount of heat generated from urban structures, as they consume and re-radiate solar radiations, and from the anthropogenic heat sources are the main causes of UHI. The two heat sources increase the temperatures of an urban area as compared to its surroundings, which is known as Urban Heat Island Intensity (UHII). The problem is even worse in cities or metropolises with large population and extensive economic activities. The estimated three billion people living in the urban areas in the world are directly exposed to the problem, which will be increased significantly in the near future. Due to the severity of the problem, vast research effort has been dedicated and a wide range of literature is available for the subject. The literature available in this area includes the latest research approaches, concepts, methodologies, latest investigation tools and mitigation measures. This study was carried out to review and summarize this research area through an investigation of the most important feature of UHI. It was concluded that the heat re-radiated by the urban structures plays the most important role which should be investigated in details to study urban heating especially the UHI. It was also concluded that the future research should be focused on design and planning parameters for reducing the effects of urban heat island and ultimately living in a better environment.","container-title":"Journal of Environmental Sciences","DOI":"10.1016/S1001-0742(08)60019-4","ISSN":"1001-0742","issue":"1","journalAbbreviation":"Journal of Environmental Sciences","page":"120-128","source":"ScienceDirect","title":"A review on the generation, determination and mitigation of Urban Heat Island","volume":"20","author":[{"family":"Rizwan","given":"Ahmed Memon"},{"family":"Dennis","given":"Leung Y. C."},{"family":"Liu","given":"Chunho"}],"issued":{"date-parts":[["2008",1,1]]}}},{"id":444,"uris":["http://zotero.org/users/local/dNtV5PxQ/items/MDLCAEF3"],"itemData":{"id":444,"type":"article-journal","abstract":"Due to the impact of climate change and rapid urbanization, issues around global urban flood control and water environment security have emerged as major global concerns. As a practical way to address these issues, exploitation of urban rainwater resources has become a worldwide hotspot for research and application. This paper 1) briefly examined the evolution of rainwater utilization management modes in advanced countries, 2) classified urban rainwater utilization measures from the utilization stages into three categories—source control, medium transmission, and terminal treatment, 3) summarized the advantages, disadvantages, and scope of the application of these measures, 4) reviewed the benefits, drawbacks, and application areas of these measures, and 5) conducted a quantitative analysis of their impact on rainwater pollution and flood control.","container-title":"Frontiers in Environmental Science","ISSN":"2296-665X","source":"Frontiers","title":"Urban rainwater utilization: A review of management modes and harvesting systems","title-short":"Urban rainwater utilization","URL":"https://www.frontiersin.org/articles/10.3389/fenvs.2023.1025665","volume":"11","author":[{"family":"Xu","given":"Jiayi"},{"family":"Dai","given":"Jiangyu"},{"family":"Wu","given":"Xiufeng"},{"family":"Wu","given":"Shiqiang"},{"family":"Zhang","given":"Yu"},{"family":"Wang","given":"Fangfang"},{"family":"Gao","given":"Ang"},{"family":"Tan","given":"Yanping"}],"accessed":{"date-parts":[["2023",10,16]]},"issued":{"date-parts":[["2023"]]}}}],"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(Life Between Umbrellas, 2019; Nasrollahi et al., 2020; Rizwan et al., 2008; Xu et al., 2023)</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tcBorders>
            <w:noWrap/>
            <w:hideMark/>
          </w:tcPr>
          <w:p w14:paraId="1A77B60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7D8FA22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tcBorders>
            <w:noWrap/>
            <w:hideMark/>
          </w:tcPr>
          <w:p w14:paraId="0A4DA4E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5FBC758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tcBorders>
            <w:noWrap/>
            <w:hideMark/>
          </w:tcPr>
          <w:p w14:paraId="5BF6AC8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tcBorders>
            <w:noWrap/>
            <w:hideMark/>
          </w:tcPr>
          <w:p w14:paraId="21460FD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tcBorders>
            <w:noWrap/>
            <w:hideMark/>
          </w:tcPr>
          <w:p w14:paraId="17D964B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09F8DB1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tcBorders>
            <w:noWrap/>
            <w:hideMark/>
          </w:tcPr>
          <w:p w14:paraId="2AFA578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60FBA84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tcBorders>
            <w:noWrap/>
            <w:hideMark/>
          </w:tcPr>
          <w:p w14:paraId="3173C9B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tcBorders>
            <w:noWrap/>
            <w:hideMark/>
          </w:tcPr>
          <w:p w14:paraId="420F53F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tcBorders>
            <w:noWrap/>
            <w:hideMark/>
          </w:tcPr>
          <w:p w14:paraId="611511A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tcBorders>
            <w:noWrap/>
            <w:hideMark/>
          </w:tcPr>
          <w:p w14:paraId="0054301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tcBorders>
            <w:noWrap/>
            <w:hideMark/>
          </w:tcPr>
          <w:p w14:paraId="38C5506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04A935F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tcBorders>
            <w:noWrap/>
            <w:hideMark/>
          </w:tcPr>
          <w:p w14:paraId="6A870FD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5A780BF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tcBorders>
            <w:noWrap/>
            <w:hideMark/>
          </w:tcPr>
          <w:p w14:paraId="4A6FE08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tcBorders>
            <w:noWrap/>
            <w:hideMark/>
          </w:tcPr>
          <w:p w14:paraId="4105F7D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tcBorders>
            <w:noWrap/>
            <w:hideMark/>
          </w:tcPr>
          <w:p w14:paraId="1D0271B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01D1353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tcBorders>
            <w:noWrap/>
            <w:hideMark/>
          </w:tcPr>
          <w:p w14:paraId="51F2B67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674E3A3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tcBorders>
          </w:tcPr>
          <w:p w14:paraId="3F1C11B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tcBorders>
          </w:tcPr>
          <w:p w14:paraId="32DF989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tcBorders>
            <w:noWrap/>
            <w:hideMark/>
          </w:tcPr>
          <w:p w14:paraId="46EE3BF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569F5023"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textDirection w:val="btLr"/>
          </w:tcPr>
          <w:p w14:paraId="78170C53" w14:textId="65335B92" w:rsidR="00DB5B43" w:rsidRPr="00CE39A1" w:rsidRDefault="00DB5B43" w:rsidP="0076348E">
            <w:pPr>
              <w:spacing w:line="480" w:lineRule="auto"/>
              <w:ind w:left="113" w:right="113"/>
              <w:jc w:val="center"/>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2740BC8C"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Green walls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{"citationID":"VOAc0rbP","properties":{"formattedCitation":"(Nasrollahi et al., 2020; Rizwan et al., 2008)","plainCitation":"(Nasrollahi et al., 2020; Rizwan et al., 2008)","noteIndex":0},"citationItems":[{"id":414,"uris":["http://zotero.org/users/local/dNtV5PxQ/items/MLKXM2GK"],"itemData":{"id":414,"type":"article-journal","abstract":"Thermal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id":406,"uris":["http://zotero.org/users/local/dNtV5PxQ/items/KX6FIULW"],"itemData":{"id":406,"type":"article-journal","abstract":"Urban Heat Island (UHI) is considered as one of the major problems in the 21st century posed to human beings as a result of urbanization and industrialization of human civilization. The large amount of heat generated from urban structures, as they consume and re-radiate solar radiations, and from the anthropogenic heat sources are the main causes of UHI. The two heat sources increase the temperatures of an urban area as compared to its surroundings, which is known as Urban Heat Island Intensity (UHII). The problem is even worse in cities or metropolises with large population and extensive economic activities. The estimated three billion people living in the urban areas in the world are directly exposed to the problem, which will be increased significantly in the near future. Due to the severity of the problem, vast research effort has been dedicated and a wide range of literature is available for the subject. The literature available in this area includes the latest research approaches, concepts, methodologies, latest investigation tools and mitigation measures. This study was carried out to review and summarize this research area through an investigation of the most important feature of UHI. It was concluded that the heat re-radiated by the urban structures plays the most important role which should be investigated in details to study urban heating especially the UHI. It was also concluded that the future research should be focused on design and planning parameters for reducing the effects of urban heat island and ultimately living in a better environment.","container-title":"Journal of Environmental Sciences","DOI":"10.1016/S1001-0742(08)60019-4","ISSN":"1001-0742","issue":"1","journalAbbreviation":"Journal of Environmental Sciences","page":"120-128","source":"ScienceDirect","title":"A review on the generation, determination and mitigation of Urban Heat Island","volume":"20","author":[{"family":"Rizwan","given":"Ahmed Memon"},{"family":"Dennis","given":"Leung Y. C."},{"family":"Liu","given":"Chunho"}],"issued":{"date-parts":[["2008",1,1]]}}}],"schema":"https://github.com/citation-style-language/schema/raw/master/csl-citation.json"}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(Nasrollahi et al., 2020; Rizwan et al., 2008)</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798E0C0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96FE86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53336B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8C7FEE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B89A7C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AF62CF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1272DD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716303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0943FCF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04CF01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2A28F9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16AB43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591B76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236583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9E40A3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C694CC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EB2615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C4DA05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90D4A5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DE943B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8D8B7F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D15BCB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5F5B7C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E9864C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275FCA9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20EBCC9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1114662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15EBDAB6"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38D23F7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74DA39AE"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Blue roofs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{"citationID":"vMI7GUYi","properties":{"formattedCitation":"(Nasrollahi et al., 2020; Rizwan et al., 2008)","plainCitation":"(Nasrollahi et al., 2020; Rizwan et al., 2008)","noteIndex":0},"citationItems":[{"id":414,"uris":["http://zotero.org/users/local/dNtV5PxQ/items/MLKXM2GK"],"itemData":{"id":414,"type":"article-journal","abstract":"Thermal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id":406,"uris":["http://zotero.org/users/local/dNtV5PxQ/items/KX6FIULW"],"itemData":{"id":406,"type":"article-journal","abstract":"Urban Heat Island (UHI) is considered as one of the major problems in the 21st century posed to human beings as a result of urbanization and industrialization of human civilization. The large amount of heat generated from urban structures, as they consume and re-radiate solar radiations, and from the anthropogenic heat sources are the main causes of UHI. The two heat sources increase the temperatures of an urban area as compared to its surroundings, which is known as Urban Heat Island Intensity (UHII). The problem is even worse in cities or metropolises with large population and extensive economic activities. The estimated three billion people living in the urban areas in the world are directly exposed to the problem, which will be increased significantly in the near future. Due to the severity of the problem, vast research effort has been dedicated and a wide range of literature is available for the subject. The literature available in this area includes the latest research approaches, concepts, methodologies, latest investigation tools and mitigation measures. This study was carried out to review and summarize this research area through an investigation of the most important feature of UHI. It was concluded that the heat re-radiated by the urban structures plays the most important role which should be investigated in details to study urban heating especially the UHI. It was also concluded that the future research should be focused on design and planning parameters for reducing the effects of urban heat island and ultimately living in a better environment.","container-title":"Journal of Environmental Sciences","DOI":"10.1016/S1001-0742(08)60019-4","ISSN":"1001-0742","issue":"1","journalAbbreviation":"Journal of Environmental Sciences","page":"120-128","source":"ScienceDirect","title":"A review on the generation, determination and mitigation of Urban Heat Island","volume":"20","author":[{"family":"Rizwan","given":"Ahmed Memon"},{"family":"Dennis","given":"Leung Y. C."},{"family":"Liu","given":"Chunho"}],"issued":{"date-parts":[["2008",1,1]]}}}],"schema":"https://github.com/citation-style-language/schema/raw/master/csl-citation.json"}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(Nasrollahi et al., 2020; Rizwan et al., 2008)</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72E3CCE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838D47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273CDB7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4BD0B9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372C77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55B2D1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5DDDE2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B9FDE8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5F29880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7549FA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47EAAF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A713D3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5453F8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CA2861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1FE0F3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A9AB76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0C7ABF0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BFEB2B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51A6A5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16EB2B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ECA32C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E09D2B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09E627C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D8FC61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6FAF5C4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357446F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48D45C7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46110945"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1432224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625AC7ED"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Blue walls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{"citationID":"ssbMqs16","properties":{"formattedCitation":"(Nasrollahi et al., 2020; Rizwan et al., 2008)","plainCitation":"(Nasrollahi et al., 2020; Rizwan et al., 2008)","noteIndex":0},"citationItems":[{"id":414,"uris":["http://zotero.org/users/local/dNtV5PxQ/items/MLKXM2GK"],"itemData":{"id":414,"type":"article-journal","abstract":"Thermal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id":406,"uris":["http://zotero.org/users/local/dNtV5PxQ/items/KX6FIULW"],"itemData":{"id":406,"type":"article-journal","abstract":"Urban Heat Island (UHI) is considered as one of the major problems in the 21st century posed to human beings as a result of urbanization and industrialization of human civilization. The large amount of heat generated from urban structures, as they consume and re-radiate solar radiations, and from the anthropogenic heat sources are the main causes of UHI. The two heat sources increase the temperatures of an urban area as compared to its surroundings, which is known as Urban Heat Island Intensity (UHII). The problem is even worse in cities or metropolises with large population and extensive economic activities. The estimated three billion people living in the urban areas in the world are directly exposed to the problem, which will be increased significantly in the near future. Due to the severity of the problem, vast research effort has been dedicated and a wide range of literature is available for the subject. The literature available in this area includes the latest research approaches, concepts, methodologies, latest investigation tools and mitigation measures. This study was carried out to review and summarize this research area through an investigation of the most important feature of UHI. It was concluded that the heat re-radiated by the urban structures plays the most important role which should be investigated in details to study urban heating especially the UHI. It was also concluded that the future research should be focused on design and planning parameters for reducing the effects of urban heat island and ultimately living in a better environment.","container-title":"Journal of Environmental Sciences","DOI":"10.1016/S1001-0742(08)60019-4","ISSN":"1001-0742","issue":"1","journalAbbreviation":"Journal of Environmental Sciences","page":"120-128","source":"ScienceDirect","title":"A review on the generation, determination and mitigation of Urban Heat Island","volume":"20","author":[{"family":"Rizwan","given":"Ahmed Memon"},{"family":"Dennis","given":"Leung Y. C."},{"family":"Liu","given":"Chunho"}],"issued":{"date-parts":[["2008",1,1]]}}}],"schema":"https://github.com/citation-style-language/schema/raw/master/csl-citation.json"}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(Nasrollahi et al., 2020; Rizwan et al., 2008)</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4FB4B4C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287FC6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15EBBC0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F99885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00FB6F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5E9E66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939201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F90D2F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51F9576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59B84F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A49543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A31BE2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15943D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88BC51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514586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890FE0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1D6D2CE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05F764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94940A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A42561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DED3ED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18FB3F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0F6DA1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91AD29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250DEA7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21E8712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6D49DF8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6A898647"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169D83F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33DD7EA4"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Wind barriers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{"citationID":"KqxWjTFi","properties":{"formattedCitation":"(City of Edmonton, 2016)","plainCitation":"(City of Edmonton, 2016)","noteIndex":0},"citationItems":[{"id":425,"uris":["http://zotero.org/users/local/dNtV5PxQ/items/9VS2R4X4"],"itemData":{"id":425,"type":"book","abstract":"The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(City of Edmonton, 2016)</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53502B7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5A0AF4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4070127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6819F3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5C528F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7C06EF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C6E6D5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364D05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D993C4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AAB0D4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F28EBD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FECF79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0E33D2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8AF327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4305CA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E5EF61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C149E0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DFEAD0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E40105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AC0126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58DEA6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0656E9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5E50918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3EB35B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01779EB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6511B7E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73C869A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04A272AD"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38F1399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193A5F7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Building setback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{"citationID":"L7pp45dF","properties":{"formattedCitation":"(Li et al., 2022)","plainCitation":"(Li et al., 2022)","noteIndex":0},"citationItems":[{"id":434,"uris":["http://zotero.org/users/local/dNtV5PxQ/items/ME2IRJU6"],"itemData":{"id":434,"type":"article-journal","abstract":"The concern of mitigating thermal stress and pollutant concentration has increased in recent urban design. Most previous studies have demonstrated the promising potential of integrating building setbacks to simultaneously improve thermal comfort and air quality within street canyons. By conducting computational fluid dynamic (CFD) simulations with the consideration of solar radiation, the effects of both horizontal and vertical building setbacks on outdoor thermal comfort and air quality are simultaneously investigated inside the low-rise and high-rise street canyon. Several design parameters of building setbacks are considered, i.e., the dimensionless height (HHS/W) and dimensionless width (DHS/W) for the horizontal setbacks (HS), as well as the dimensionless length (LVS/L) and dimensionless width (DVS/W) for the vertical setbacks (VS), where W and L are the street width and length. The results demonstrate that the horizontal building setbacks are advocated within the low-rise street canyon, which simultaneously improves the thermal comfort and air quality. By manipulating its dimensionless vertical cross-section area SHS (increasing SHS = HHS/W × DHS/W) and its dimensionless aspect ratio HHS/DHS (lowering HHS/DHS), the average PET can decline by up to 2.1 °C and the average pollutant concentration can reduce by up to 61% at the two-side pedestrian level (windward and leeward sides). The vertical building setbacks are more suitable for the high-rise street canyon to create better outdoor environments. The dimensionless horizontal cross-section area SVS (= LVS/L × DVS/W) should be as large as possible so that the average PET can decrease by up to 0.7 °C and the average pollutant concentration can reduce by up to 35% at the two-side pedestrian level. Finally, an effectiveness index to simultaneously evaluate thermal comfort and air quality is introduced and proves effective.","container-title":"Building and Environment","DOI":"10.1016/j.buildenv.2021.108627","ISSN":"0360-1323","journalAbbreviation":"Building and Environment","page":"108627","source":"ScienceDirect","title":"Effects of building setback on thermal comfort and air quality in the street canyon","volume":"208","author":[{"family":"Li","given":"Zhengtong"},{"family":"Zhang","given":"Hao"},{"family":"Juan","given":"Yu-Hsuan"},{"family":"Wen","given":"Chih-Yung"},{"family":"Yang","given":"An-Shik"}],"issued":{"date-parts":[["2022",1,15]]}}}],"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(Li et al., 2022)</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6F6D58B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0F1EB7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6BE396B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51AAE5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3B9E5BB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531C38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21275E3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E56896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58E2D07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0647C8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A097D2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9138A5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DAF6D4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E00C4D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E8C49D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6F99FD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0176A45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F8BB39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D765A3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070B10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2E44FFF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81B674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E56583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1827FF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5673B54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2FFDD4A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37D5156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675F2B3D" w14:textId="77777777" w:rsidTr="00DB5B43">
        <w:trPr>
          <w:trHeight w:val="333"/>
        </w:trPr>
        <w:tc>
          <w:tcPr>
            <w:cnfStyle w:val="001000000000" w:firstRow="0" w:lastRow="0" w:firstColumn="1" w:lastColumn="0" w:oddVBand="0" w:evenVBand="0" w:oddHBand="0" w:evenHBand="0" w:firstRowFirstColumn="0" w:firstRowLastColumn="0" w:lastRowFirstColumn="0" w:lastRowLastColumn="0"/>
            <w:tcW w:w="473" w:type="dxa"/>
            <w:vMerge w:val="restart"/>
            <w:shd w:val="clear" w:color="auto" w:fill="FDBE6F"/>
            <w:textDirection w:val="btLr"/>
            <w:vAlign w:val="center"/>
            <w:hideMark/>
          </w:tcPr>
          <w:p w14:paraId="6716060D" w14:textId="5008510C" w:rsidR="00DB5B43" w:rsidRPr="00CE39A1" w:rsidRDefault="00DB5B43" w:rsidP="00DB5B43">
            <w:pPr>
              <w:spacing w:line="480" w:lineRule="auto"/>
              <w:ind w:left="113" w:right="113"/>
              <w:jc w:val="center"/>
              <w:rPr>
                <w:rFonts w:ascii="Times New Roman" w:eastAsia="Times New Roman" w:hAnsi="Times New Roman" w:cs="Times New Roman"/>
                <w:color w:val="000000"/>
                <w:sz w:val="24"/>
                <w:szCs w:val="24"/>
                <w:lang w:val="en-CA"/>
              </w:rPr>
            </w:pPr>
            <w:r>
              <w:rPr>
                <w:rFonts w:ascii="Times New Roman" w:eastAsia="Times New Roman" w:hAnsi="Times New Roman" w:cs="Times New Roman"/>
                <w:color w:val="000000"/>
                <w:sz w:val="24"/>
                <w:szCs w:val="24"/>
                <w:lang w:val="en-CA"/>
              </w:rPr>
              <w:lastRenderedPageBreak/>
              <w:t>Temperature</w:t>
            </w: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52F30B32"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Building step back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{"citationID":"mJfm8Tj0","properties":{"formattedCitation":"(City of Edmonton, 2016)","plainCitation":"(City of Edmonton, 2016)","noteIndex":0},"citationItems":[{"id":425,"uris":["http://zotero.org/users/local/dNtV5PxQ/items/9VS2R4X4"],"itemData":{"id":425,"type":"book","abstract":"The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(City of Edmonton, 2016)</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51015B4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C176BA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698A2D6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4FD922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EDDB18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9F1229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2C9202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8E3201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4C537E8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A29EF4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5CCBE9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AB8C49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D5A493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BB8A37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56310A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483829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436525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301D24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7EE008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097477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69D3C7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926008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41EEACE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C6B275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35D18BF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42F2C49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766DA4F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7C856C2D"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490ABF5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3C5A5F71"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Shade structures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{"citationID":"O8wvK1Io","properties":{"formattedCitation":"(Rizwan et al., 2008)","plainCitation":"(Rizwan et al., 2008)","noteIndex":0},"citationItems":[{"id":406,"uris":["http://zotero.org/users/local/dNtV5PxQ/items/KX6FIULW"],"itemData":{"id":406,"type":"article-journal","abstract":"Urban Heat Island (UHI) is considered as one of the major problems in the 21st century posed to human beings as a result of urbanization and industrialization of human civilization. The large amount of heat generated from urban structures, as they consume and re-radiate solar radiations, and from the anthropogenic heat sources are the main causes of UHI. The two heat sources increase the temperatures of an urban area as compared to its surroundings, which is known as Urban Heat Island Intensity (UHII). The problem is even worse in cities or metropolises with large population and extensive economic activities. The estimated three billion people living in the urban areas in the world are directly exposed to the problem, which will be increased significantly in the near future. Due to the severity of the problem, vast research effort has been dedicated and a wide range of literature is available for the subject. The literature available in this area includes the latest research approaches, concepts, methodologies, latest investigation tools and mitigation measures. This study was carried out to review and summarize this research area through an investigation of the most important feature of UHI. It was concluded that the heat re-radiated by the urban structures plays the most important role which should be investigated in details to study urban heating especially the UHI. It was also concluded that the future research should be focused on design and planning parameters for reducing the effects of urban heat island and ultimately living in a better environment.","container-title":"Journal of Environmental Sciences","DOI":"10.1016/S1001-0742(08)60019-4","ISSN":"1001-0742","issue":"1","journalAbbreviation":"Journal of Environmental Sciences","page":"120-128","source":"ScienceDirect","title":"A review on the generation, determination and mitigation of Urban Heat Island","volume":"20","author":[{"family":"Rizwan","given":"Ahmed Memon"},{"family":"Dennis","given":"Leung Y. C."},{"family":"Liu","given":"Chunho"}],"issued":{"date-parts":[["2008",1,1]]}}}],"schema":"https://github.com/citation-style-language/schema/raw/master/csl-citation.json"}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(Rizwan et al., 2008)</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720C43C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B91C97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02EACAD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474C0E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E18F7C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EE6249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E166BE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D35E08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66F32E3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A412DB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1841D6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469A4C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3E4543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980AD7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88B40B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13F675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486BE53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E4672A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FA98FE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701F73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175ED9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427C5C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54DBC8B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EB0421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1AE440E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4199A70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3EA935E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700F9EB7"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2594005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39DD1AF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Shade coverage*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{"citationID":"QE110kvT","properties":{"formattedCitation":"(Chatzidimitriou &amp; Yannas, 2015; Housing for Health, 2023; Nasrollahi et al., 2020)","plainCitation":"(Chatzidimitriou &amp; Yannas, 2015; Housing for Health, 2023; Nasrollahi et al., 2020)","noteIndex":0},"citationItems":[{"id":427,"uris":["http://zotero.org/users/local/dNtV5PxQ/items/YDRZHZQS"],"itemData":{"id":427,"type":"article-journal","abstract":"The microclimates of open spaces in cities are highly influenced by urban geometry and construction materials. The present study reports on measurements of microclimate data taken in different open urban spaces such as parks, squares and courtyards featuring various ground surface materials, in particular asphalt, concrete, marble, granite, porous stone, cobble stone, ceramic tiles, gravel, grass and water. The measured data were used to assess the effect of morphologic features and material properties on microclimate development. Measurements were taken in two stages, starting with exploratory readings followed by corrective and complementary measurements. These took place in six different sites in the city of Thessaloniki, in northern Greece. The measurements include surface and ambient temperatures, relative humidity and wind velocity readings. Spot measurements of direct and reflected solar radiation were also taken for an indicative calculation of surface albedo. The second round of measurements included globe temperatures in order to estimate the effect of the radiant environment on pedestrian thermal comfort. The results show differences between and within open spaces and their surfaces, thus highlighting the effects of shading, vegetation, water and material properties on microclimate development and pedestrian thermal comfort.","container-title":"Energy and Buildings","DOI":"10.1016/j.enbuild.2015.08.048","ISSN":"0378-7788","journalAbbreviation":"Energy and Buildings","page":"156-174","source":"ScienceDirect","title":"Microclimate development in open urban spaces: The influence of form and materials","title-short":"Microclimate development in open urban spaces","volume":"108","author":[{"family":"Chatzidimitriou","given":"Angeliki"},{"family":"Yannas","given":"Simos"}],"issued":{"date-parts":[["2015",12,1]]}}},{"id":78,"uris":["http://zotero.org/users/local/dNtV5PxQ/items/83773BBS"],"itemData":{"id":78,"type":"report","publisher":"University of Alberta","title":"Healthy Community Guidelines","URL":"https://www.ualberta.ca/department-of-medicine/divisions/preventive-medicine/housing-for-health/healthy-community-guidelines.html","author":[{"literal":"Housing for Health"}],"issued":{"date-parts":[["2023"]]}}},{"id":414,"uris":["http://zotero.org/users/local/dNtV5PxQ/items/MLKXM2GK"],"itemData":{"id":414,"type":"article-journal","abstract":"Thermal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(Chatzidimitriou &amp; Yannas, 2015; Housing for Health, 2023; Nasrollahi et al., 2020)</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725F382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9FA67F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26735E4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2F5753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0D9E45C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BE8914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741944E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875270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11676B4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78C131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63C4E99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44315D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CA9787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C80A47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2E32145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2422BE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4F9B643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7611C6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038C582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A1E2F0D"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32FFD4A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B8CBBD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011000E7"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DFF5BC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tcPr>
          <w:p w14:paraId="2871EF6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35F99071"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422712F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117C118D"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2248BE8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5BC2182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Presence of trees*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{"citationID":"xrWUCWLF","properties":{"formattedCitation":"(Cheung &amp; Jim, 2019; City of Edmonton, 2016; Nasrollahi et al., 2020)","plainCitation":"(Cheung &amp; Jim, 2019; City of Edmonton, 2016; Nasrollahi et al., 2020)","noteIndex":0},"citationItems":[{"id":436,"uris":["http://zotero.org/users/local/dNtV5PxQ/items/LLKUFWKZ"],"itemData":{"id":436,"type":"article-journal","abstract":"In this study, we examined the effects of key urban (road cover, building volume ratio, and proximity to sea) and landscape (water body, tree cover, shrub cover, turf cover, park area, and sky view factor) parameters on air temperature, and the impacts of weather conditions on landscape-temperature relationship. One hundred temperature sensors were installed in fourteen urban parks in Hong Kong during summer season to collect continuous air temperature data. Linear mixed-effect models showed that the effects of weather (cloud amount, solar radiation and wind speed) on landscape-temperature relationships were minor (&lt;0.2 °C). Therefore, the landscape effects were further investigated using the entire dataset regardless of weather conditions. In a circular buffer zone with a 20-m radius, a 10% increase in road density caused a 0.059 °C rise in daytime mean air temperature while the same increase in tree cover and shrub cover led to a 0.052 and 0.041 °C drop in temperature, respectively. A 0.849 °C rise could be expected when sky view factor increased from 0 to 1. The proximity to the sea also had a significant daytime cooling effect (0.784 °C/1000 m). The night-time landscape effects were similar to the daytime except that the strengths of the effects on air temperature were weaker. The obtained results can be used by landscape designers and urban planners for modifying the landscape to bring cooling effects and tackle heat-island and climate-change impacts.","container-title":"Building and Environment","DOI":"10.1016/j.buildenv.2019.106362","ISSN":"0360-1323","journalAbbreviation":"Building and Environment","page":"106362","source":"ScienceDirect","title":"Effects of urban and landscape elements on air temperature in a high-density subtropical city","volume":"164","author":[{"family":"Cheung","given":"Pui Kwan"},{"family":"Jim","given":"C. Y."}],"issued":{"date-parts":[["2019",10,15]]}}},{"id":425,"uris":["http://zotero.org/users/local/dNtV5PxQ/items/9VS2R4X4"],"itemData":{"id":425,"type":"book","abstract":"The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(Cheung &amp; Jim, 2019; City of Edmonton, 2016; Nasrollahi et al., 2020)</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4026A66E"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5CB9E4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0F830AB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13EE5E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5507679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81E42C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5BF3CEB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34E0BD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5428E3E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FBC535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36D4EC9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185567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1352E58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E3B4A4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739D330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0BC487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0235203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B21211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50FE492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649C5B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1734030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165312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621BB0E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B5EAB4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tcPr>
          <w:p w14:paraId="59DD3AA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171EEDA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auto"/>
              <w:bottom w:val="single" w:sz="4" w:space="0" w:color="auto"/>
            </w:tcBorders>
            <w:noWrap/>
            <w:hideMark/>
          </w:tcPr>
          <w:p w14:paraId="1891191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r>
      <w:tr w:rsidR="00DB5B43" w:rsidRPr="00CE39A1" w14:paraId="0843FD04"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5FB9F64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7C2B155A" w14:textId="77777777" w:rsidR="00DB5B43" w:rsidRPr="00CE39A1" w:rsidRDefault="00DB5B43"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Tree species*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{"citationID":"QIow5eXm","properties":{"formattedCitation":"(City of Edmonton, 2016; Nasrollahi et al., 2020)","plainCitation":"(City of Edmonton, 2016; Nasrollahi et al., 2020)","noteIndex":0},"citationItems":[{"id":425,"uris":["http://zotero.org/users/local/dNtV5PxQ/items/9VS2R4X4"],"itemData":{"id":425,"type":"book","abstract":"The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(City of Edmonton, 2016; Nasrollahi et al., 2020)</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1BDF2A0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B5C7D59"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0641B69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207ABD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B57DB7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48AB92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8EDAFA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177C8F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2B65BA3F"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8A6C8C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171FFA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D6925F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5E3854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47D908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01F1FD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514E11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6D0CA18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89D6DE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A8E9AE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BDA45A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FAFAD9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1A2D55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2EE03F7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BEF29D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5125221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189A292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6D2A3BC6"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DB5B43" w:rsidRPr="00CE39A1" w14:paraId="5801F9FA"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334E2D1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59248C6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Presence of shrubs*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{"citationID":"TczbOWp0","properties":{"formattedCitation":"(Cheung &amp; Jim, 2019)","plainCitation":"(Cheung &amp; Jim, 2019)","noteIndex":0},"citationItems":[{"id":436,"uris":["http://zotero.org/users/local/dNtV5PxQ/items/LLKUFWKZ"],"itemData":{"id":436,"type":"article-journal","abstract":"In this study, we examined the effects of key urban (road cover, building volume ratio, and proximity to sea) and landscape (water body, tree cover, shrub cover, turf cover, park area, and sky view factor) parameters on air temperature, and the impacts of weather conditions on landscape-temperature relationship. One hundred temperature sensors were installed in fourteen urban parks in Hong Kong during summer season to collect continuous air temperature data. Linear mixed-effect models showed that the effects of weather (cloud amount, solar radiation and wind speed) on landscape-temperature relationships were minor (&lt;0.2 °C). Therefore, the landscape effects were further investigated using the entire dataset regardless of weather conditions. In a circular buffer zone with a 20-m radius, a 10% increase in road density caused a 0.059 °C rise in daytime mean air temperature while the same increase in tree cover and shrub cover led to a 0.052 and 0.041 °C drop in temperature, respectively. A 0.849 °C rise could be expected when sky view factor increased from 0 to 1. The proximity to the sea also had a significant daytime cooling effect (0.784 °C/1000 m). The night-time landscape effects were similar to the daytime except that the strengths of the effects on air temperature were weaker. The obtained results can be used by landscape designers and urban planners for modifying the landscape to bring cooling effects and tackle heat-island and climate-change impacts.","container-title":"Building and Environment","DOI":"10.1016/j.buildenv.2019.106362","ISSN":"0360-1323","journalAbbreviation":"Building and Environment","page":"106362","source":"ScienceDirect","title":"Effects of urban and landscape elements on air temperature in a high-density subtropical city","volume":"164","author":[{"family":"Cheung","given":"Pui Kwan"},{"family":"Jim","given":"C. Y."}],"issued":{"date-parts":[["2019",10,15]]}}}],"schema":"https://github.com/citation-style-language/schema/raw/master/csl-citation.json"}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(Cheung &amp; Jim, 2019)</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6A2ACBA4"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6D3415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auto"/>
              <w:bottom w:val="single" w:sz="4" w:space="0" w:color="auto"/>
            </w:tcBorders>
            <w:noWrap/>
            <w:hideMark/>
          </w:tcPr>
          <w:p w14:paraId="717DD27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2FFD36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B5D1A4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DC5570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6A7A9F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930321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auto"/>
              <w:bottom w:val="single" w:sz="4" w:space="0" w:color="auto"/>
            </w:tcBorders>
            <w:noWrap/>
            <w:hideMark/>
          </w:tcPr>
          <w:p w14:paraId="78FE492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E499B8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8E1ABE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48D309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78DB8A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2F156B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F98EDA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8E299A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282C8D8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03E5E5E"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03B70C5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0608D4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33183DA0"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400E76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1B986A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56F654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auto"/>
              <w:bottom w:val="single" w:sz="4" w:space="0" w:color="auto"/>
            </w:tcBorders>
          </w:tcPr>
          <w:p w14:paraId="4D8DEA1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585ACB06"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2E2B8E61"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r>
      <w:tr w:rsidR="00DB5B43" w:rsidRPr="00CE39A1" w14:paraId="4FC738D7"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5EDFC46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497DD844"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Presence of grass*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{"citationID":"W1LOjmok","properties":{"formattedCitation":"(Chatzidimitriou &amp; Yannas, 2015)","plainCitation":"(Chatzidimitriou &amp; Yannas, 2015)","noteIndex":0},"citationItems":[{"id":427,"uris":["http://zotero.org/users/local/dNtV5PxQ/items/YDRZHZQS"],"itemData":{"id":427,"type":"article-journal","abstract":"The microclimates of open spaces in cities are highly influenced by urban geometry and construction materials. The present study reports on measurements of microclimate data taken in different open urban spaces such as parks, squares and courtyards featuring various ground surface materials, in particular asphalt, concrete, marble, granite, porous stone, cobble stone, ceramic tiles, gravel, grass and water. The measured data were used to assess the effect of morphologic features and material properties on microclimate development. Measurements were taken in two stages, starting with exploratory readings followed by corrective and complementary measurements. These took place in six different sites in the city of Thessaloniki, in northern Greece. The measurements include surface and ambient temperatures, relative humidity and wind velocity readings. Spot measurements of direct and reflected solar radiation were also taken for an indicative calculation of surface albedo. The second round of measurements included globe temperatures in order to estimate the effect of the radiant environment on pedestrian thermal comfort. The results show differences between and within open spaces and their surfaces, thus highlighting the effects of shading, vegetation, water and material properties on microclimate development and pedestrian thermal comfort.","container-title":"Energy and Buildings","DOI":"10.1016/j.enbuild.2015.08.048","ISSN":"0378-7788","journalAbbreviation":"Energy and Buildings","page":"156-174","source":"ScienceDirect","title":"Microclimate development in open urban spaces: The influence of form and materials","title-short":"Microclimate development in open urban spaces","volume":"108","author":[{"family":"Chatzidimitriou","given":"Angeliki"},{"family":"Yannas","given":"Simos"}],"issued":{"date-parts":[["2015",12,1]]}}}],"schema":"https://github.com/citation-style-language/schema/raw/master/csl-citation.json"}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(Chatzidimitriou &amp; Yannas, 2015)</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7BDE7B6C"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131CC7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auto"/>
              <w:bottom w:val="single" w:sz="4" w:space="0" w:color="auto"/>
            </w:tcBorders>
            <w:noWrap/>
            <w:hideMark/>
          </w:tcPr>
          <w:p w14:paraId="0E7D5F7A"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AC47CE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5EF94D0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D0C5FDB"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EC6206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1D548EA"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auto"/>
              <w:bottom w:val="single" w:sz="4" w:space="0" w:color="auto"/>
            </w:tcBorders>
            <w:noWrap/>
            <w:hideMark/>
          </w:tcPr>
          <w:p w14:paraId="3E5AEF7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1A21D8C"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35451D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4D5422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456EAB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5767F0F"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DF55ED5"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943D8F0"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auto"/>
              <w:bottom w:val="single" w:sz="4" w:space="0" w:color="auto"/>
            </w:tcBorders>
            <w:noWrap/>
            <w:hideMark/>
          </w:tcPr>
          <w:p w14:paraId="5AE63492"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C7BA685"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3EB02238"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61D9963"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389212AD"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6E35B07"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6B27EFC3"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625EBF8"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auto"/>
              <w:bottom w:val="single" w:sz="4" w:space="0" w:color="auto"/>
            </w:tcBorders>
          </w:tcPr>
          <w:p w14:paraId="27DA8B19"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0616F742" w14:textId="77777777" w:rsidR="00DB5B43" w:rsidRPr="00CE39A1" w:rsidRDefault="00DB5B43"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3A1842CB" w14:textId="77777777" w:rsidR="00DB5B43" w:rsidRPr="00CE39A1" w:rsidRDefault="00DB5B43"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r>
      <w:tr w:rsidR="00AB1E01" w:rsidRPr="00CE39A1" w14:paraId="73E44840" w14:textId="77777777" w:rsidTr="00AB1E01">
        <w:trPr>
          <w:trHeight w:val="96"/>
        </w:trPr>
        <w:tc>
          <w:tcPr>
            <w:cnfStyle w:val="001000000000" w:firstRow="0" w:lastRow="0" w:firstColumn="1" w:lastColumn="0" w:oddVBand="0" w:evenVBand="0" w:oddHBand="0" w:evenHBand="0" w:firstRowFirstColumn="0" w:firstRowLastColumn="0" w:lastRowFirstColumn="0" w:lastRowLastColumn="0"/>
            <w:tcW w:w="473" w:type="dxa"/>
            <w:vMerge w:val="restart"/>
            <w:shd w:val="clear" w:color="auto" w:fill="FDBE6F"/>
            <w:textDirection w:val="btLr"/>
            <w:vAlign w:val="center"/>
            <w:hideMark/>
          </w:tcPr>
          <w:p w14:paraId="28DC7ACE" w14:textId="7E342E78" w:rsidR="00AB1E01" w:rsidRPr="00CE39A1" w:rsidRDefault="00AB1E01" w:rsidP="00AB1E01">
            <w:pPr>
              <w:spacing w:line="480" w:lineRule="auto"/>
              <w:ind w:left="113" w:right="113"/>
              <w:jc w:val="center"/>
              <w:rPr>
                <w:rFonts w:ascii="Times New Roman" w:eastAsia="Times New Roman" w:hAnsi="Times New Roman" w:cs="Times New Roman"/>
                <w:color w:val="000000"/>
                <w:sz w:val="24"/>
                <w:szCs w:val="24"/>
                <w:lang w:val="en-CA"/>
              </w:rPr>
            </w:pPr>
            <w:r>
              <w:rPr>
                <w:rFonts w:ascii="Times New Roman" w:eastAsia="Times New Roman" w:hAnsi="Times New Roman" w:cs="Times New Roman"/>
                <w:color w:val="000000"/>
                <w:sz w:val="24"/>
                <w:szCs w:val="24"/>
                <w:lang w:val="en-CA"/>
              </w:rPr>
              <w:lastRenderedPageBreak/>
              <w:t>PrTemperature</w:t>
            </w: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2D5FFD7D"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Presence of maintained green spaces*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{"citationID":"FInzu7x2","properties":{"formattedCitation":"(Nasrollahi et al., 2020)","plainCitation":"(Nasrollahi et al., 2020)","noteIndex":0},"citationItems":[{"id":414,"uris":["http://zotero.org/users/local/dNtV5PxQ/items/MLKXM2GK"],"itemData":{"id":414,"type":"article-journal","abstract":"Thermal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(Nasrollahi et al., 2020)</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568C7748"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5C8DAF2"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6584754A"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5948FF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4F64E3A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C7D87F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26D58E22"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9BA76CE"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316CAF7A"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left w:val="nil"/>
              <w:bottom w:val="single" w:sz="4" w:space="0" w:color="auto"/>
            </w:tcBorders>
            <w:noWrap/>
            <w:hideMark/>
          </w:tcPr>
          <w:p w14:paraId="3194B1B7"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30727D84"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346081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20B16413"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0590132"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018FC245"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31C8226"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77B99E4E"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6FB0C03"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08088903"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A7CFB3A"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37BEB052"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97F01D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087797D0"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F07CB32"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tcPr>
          <w:p w14:paraId="190B25B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5BB1B9C3"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4C304C19"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r>
      <w:tr w:rsidR="00AB1E01" w:rsidRPr="00CE39A1" w14:paraId="0906C88D"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17B4B20B"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0A1F0DF7"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Presence of natural green space* (</w:t>
            </w:r>
            <w:proofErr w:type="spellStart"/>
            <w:r w:rsidRPr="00CE39A1">
              <w:rPr>
                <w:rFonts w:ascii="Times New Roman" w:eastAsia="Times New Roman" w:hAnsi="Times New Roman" w:cs="Times New Roman"/>
                <w:noProof/>
                <w:color w:val="000000"/>
                <w:sz w:val="24"/>
                <w:szCs w:val="24"/>
                <w:lang w:val="en-CA"/>
              </w:rPr>
              <w:t>Nasrollahi</w:t>
            </w:r>
            <w:proofErr w:type="spellEnd"/>
            <w:r w:rsidRPr="00CE39A1">
              <w:rPr>
                <w:rFonts w:ascii="Times New Roman" w:eastAsia="Times New Roman" w:hAnsi="Times New Roman" w:cs="Times New Roman"/>
                <w:noProof/>
                <w:color w:val="000000"/>
                <w:sz w:val="24"/>
                <w:szCs w:val="24"/>
                <w:lang w:val="en-CA"/>
              </w:rPr>
              <w:t xml:space="preserve"> et al., 2020)</w:t>
            </w:r>
          </w:p>
        </w:tc>
        <w:tc>
          <w:tcPr>
            <w:tcW w:w="376" w:type="dxa"/>
            <w:tcBorders>
              <w:top w:val="single" w:sz="4" w:space="0" w:color="auto"/>
              <w:left w:val="single" w:sz="4" w:space="0" w:color="auto"/>
              <w:bottom w:val="single" w:sz="4" w:space="0" w:color="auto"/>
            </w:tcBorders>
            <w:noWrap/>
            <w:hideMark/>
          </w:tcPr>
          <w:p w14:paraId="64677885"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0878491"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19F5B15A"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1A19B26"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2FC99EED"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4E2C4A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6AA06A1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711F355"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76B0BF98"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5B3218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7419324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5AB5EC3"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1A5F0787"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AB091B8"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72D32B37"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A2DC1FC"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3877B4B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35BC377"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52668BEA"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312682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34315E7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50259C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263AA02D"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21FAE5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tcPr>
          <w:p w14:paraId="04714C0E"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097F6AE3"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783449F9"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r>
      <w:tr w:rsidR="00AB1E01" w:rsidRPr="00CE39A1" w14:paraId="48A9F83F" w14:textId="77777777" w:rsidTr="0076348E">
        <w:trPr>
          <w:trHeight w:val="70"/>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64487CB2"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4BE4B0B3"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Presence of maintained blue space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{"citationID":"RhqULg06","properties":{"formattedCitation":"(Manteghi et al., 2015; Nasrollahi et al., 2020)","plainCitation":"(Manteghi et al., 2015; Nasrollahi et al., 2020)","noteIndex":0},"citationItems":[{"id":416,"uris":["http://zotero.org/users/local/dNtV5PxQ/items/JSSN8QCI"],"itemData":{"id":416,"type":"article-journal","abstract":"In urban areas, water bodies have a positive effect upon microclimate of the surroundings with the relative cooling impact it has on evaporative procedure. Hence, evaporative cooling might be one of the pretty efficient methods of passive cooling for urban spaces and buildings. Differences in temperature between the urban space and the non-urban space which surrounds, is dubbed UHI (Urban Heat Island) effect. Water bodies have also been proven to be influential methods of decreasing urban temperatures. A water body temperature is capable of being lower than the surrounding urban environment around 2 - 6 °C. According to these findings; one may conclude that the rise of evapotranspiration in cities, that has roots in vegetation and water body, can efficiently mitigate the influence of the urban heat island. Unfortunately, the effect that water bodies can have upon urban temperatures has not been thoroughly assessed in previous studies, specifically the difference between the daytime and night time influences of water bodies, and the matter the how urban design may be in influential in moving the cooling influence from the water bodies toward the city. This paper provides a theoretical background for the problem and reviews the related literature.","container-title":"Modern Applied Science","DOI":"10.5539/mas.v9n6p1","journalAbbreviation":"Modern Applied Science","source":"ResearchGate","title":"Water Bodies an Urban Microclimate: A Review","title-short":"Water Bodies an Urban Microclimate","volume":"9","author":[{"family":"Manteghi","given":"Golnoosh"},{"family":"Lamit","given":"Hasanuddin"},{"family":"Ossen","given":"Dilshan"}],"issued":{"date-parts":[["2015",2,2]]}}},{"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(Manteghi et al., 2015; Nasrollahi et al., 2020)</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1F5B9C6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88C831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618E21D5"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4B4DAB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4937A5BA"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6DDA516"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30133900"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C7E8027"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4C073920"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C275C43"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1D0B55CD"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6E75CA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4DB7CC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34F3BB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41B25EED"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2F091B8"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1213481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8C0705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59A2B456"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1ED355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14231163"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05EB5D8"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6C72DFC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DFEE97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tcPr>
          <w:p w14:paraId="074F9244"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12AADCE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3FE82A42"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r>
      <w:tr w:rsidR="00AB1E01" w:rsidRPr="00CE39A1" w14:paraId="2A03F1B1"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FDBE6F"/>
            <w:hideMark/>
          </w:tcPr>
          <w:p w14:paraId="3BA573A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24" w:space="0" w:color="auto"/>
              <w:right w:val="single" w:sz="4" w:space="0" w:color="auto"/>
            </w:tcBorders>
            <w:shd w:val="clear" w:color="auto" w:fill="FFFFFF" w:themeFill="background1"/>
            <w:hideMark/>
          </w:tcPr>
          <w:p w14:paraId="5552EE03"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Presence of natural blue space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{"citationID":"uy9X1tLy","properties":{"formattedCitation":"(Cheung &amp; Jim, 2019; Manteghi et al., 2015; Nasrollahi et al., 2020)","plainCitation":"(Cheung &amp; Jim, 2019; Manteghi et al., 2015; Nasrollahi et al., 2020)","noteIndex":0},"citationItems":[{"id":436,"uris":["http://zotero.org/users/local/dNtV5PxQ/items/LLKUFWKZ"],"itemData":{"id":436,"type":"article-journal","abstract":"In this study, we examined the effects of key urban (road cover, building volume ratio, and proximity to sea) and landscape (water body, tree cover, shrub cover, turf cover, park area, and sky view factor) parameters on air temperature, and the impacts of weather conditions on landscape-temperature relationship. One hundred temperature sensors were installed in fourteen urban parks in Hong Kong during summer season to collect continuous air temperature data. Linear mixed-effect models showed that the effects of weather (cloud amount, solar radiation and wind speed) on landscape-temperature relationships were minor (&lt;0.2 °C). Therefore, the landscape effects were further investigated using the entire dataset regardless of weather conditions. In a circular buffer zone with a 20-m radius, a 10% increase in road density caused a 0.059 °C rise in daytime mean air temperature while the same increase in tree cover and shrub cover led to a 0.052 and 0.041 °C drop in temperature, respectively. A 0.849 °C rise could be expected when sky view factor increased from 0 to 1. The proximity to the sea also had a significant daytime cooling effect (0.784 °C/1000 m). The night-time landscape effects were similar to the daytime except that the strengths of the effects on air temperature were weaker. The obtained results can be used by landscape designers and urban planners for modifying the landscape to bring cooling effects and tackle heat-island and climate-change impacts.","container-title":"Building and Environment","DOI":"10.1016/j.buildenv.2019.106362","ISSN":"0360-1323","journalAbbreviation":"Building and Environment","page":"106362","source":"ScienceDirect","title":"Effects of urban and landscape elements on air temperature in a high-density subtropical city","volume":"164","author":[{"family":"Cheung","given":"Pui Kwan"},{"family":"Jim","given":"C. Y."}],"issued":{"date-parts":[["2019",10,15]]}}},{"id":416,"uris":["http://zotero.org/users/local/dNtV5PxQ/items/JSSN8QCI"],"itemData":{"id":416,"type":"article-journal","abstract":"In urban areas, water bodies have a positive effect upon microclimate of the surroundings with the relative cooling impact it has on evaporative procedure. Hence, evaporative cooling might be one of the pretty efficient methods of passive cooling for urban spaces and buildings. Differences in temperature between the urban space and the non-urban space which surrounds, is dubbed UHI (Urban Heat Island) effect. Water bodies have also been proven to be influential methods of decreasing urban temperatures. A water body temperature is capable of being lower than the surrounding urban environment around 2 - 6 °C. According to these findings; one may conclude that the rise of evapotranspiration in cities, that has roots in vegetation and water body, can efficiently mitigate the influence of the urban heat island. Unfortunately, the effect that water bodies can have upon urban temperatures has not been thoroughly assessed in previous studies, specifically the difference between the daytime and night time influences of water bodies, and the matter the how urban design may be in influential in moving the cooling influence from the water bodies toward the city. This paper provides a theoretical background for the problem and reviews the related literature.","container-title":"Modern Applied Science","DOI":"10.5539/mas.v9n6p1","journalAbbreviation":"Modern Applied Science","source":"ResearchGate","title":"Water Bodies an Urban Microclimate: A Review","title-short":"Water Bodies an Urban Microclimate","volume":"9","author":[{"family":"Manteghi","given":"Golnoosh"},{"family":"Lamit","given":"Hasanuddin"},{"family":"Ossen","given":"Dilshan"}],"issued":{"date-parts":[["2015",2,2]]}}},{"id":414,"uris":["http://zotero.org/users/local/dNtV5PxQ/items/MLKXM2GK"],"itemData":{"id":414,"type":"article-journal","abstract":"Thermal comfort is one of the main factors affecting pedestrian health, and improving thermal comfort enhances walkability. In this paper, the impact of various strategies on thermal-comfort improvement for pedestrians is thoroughly evaluated and compared. Review studies cover both fieldwork and simulation results. These strategies consist of shading (trees, buildings), the orientation and geometry of urban forms, vegetation, solar-reflective materials, and water bodies, which were investigated as the most effective ways to improve outdoor thermal comfort. Results showed that the most important climatic factors affecting outdoor thermal comfort are mean radiant temperature, wind speed, and wind direction in a microclimate. The best heat-mitigation strategy for improving thermal comfort was found to be vegetation and specifically trees because of their shading effect. The effect of height-to-width (H/W) ratio in canyons is another important factor. By increasing H/W ratio, the thermal-comfort level also increases. Deploying highly reflective materials in urban canyons is not recommended, as several studies showed that they could reflect solar radiation onto pedestrians. Results also showed that, in order to achieve a satisfactory level of thermal comfort, physiological and psychological factors should be considered together.","container-title":"Sustainability","DOI":"10.3390/su122310000","ISSN":"2071-1050","issue":"23","language":"en","license":"http://creativecommons.org/licenses/by/3.0/","note":"number: 23\npublisher: Multidisciplinary Digital Publishing Institute","page":"10000","source":"www.mdpi.com","title":"Heat-Mitigation Strategies to Improve Pedestrian Thermal Comfort in Urban Environments: A Review","title-short":"Heat-Mitigation Strategies to Improve Pedestrian Thermal Comfort in Urban Environments","volume":"12","author":[{"family":"Nasrollahi","given":"Nazanin"},{"family":"Ghosouri","given":"Amir"},{"family":"Khodakarami","given":"Jamal"},{"family":"Taleghani","given":"Mohammad"}],"issued":{"date-parts":[["2020",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(Cheung &amp; Jim, 2019; Manteghi et al., 2015; Nasrollahi et al., 2020)</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24" w:space="0" w:color="auto"/>
            </w:tcBorders>
            <w:noWrap/>
            <w:hideMark/>
          </w:tcPr>
          <w:p w14:paraId="6981DE33"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3636470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24" w:space="0" w:color="auto"/>
            </w:tcBorders>
            <w:noWrap/>
            <w:hideMark/>
          </w:tcPr>
          <w:p w14:paraId="5B50DFF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48AC040E"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24" w:space="0" w:color="auto"/>
            </w:tcBorders>
            <w:noWrap/>
            <w:hideMark/>
          </w:tcPr>
          <w:p w14:paraId="0A246F52"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24" w:space="0" w:color="auto"/>
            </w:tcBorders>
            <w:noWrap/>
            <w:hideMark/>
          </w:tcPr>
          <w:p w14:paraId="32CF554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24" w:space="0" w:color="auto"/>
            </w:tcBorders>
            <w:noWrap/>
            <w:hideMark/>
          </w:tcPr>
          <w:p w14:paraId="5707A9B6"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5C067CF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24" w:space="0" w:color="auto"/>
            </w:tcBorders>
            <w:noWrap/>
            <w:hideMark/>
          </w:tcPr>
          <w:p w14:paraId="7FF3EA83"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4B788FF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24" w:space="0" w:color="auto"/>
            </w:tcBorders>
            <w:noWrap/>
            <w:hideMark/>
          </w:tcPr>
          <w:p w14:paraId="6B36B6D6"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24" w:space="0" w:color="auto"/>
            </w:tcBorders>
            <w:noWrap/>
            <w:hideMark/>
          </w:tcPr>
          <w:p w14:paraId="2D1128FA"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24" w:space="0" w:color="auto"/>
            </w:tcBorders>
            <w:noWrap/>
            <w:hideMark/>
          </w:tcPr>
          <w:p w14:paraId="065DD4C4"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24" w:space="0" w:color="auto"/>
            </w:tcBorders>
            <w:noWrap/>
            <w:hideMark/>
          </w:tcPr>
          <w:p w14:paraId="58B823CA"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24" w:space="0" w:color="auto"/>
            </w:tcBorders>
            <w:noWrap/>
            <w:hideMark/>
          </w:tcPr>
          <w:p w14:paraId="2B41EC4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1B11345C"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24" w:space="0" w:color="auto"/>
            </w:tcBorders>
            <w:noWrap/>
            <w:hideMark/>
          </w:tcPr>
          <w:p w14:paraId="7E12707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24720E5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24" w:space="0" w:color="auto"/>
            </w:tcBorders>
            <w:noWrap/>
            <w:hideMark/>
          </w:tcPr>
          <w:p w14:paraId="469C78DE"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24" w:space="0" w:color="auto"/>
            </w:tcBorders>
            <w:noWrap/>
            <w:hideMark/>
          </w:tcPr>
          <w:p w14:paraId="7BD5BA01"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24" w:space="0" w:color="auto"/>
            </w:tcBorders>
            <w:noWrap/>
            <w:hideMark/>
          </w:tcPr>
          <w:p w14:paraId="514DC50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2F8B8EF5"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24" w:space="0" w:color="auto"/>
            </w:tcBorders>
            <w:noWrap/>
            <w:hideMark/>
          </w:tcPr>
          <w:p w14:paraId="17F80D72"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222889FC"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24" w:space="0" w:color="auto"/>
            </w:tcBorders>
          </w:tcPr>
          <w:p w14:paraId="08424B89"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24" w:space="0" w:color="auto"/>
            </w:tcBorders>
          </w:tcPr>
          <w:p w14:paraId="7258891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24" w:space="0" w:color="auto"/>
            </w:tcBorders>
            <w:noWrap/>
            <w:hideMark/>
          </w:tcPr>
          <w:p w14:paraId="498FBAF4"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AB1E01" w:rsidRPr="00CE39A1" w14:paraId="4F81A821"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val="restart"/>
            <w:tcBorders>
              <w:top w:val="single" w:sz="24" w:space="0" w:color="auto"/>
            </w:tcBorders>
            <w:shd w:val="clear" w:color="auto" w:fill="54AEAC"/>
            <w:noWrap/>
            <w:textDirection w:val="btLr"/>
            <w:hideMark/>
          </w:tcPr>
          <w:p w14:paraId="745BDEFA"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Precipitation</w:t>
            </w:r>
          </w:p>
        </w:tc>
        <w:tc>
          <w:tcPr>
            <w:cnfStyle w:val="000010000000" w:firstRow="0" w:lastRow="0" w:firstColumn="0" w:lastColumn="0" w:oddVBand="1" w:evenVBand="0" w:oddHBand="0" w:evenHBand="0" w:firstRowFirstColumn="0" w:firstRowLastColumn="0" w:lastRowFirstColumn="0" w:lastRowLastColumn="0"/>
            <w:tcW w:w="3758" w:type="dxa"/>
            <w:tcBorders>
              <w:top w:val="single" w:sz="24" w:space="0" w:color="auto"/>
              <w:bottom w:val="single" w:sz="4" w:space="0" w:color="auto"/>
              <w:right w:val="single" w:sz="4" w:space="0" w:color="auto"/>
            </w:tcBorders>
            <w:shd w:val="clear" w:color="auto" w:fill="FFFFFF" w:themeFill="background1"/>
            <w:hideMark/>
          </w:tcPr>
          <w:p w14:paraId="03860832"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Building overhangs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{"citationID":"M1Q1sc7X","properties":{"formattedCitation":"(City of Edmonton, 2016; Life Between Umbrellas, 2019; Pressman, 1996)","plainCitation":"(City of Edmonton, 2016; Life Between Umbrellas, 2019; Pressman, 1996)","noteIndex":0},"citationItems":[{"id":425,"uris":["http://zotero.org/users/local/dNtV5PxQ/items/9VS2R4X4"],"itemData":{"id":425,"type":"book","abstract":"The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Edmonton"}],"accessed":{"date-parts":[["2023",10,13]]},"issued":{"date-parts":[["2016"]]}}},{"id":442,"uris":["http://zotero.org/users/local/dNtV5PxQ/items/NC73SERY"],"itemData":{"id":442,"type":"report","abstract":"Over the past year, the VPSN held a number of events around Vancouver. We used these events to ask people about their ideas and aspirations for rain-friendly public spaces","language":"en-US","publisher":"City of Vancouver","title":"Rain Friendly Principles","URL":"https://www.lifebetweenumbrellas.ca/rain-friendly-principles","author":[{"literal":"Life Between Umbrellas"}],"accessed":{"date-parts":[["2023",10,16]]},"issued":{"date-parts":[["2019"]]}}},{"id":351,"uris":["http://zotero.org/users/local/dNtV5PxQ/items/YDMMZT2P"],"itemData":{"id":351,"type":"article-journal","abstract":"Attempts to generate a “climate-responsive” northern urban form are part of a relatively recent phenomenon and field of investigation. In conjunction with the international “winter cities” movement, the need has been established for explicit, systematic inquiry directed toward national and local action to improve the comfort and lifestyles of all northern inhabitants. It is important to recognize that winter-induced discomforts exist and that they must be acknowledged in planning theory and practice. For northern cities to function more satisfactorily, the negative impacts of winter must be reduced while its beneficial characteristics are enhanced. While not all summer activities can or should be abandoned during winter, proper micro-climatic control is essential if human life is to be retained outside. The outdoor season should be extended since so much indoor isolation occurs. The main principles to be incorporated in exemplary “winter city” design should be contact with nature, year-round usability, user participation, cultural continuity, and the creation of comfortable micro-climatic conditions throughout much of the city's open spaces. All valuable sources of inspiration must be harnessed in the attempt to mediate between organic regionalism and internationalism, on the one hand, and romanticism and pragmatic realism, on the other. Creating optimum conditions for human well-being, habitation, work and intellectual development in each of the four seasons is vital under harsh environments. Adopting a climate-sensitive approach to planning policy and urban design can render everyday life less stressful, especially during the lengthy winter periods found in many northern latitude and high altitude settings.","collection-title":"Conference on the Urban Thermal Environment Studies in Tohwa","container-title":"Atmospheric Environment","DOI":"10.1016/1352-2310(95)00012-7","ISSN":"1352-2310","issue":"3","journalAbbreviation":"Atmospheric Environment","page":"521-529","source":"ScienceDirect","title":"Sustainable winter cities: Future directions for planning, policy and design","title-short":"Sustainable winter cities","volume":"30","author":[{"family":"Pressman","given":"Norman E. P."}],"issued":{"date-parts":[["1996",2,1]]}}}],"schema":"https://github.com/citation-style-language/schema/raw/master/csl-citation.json"}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 Life Between Umbrellas, 2019; Pressman, 1996)</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24" w:space="0" w:color="auto"/>
              <w:left w:val="single" w:sz="4" w:space="0" w:color="auto"/>
              <w:bottom w:val="single" w:sz="4" w:space="0" w:color="auto"/>
            </w:tcBorders>
            <w:noWrap/>
            <w:hideMark/>
          </w:tcPr>
          <w:p w14:paraId="47F524E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2294A6DA"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24" w:space="0" w:color="auto"/>
              <w:bottom w:val="single" w:sz="4" w:space="0" w:color="auto"/>
            </w:tcBorders>
            <w:noWrap/>
            <w:hideMark/>
          </w:tcPr>
          <w:p w14:paraId="3BD1CE3D"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7AE1DA37"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24" w:space="0" w:color="auto"/>
              <w:bottom w:val="single" w:sz="4" w:space="0" w:color="auto"/>
            </w:tcBorders>
            <w:noWrap/>
            <w:hideMark/>
          </w:tcPr>
          <w:p w14:paraId="457D6AF0"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auto"/>
            </w:tcBorders>
            <w:noWrap/>
            <w:hideMark/>
          </w:tcPr>
          <w:p w14:paraId="777C55D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24" w:space="0" w:color="auto"/>
              <w:bottom w:val="single" w:sz="4" w:space="0" w:color="auto"/>
            </w:tcBorders>
            <w:noWrap/>
            <w:hideMark/>
          </w:tcPr>
          <w:p w14:paraId="77F7404C"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636AA037"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24" w:space="0" w:color="auto"/>
              <w:bottom w:val="single" w:sz="4" w:space="0" w:color="auto"/>
            </w:tcBorders>
            <w:noWrap/>
            <w:hideMark/>
          </w:tcPr>
          <w:p w14:paraId="0C913A85"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3A7EC04E"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24" w:space="0" w:color="auto"/>
              <w:bottom w:val="single" w:sz="4" w:space="0" w:color="auto"/>
            </w:tcBorders>
            <w:noWrap/>
            <w:hideMark/>
          </w:tcPr>
          <w:p w14:paraId="2BA44ED2"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auto"/>
            </w:tcBorders>
            <w:noWrap/>
            <w:hideMark/>
          </w:tcPr>
          <w:p w14:paraId="5970AA0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24" w:space="0" w:color="auto"/>
              <w:bottom w:val="single" w:sz="4" w:space="0" w:color="auto"/>
            </w:tcBorders>
            <w:noWrap/>
            <w:hideMark/>
          </w:tcPr>
          <w:p w14:paraId="5236A86D"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auto"/>
            </w:tcBorders>
            <w:noWrap/>
            <w:hideMark/>
          </w:tcPr>
          <w:p w14:paraId="15E8430E"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24" w:space="0" w:color="auto"/>
              <w:bottom w:val="single" w:sz="4" w:space="0" w:color="auto"/>
            </w:tcBorders>
            <w:noWrap/>
            <w:hideMark/>
          </w:tcPr>
          <w:p w14:paraId="0A61215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4B47E0DD"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24" w:space="0" w:color="auto"/>
              <w:bottom w:val="single" w:sz="4" w:space="0" w:color="auto"/>
            </w:tcBorders>
            <w:noWrap/>
            <w:hideMark/>
          </w:tcPr>
          <w:p w14:paraId="1F8A6038"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1A9A0755"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24" w:space="0" w:color="auto"/>
              <w:bottom w:val="single" w:sz="4" w:space="0" w:color="auto"/>
            </w:tcBorders>
            <w:noWrap/>
            <w:hideMark/>
          </w:tcPr>
          <w:p w14:paraId="22180A3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auto"/>
            </w:tcBorders>
            <w:noWrap/>
            <w:hideMark/>
          </w:tcPr>
          <w:p w14:paraId="0F4BCA21"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24" w:space="0" w:color="auto"/>
              <w:bottom w:val="single" w:sz="4" w:space="0" w:color="auto"/>
            </w:tcBorders>
            <w:noWrap/>
            <w:hideMark/>
          </w:tcPr>
          <w:p w14:paraId="6995FCAC"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3A0B4487"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24" w:space="0" w:color="auto"/>
              <w:bottom w:val="single" w:sz="4" w:space="0" w:color="auto"/>
            </w:tcBorders>
            <w:noWrap/>
            <w:hideMark/>
          </w:tcPr>
          <w:p w14:paraId="5D50B40D"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auto"/>
            </w:tcBorders>
            <w:noWrap/>
            <w:hideMark/>
          </w:tcPr>
          <w:p w14:paraId="7C183BB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24" w:space="0" w:color="auto"/>
              <w:bottom w:val="single" w:sz="4" w:space="0" w:color="auto"/>
            </w:tcBorders>
          </w:tcPr>
          <w:p w14:paraId="48B822B7"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auto"/>
            </w:tcBorders>
          </w:tcPr>
          <w:p w14:paraId="5B189FB8"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24" w:space="0" w:color="auto"/>
              <w:bottom w:val="single" w:sz="4" w:space="0" w:color="auto"/>
            </w:tcBorders>
            <w:noWrap/>
            <w:hideMark/>
          </w:tcPr>
          <w:p w14:paraId="5AB43C7F"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AB1E01" w:rsidRPr="00CE39A1" w14:paraId="25E0D0D3"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3C1BEB95"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162974B2"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Covered walkways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{"citationID":"EDQe0tvg","properties":{"formattedCitation":"(City of Edmonton, 2016; Life Between Umbrellas, 2019; Pressman, 1996)","plainCitation":"(City of Edmonton, 2016; Life Between Umbrellas, 2019; Pressman, 1996)","noteIndex":0},"citationItems":[{"id":425,"uris":["http://zotero.org/users/local/dNtV5PxQ/items/9VS2R4X4"],"itemData":{"id":425,"type":"book","abstract":"The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Edmonton"}],"accessed":{"date-parts":[["2023",10,13]]},"issued":{"date-parts":[["2016"]]}}},{"id":442,"uris":["http://zotero.org/users/local/dNtV5PxQ/items/NC73SERY"],"itemData":{"id":442,"type":"report","abstract":"Over the past year, the VPSN held a number of events around Vancouver. We used these events to ask people about their ideas and aspirations for rain-friendly public spaces","language":"en-US","publisher":"City of Vancouver","title":"Rain Friendly Principles","URL":"https://www.lifebetweenumbrellas.ca/rain-friendly-principles","author":[{"literal":"Life Between Umbrellas"}],"accessed":{"date-parts":[["2023",10,16]]},"issued":{"date-parts":[["2019"]]}}},{"id":351,"uris":["http://zotero.org/users/local/dNtV5PxQ/items/YDMMZT2P"],"itemData":{"id":351,"type":"article-journal","abstract":"Attempts to generate a “climate-responsive” northern urban form are part of a relatively recent phenomenon and field of investigation. In conjunction with the international “winter cities” movement, the need has been established for explicit, systematic inquiry directed toward national and local action to improve the comfort and lifestyles of all northern inhabitants. It is important to recognize that winter-induced discomforts exist and that they must be acknowledged in planning theory and practice. For northern cities to function more satisfactorily, the negative impacts of winter must be reduced while its beneficial characteristics are enhanced. While not all summer activities can or should be abandoned during winter, proper micro-climatic control is essential if human life is to be retained outside. The outdoor season should be extended since so much indoor isolation occurs. The main principles to be incorporated in exemplary “winter city” design should be contact with nature, year-round usability, user participation, cultural continuity, and the creation of comfortable micro-climatic conditions throughout much of the city's open spaces. All valuable sources of inspiration must be harnessed in the attempt to mediate between organic regionalism and internationalism, on the one hand, and romanticism and pragmatic realism, on the other. Creating optimum conditions for human well-being, habitation, work and intellectual development in each of the four seasons is vital under harsh environments. Adopting a climate-sensitive approach to planning policy and urban design can render everyday life less stressful, especially during the lengthy winter periods found in many northern latitude and high altitude settings.","collection-title":"Conference on the Urban Thermal Environment Studies in Tohwa","container-title":"Atmospheric Environment","DOI":"10.1016/1352-2310(95)00012-7","ISSN":"1352-2310","issue":"3","journalAbbreviation":"Atmospheric Environment","page":"521-529","source":"ScienceDirect","title":"Sustainable winter cities: Future directions for planning, policy and design","title-short":"Sustainable winter cities","volume":"30","author":[{"family":"Pressman","given":"Norman E. P."}],"issued":{"date-parts":[["1996",2,1]]}}}],"schema":"https://github.com/citation-style-language/schema/raw/master/csl-citation.json"}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 Life Between Umbrellas, 2019; Pressman, 1996)</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4F6E81A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D714F0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5EF13ABF"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767999C"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0C7CE8EA"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F001A6C"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32026AAA"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1C2D5E6"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4A949FBC"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2C0DE91"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7C273065"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6789D16"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C2F1B59"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63914AE"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26DB078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BBD190B"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607681A7"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D58C886"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121182E4"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4D71FD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0BEE8CF3"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9A1FF12"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36C3499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CEB80A5"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tcPr>
          <w:p w14:paraId="71B322C3"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0049978B"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224756FC"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AB1E01" w:rsidRPr="00CE39A1" w14:paraId="0FCE70FF" w14:textId="77777777" w:rsidTr="00AB1E01">
        <w:trPr>
          <w:trHeight w:val="333"/>
        </w:trPr>
        <w:tc>
          <w:tcPr>
            <w:cnfStyle w:val="001000000000" w:firstRow="0" w:lastRow="0" w:firstColumn="1" w:lastColumn="0" w:oddVBand="0" w:evenVBand="0" w:oddHBand="0" w:evenHBand="0" w:firstRowFirstColumn="0" w:firstRowLastColumn="0" w:lastRowFirstColumn="0" w:lastRowLastColumn="0"/>
            <w:tcW w:w="473" w:type="dxa"/>
            <w:vMerge w:val="restart"/>
            <w:shd w:val="clear" w:color="auto" w:fill="54AEAC"/>
            <w:textDirection w:val="btLr"/>
            <w:vAlign w:val="center"/>
            <w:hideMark/>
          </w:tcPr>
          <w:p w14:paraId="3CB7F742" w14:textId="5A8482AA" w:rsidR="00AB1E01" w:rsidRPr="00CE39A1" w:rsidRDefault="00AB1E01" w:rsidP="00AB1E01">
            <w:pPr>
              <w:spacing w:line="480" w:lineRule="auto"/>
              <w:ind w:left="113" w:right="113"/>
              <w:jc w:val="center"/>
              <w:rPr>
                <w:rFonts w:ascii="Times New Roman" w:eastAsia="Times New Roman" w:hAnsi="Times New Roman" w:cs="Times New Roman"/>
                <w:color w:val="000000"/>
                <w:sz w:val="24"/>
                <w:szCs w:val="24"/>
                <w:lang w:val="en-CA"/>
              </w:rPr>
            </w:pPr>
            <w:r>
              <w:rPr>
                <w:rFonts w:ascii="Times New Roman" w:eastAsia="Times New Roman" w:hAnsi="Times New Roman" w:cs="Times New Roman"/>
                <w:color w:val="000000"/>
                <w:sz w:val="24"/>
                <w:szCs w:val="24"/>
                <w:lang w:val="en-CA"/>
              </w:rPr>
              <w:lastRenderedPageBreak/>
              <w:t>PREcipitation</w:t>
            </w: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7895793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Covered transit station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{"citationID":"jzRtqeZh","properties":{"formattedCitation":"(City of Edmonton, 2016)","plainCitation":"(City of Edmonton, 2016)","noteIndex":0},"citationItems":[{"id":425,"uris":["http://zotero.org/users/local/dNtV5PxQ/items/9VS2R4X4"],"itemData":{"id":425,"type":"book","abstract":"The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19571AF4"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DB1C78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683F509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002A71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60CFE93A"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3333CCD"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7FB03912"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68A5503"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auto"/>
              <w:bottom w:val="single" w:sz="4" w:space="0" w:color="auto"/>
            </w:tcBorders>
            <w:noWrap/>
            <w:hideMark/>
          </w:tcPr>
          <w:p w14:paraId="23EC161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318BE42"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5747C982"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80A70C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39508A9"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77A262B"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417133E"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44A0045"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auto"/>
              <w:bottom w:val="single" w:sz="4" w:space="0" w:color="auto"/>
            </w:tcBorders>
            <w:noWrap/>
            <w:hideMark/>
          </w:tcPr>
          <w:p w14:paraId="55F95399"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908EA3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60E7E26"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50A51CB"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67F0B85A"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8DD4C35"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CC15C3A"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0FC0825"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7FD13CA5"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1910718B"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26E08EAE"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AB1E01" w:rsidRPr="00CE39A1" w14:paraId="0EE5E15E"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7DD19A8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6D235B6E" w14:textId="77777777" w:rsidR="00AB1E01" w:rsidRPr="00CE39A1" w:rsidRDefault="00AB1E01"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Pedways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{"citationID":"q1IlbpOL","properties":{"formattedCitation":"(City of Edmonton, 2016; Pressman, 1996)","plainCitation":"(City of Edmonton, 2016; Pressman, 1996)","noteIndex":0},"citationItems":[{"id":425,"uris":["http://zotero.org/users/local/dNtV5PxQ/items/9VS2R4X4"],"itemData":{"id":425,"type":"book","abstract":"The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Edmonton"}],"accessed":{"date-parts":[["2023",10,13]]},"issued":{"date-parts":[["2016"]]}}},{"id":351,"uris":["http://zotero.org/users/local/dNtV5PxQ/items/YDMMZT2P"],"itemData":{"id":351,"type":"article-journal","abstract":"Attempts to generate a “climate-responsive” northern urban form are part of a relatively recent phenomenon and field of investigation. In conjunction with the international “winter cities” movement, the need has been established for explicit, systematic inquiry directed toward national and local action to improve the comfort and lifestyles of all northern inhabitants. It is important to recognize that winter-induced discomforts exist and that they must be acknowledged in planning theory and practice. For northern cities to function more satisfactorily, the negative impacts of winter must be reduced while its beneficial characteristics are enhanced. While not all summer activities can or should be abandoned during winter, proper micro-climatic control is essential if human life is to be retained outside. The outdoor season should be extended since so much indoor isolation occurs. The main principles to be incorporated in exemplary “winter city” design should be contact with nature, year-round usability, user participation, cultural continuity, and the creation of comfortable micro-climatic conditions throughout much of the city's open spaces. All valuable sources of inspiration must be harnessed in the attempt to mediate between organic regionalism and internationalism, on the one hand, and romanticism and pragmatic realism, on the other. Creating optimum conditions for human well-being, habitation, work and intellectual development in each of the four seasons is vital under harsh environments. Adopting a climate-sensitive approach to planning policy and urban design can render everyday life less stressful, especially during the lengthy winter periods found in many northern latitude and high altitude settings.","collection-title":"Conference on the Urban Thermal Environment Studies in Tohwa","container-title":"Atmospheric Environment","DOI":"10.1016/1352-2310(95)00012-7","ISSN":"1352-2310","issue":"3","journalAbbreviation":"Atmospheric Environment","page":"521-529","source":"ScienceDirect","title":"Sustainable winter cities: Future directions for planning, policy and design","title-short":"Sustainable winter cities","volume":"30","author":[{"family":"Pressman","given":"Norman E. P."}],"issued":{"date-parts":[["1996",2,1]]}}}],"schema":"https://github.com/citation-style-language/schema/raw/master/csl-citation.json"}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(City of Edmonton, 2016; Pressman, 1996)</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007771FE"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15CC776"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5F5CB775"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2F6F4A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7159B64"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2F71F8C"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D823500"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737ED48"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1796CA69"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EDFDD2A"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D343E85"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84F38E1"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245CAEF"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A86F955"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71808C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016489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11EA769C"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AD4FE4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82C1888"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EB5BD0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D20673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F23938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2DE6107"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83D26FB"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7D0D3210"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7E468991"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73188652"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AB1E01" w:rsidRPr="00CE39A1" w14:paraId="7008C173"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2403841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35EEBE32"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Presence of puddles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{"citationID":"6rheK3Uc","properties":{"formattedCitation":"(City of Edmonton, 2016; Life Between Umbrellas, 2019)","plainCitation":"(City of Edmonton, 2016; Life Between Umbrellas, 2019)","noteIndex":0},"citationItems":[{"id":425,"uris":["http://zotero.org/users/local/dNtV5PxQ/items/9VS2R4X4"],"itemData":{"id":425,"type":"book","abstract":"The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Edmonton"}],"accessed":{"date-parts":[["2023",10,13]]},"issued":{"date-parts":[["2016"]]}}},{"id":442,"uris":["http://zotero.org/users/local/dNtV5PxQ/items/NC73SERY"],"itemData":{"id":442,"type":"report","abstract":"Over the past year, the VPSN held a number of events around Vancouver. We used these events to ask people about their ideas and aspirations for rain-friendly public spaces","language":"en-US","publisher":"City of Vancouver","title":"Rain Friendly Principles","URL":"https://www.lifebetweenumbrellas.ca/rain-friendly-principles","author":[{"literal":"Life Between Umbrellas"}],"accessed":{"date-parts":[["2023",10,16]]},"issued":{"date-parts":[["2019"]]}}}],"schema":"https://github.com/citation-style-language/schema/raw/master/csl-citation.json"}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 Life Between Umbrellas, 2019)</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23035038"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12935D5"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3502FCC7"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EA8344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25EBA89F"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CB0A125"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7F22E9E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974E8A2"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150D904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463DBC3"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45F2B2FD"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AC96403"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B0E813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680B2D7"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3259A61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444AA5A"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4947FFCF"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A2D7C1E"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6DFF7585"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C4C5B5C"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1859D5EE"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970C887"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06C9BE4F"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4969952"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tcPr>
          <w:p w14:paraId="2084903E"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189E6FD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11366D38"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AB1E01" w:rsidRPr="00CE39A1" w14:paraId="50D5995D"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1AF25D41"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5EF03F7B"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Presence of snow on sidewalk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{"citationID":"6sjKAa5U","properties":{"formattedCitation":"(City of Edmonton, 2016; Schepers et al., 2017)","plainCitation":"(City of Edmonton, 2016; Schepers et al., 2017)","noteIndex":0},"citationItems":[{"id":425,"uris":["http://zotero.org/users/local/dNtV5PxQ/items/9VS2R4X4"],"itemData":{"id":425,"type":"book","abstract":"The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Edmonton"}],"accessed":{"date-parts":[["2023",10,13]]},"issued":{"date-parts":[["2016"]]}}},{"id":481,"uris":["http://zotero.org/users/local/dNtV5PxQ/items/KXS9KJIA"],"itemData":{"id":481,"type":"article-journal","abstract":"Introduction\nPedestrian falls (PFs) – falls in public spaces without collisions with other road users – are a significant cause of serious transport-related injuries, amounting to three-quarters of all pedestrians admitted to hospital.\nMethods\nThis scoping review examined peer-reviewed research on PFs published between 1995 and 2015. Electronic databases (Scopus, SafetyLit, and PubMed) were used to find studies identifying PFs or outdoor falls (the latter also including falls in gardens).\nResults\nWe identified only 28 studies reporting relevant information on PFs (i.e., 15 prospective, 10 retrospective, and 3 intervention studies). The results show that more walking is related to a lower risk of PFs. Older people, especially older women, have a higher risk of (injurious) PFs. Outdoor fall victims have equally good or better health characteristics and scores on balance tests compared to those who have not experienced such falls. Road factors such as uneven surfaces, busy junctions, stairs, and slippery surfaces seem to play an important role in PFs, but much of the research on these factors is of a qualitative nature.\nConclusions\nPF victims are generally in good health (apart from normal age-related problems) but at risk due to road factors.\nPractical applications\nWe recommend to adopt a human factors approach. The road system should be adapted to human capabilities and limitations including those of pedestrians. Measures such as preventing uneven surfaces and good winter maintenance seem to be effective. However, we advise more quantitative research on road factors to inform design guidelines and standards for public space authorities given the qualitative nature of current research on road factors.","container-title":"Journal of Safety Research","DOI":"10.1016/j.jsr.2017.06.020","ISSN":"0022-4375","journalAbbreviation":"Journal of Safety Research","page":"227-234","source":"ScienceDirect","title":"Pedestrian falls: A review of the literature and future research directions","title-short":"Pedestrian falls","volume":"62","author":[{"family":"Schepers","given":"Paul"},{"family":"Brinker","given":"Berry","non-dropping-particle":"den"},{"family":"Methorst","given":"Rob"},{"family":"Helbich","given":"Marco"}],"issued":{"date-parts":[["2017",9,1]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 Schepers et al., 2017)</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41C04CB7"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94BEC1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40ABE4A6"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D6F8F0C"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5BCF718F"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0446F9D"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1C7AACC2"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9425656"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70F6DC22"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967FBB6"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35305C98"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B5D072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AE7B456"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5FE334B"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040274E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D4A8ACA"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5FBB6A48"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3E93296"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14466396"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B6722B8"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6EABD3A5"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0E342D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39894E70"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392E7F7"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15D9E14C"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62A4F008"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6C99516C"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AB1E01" w:rsidRPr="00CE39A1" w14:paraId="36736755"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2D696BD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4059DB0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Presence of ice on sidewalk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{"citationID":"BUQBz78B","properties":{"formattedCitation":"(City of Edmonton, 2016; Schepers et al., 2017)","plainCitation":"(City of Edmonton, 2016; Schepers et al., 2017)","noteIndex":0},"citationItems":[{"id":425,"uris":["http://zotero.org/users/local/dNtV5PxQ/items/9VS2R4X4"],"itemData":{"id":425,"type":"book","abstract":"The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Edmonton"}],"accessed":{"date-parts":[["2023",10,13]]},"issued":{"date-parts":[["2016"]]}}},{"id":481,"uris":["http://zotero.org/users/local/dNtV5PxQ/items/KXS9KJIA"],"itemData":{"id":481,"type":"article-journal","abstract":"Introduction\nPedestrian falls (PFs) – falls in public spaces without collisions with other road users – are a significant cause of serious transport-related injuries, amounting to three-quarters of all pedestrians admitted to hospital.\nMethods\nThis scoping review examined peer-reviewed research on PFs published between 1995 and 2015. Electronic databases (Scopus, SafetyLit, and PubMed) were used to find studies identifying PFs or outdoor falls (the latter also including falls in gardens).\nResults\nWe identified only 28 studies reporting relevant information on PFs (i.e., 15 prospective, 10 retrospective, and 3 intervention studies). The results show that more walking is related to a lower risk of PFs. Older people, especially older women, have a higher risk of (injurious) PFs. Outdoor fall victims have equally good or better health characteristics and scores on balance tests compared to those who have not experienced such falls. Road factors such as uneven surfaces, busy junctions, stairs, and slippery surfaces seem to play an important role in PFs, but much of the research on these factors is of a qualitative nature.\nConclusions\nPF victims are generally in good health (apart from normal age-related problems) but at risk due to road factors.\nPractical applications\nWe recommend to adopt a human factors approach. The road system should be adapted to human capabilities and limitations including those of pedestrians. Measures such as preventing uneven surfaces and good winter maintenance seem to be effective. However, we advise more quantitative research on road factors to inform design guidelines and standards for public space authorities given the qualitative nature of current research on road factors.","container-title":"Journal of Safety Research","DOI":"10.1016/j.jsr.2017.06.020","ISSN":"0022-4375","journalAbbreviation":"Journal of Safety Research","page":"227-234","source":"ScienceDirect","title":"Pedestrian falls: A review of the literature and future research directions","title-short":"Pedestrian falls","volume":"62","author":[{"family":"Schepers","given":"Paul"},{"family":"Brinker","given":"Berry","non-dropping-particle":"den"},{"family":"Methorst","given":"Rob"},{"family":"Helbich","given":"Marco"}],"issued":{"date-parts":[["2017",9,1]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 Schepers et al., 2017)</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5234C54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D80386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4B010044"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0740EAB"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7F63610D"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28F330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6AA44F0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C77C88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5A55DEB4"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B4D878B"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5855A567"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8B74C5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AF7887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53BB458"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3E826FC2"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D062C83"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60E6588F"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FE03DE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58B41D49"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0D46D4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40715559"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6E40A47"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056B228F"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A19767A"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3DE31ECE"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4D21A1AC"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1E441F59"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AB1E01" w:rsidRPr="00CE39A1" w14:paraId="014CD6EA"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04500518"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0CE01BB3"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Gutters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{"citationID":"lNpU4WpD","properties":{"formattedCitation":"(Mariano &amp; Marino, 2022)","plainCitation":"(Mariano &amp; Marino, 2022)","noteIndex":0},"citationItems":[{"id":419,"uris":["http://zotero.org/users/local/dNtV5PxQ/items/8AFXJGSL"],"itemData":{"id":419,"type":"article-journal","abstract":"Cities and urban systems are the places most responsible for climate change, but at the same time they are the places where its effects are felt the most. A state-of-the-art analysis showed that Ecological–Environmental, Settlement, and Infrastructure and Service Systems are the components of cities most exposed to risk phenomena. Therefore, it is important to identify site-specific actions aimed at enhancing ecosystem services and building hierarchical ecological networks (green and blue infrastructures), according to an Ecosystem-based Approach (EbA). In this regard, the contribution presents the results of a research work on the theme of multi-risks connected to climate change, referring to heavy rains and river flood phenomena and sea level rise and proposes a systematisation of international best practices in the field of the Ecosystem-based Approach (EbA). Each best practice analysed is traced back to the three urban resilience macro-strategies of “defence”, “adaptation”, and “relocation/de-anthropisation”, already conceptualised by the authors during their joint research activity. The aim is to outline a synthetic toolkit of site-specific design actions, exportable to other contexts, intended as a tool to support the innovation of urban planning tools at the local level.","container-title":"Urban Science","DOI":"10.3390/urbansci6030063","ISSN":"2413-8851","issue":"3","language":"en","license":"http://creativecommons.org/licenses/by/3.0/","note":"number: 3\npublisher: Multidisciplinary Digital Publishing Institute","page":"63","source":"www.mdpi.com","title":"Urban Planning for Climate Change: A Toolkit of Actions for an Integrated Strategy of Adaptation to Heavy Rains, River Floods, and Sea Level Rise","title-short":"Urban Planning for Climate Change","volume":"6","author":[{"family":"Mariano","given":"Carmela"},{"family":"Marino","given":"Marsia"}],"issued":{"date-parts":[["2022",9]]}}}],"schema":"https://github.com/citation-style-language/schema/raw/master/csl-citation.json"}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(Mariano &amp; Marino, 2022)</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0C935B6D"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C271D52"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539C9985"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9BA6F2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40467A2A"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AC97F0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4F1B7E0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CBF5CE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045C4C96"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3F2C65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73B106F8"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9655DD7"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0CDE3C9"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5A8785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4B1CEDF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FE28A41"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20DEB1D0"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A583602"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451C9C1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59D862E"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6" w:type="dxa"/>
            <w:tcBorders>
              <w:top w:val="single" w:sz="4" w:space="0" w:color="auto"/>
              <w:bottom w:val="single" w:sz="4" w:space="0" w:color="auto"/>
            </w:tcBorders>
            <w:noWrap/>
            <w:hideMark/>
          </w:tcPr>
          <w:p w14:paraId="373192C4"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3D82D0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noWrap/>
            <w:hideMark/>
          </w:tcPr>
          <w:p w14:paraId="1743B4B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B77B3A8"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rPr>
              <w:t> </w:t>
            </w:r>
          </w:p>
        </w:tc>
        <w:tc>
          <w:tcPr>
            <w:tcW w:w="377" w:type="dxa"/>
            <w:tcBorders>
              <w:top w:val="single" w:sz="4" w:space="0" w:color="auto"/>
              <w:bottom w:val="single" w:sz="4" w:space="0" w:color="auto"/>
            </w:tcBorders>
          </w:tcPr>
          <w:p w14:paraId="5A340733"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19052132"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74D743B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AB1E01" w:rsidRPr="00CE39A1" w14:paraId="18051C59"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7BDD7AFD"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7AC42DA6" w14:textId="77777777" w:rsidR="00AB1E01" w:rsidRPr="00CE39A1" w:rsidRDefault="00AB1E01"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Permeable pavements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{"citationID":"PczZIw8K","properties":{"formattedCitation":"(J. Xu et al., 2023)","plainCitation":"(J. Xu et al., 2023)","dontUpdate":true,"noteIndex":0},"citationItems":[{"id":444,"uris":["http://zotero.org/users/local/dNtV5PxQ/items/MDLCAEF3"],"itemData":{"id":444,"type":"article-journal","abstract":"Due to the impact of climate change and rapid urbanization, issues around global urban flood control and water environment security have emerged as major global concerns. As a practical way to address these issues, exploitation of urban rainwater resources has become a worldwide hotspot for research and application. This paper 1) briefly examined the evolution of rainwater utilization management modes in advanced countries, 2) classified urban rainwater utilization measures from the utilization stages into three categories—source control, medium transmission, and terminal treatment, 3) summarized the advantages, disadvantages, and scope of the application of these measures, 4) reviewed the benefits, drawbacks, and application areas of these measures, and 5) conducted a quantitative analysis of their impact on rainwater pollution and flood control.","container-title":"Frontiers in Environmental Science","ISSN":"2296-665X","source":"Frontiers","title":"Urban rainwater utilization: A review of management modes and harvesting systems","title-short":"Urban rainwater utilization","URL":"https://www.frontiersin.org/articles/10.3389/fenvs.2023.1025665","volume":"11","author":[{"family":"Xu","given":"Jiayi"},{"family":"Dai","given":"Jiangyu"},{"family":"Wu","given":"Xiufeng"},{"family":"Wu","given":"Shiqiang"},{"family":"Zhang","given":"Yu"},{"family":"Wang","given":"Fangfang"},{"family":"Gao","given":"Ang"},{"family":"Tan","given":"Yanping"}],"accessed":{"date-parts":[["2023",10,16]]},"issued":{"date-parts":[["2023"]]}}}],"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(Xu et al., 2023)</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53183AB4"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390FFE7"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4CB62C1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3C55847"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4D855F0"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A65B03B"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A268B5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3BB91FE"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2DDCA8DF"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547469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A6AA3BC"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818173A"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F3FBAD4"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AEF17AD"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716C3EAE"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0AD9CB5"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F61C390"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498562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32E3DA2"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FFF486A"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F89FF2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C0F0DB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788DA09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C5761ED"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6F54B89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203B07B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13A40FF6"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AB1E01" w:rsidRPr="00CE39A1" w14:paraId="19463932"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171D3CDB"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57B44BB7" w14:textId="77777777" w:rsidR="00AB1E01" w:rsidRPr="00CE39A1" w:rsidRDefault="00AB1E01"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Bioswales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{"citationID":"YghA14C3","properties":{"formattedCitation":"(J. Xu et al., 2023)","plainCitation":"(J. Xu et al., 2023)","dontUpdate":true,"noteIndex":0},"citationItems":[{"id":444,"uris":["http://zotero.org/users/local/dNtV5PxQ/items/MDLCAEF3"],"itemData":{"id":444,"type":"article-journal","abstract":"Due to the impact of climate change and rapid urbanization, issues around global urban flood control and water environment security have emerged as major global concerns. As a practical way to address these issues, exploitation of urban rainwater resources has become a worldwide hotspot for research and application. This paper 1) briefly examined the evolution of rainwater utilization management modes in advanced countries, 2) classified urban rainwater utilization measures from the utilization stages into three categories—source control, medium transmission, and terminal treatment, 3) summarized the advantages, disadvantages, and scope of the application of these measures, 4) reviewed the benefits, drawbacks, and application areas of these measures, and 5) conducted a quantitative analysis of their impact on rainwater pollution and flood control.","container-title":"Frontiers in Environmental Science","ISSN":"2296-665X","source":"Frontiers","title":"Urban rainwater utilization: A review of management modes and harvesting systems","title-short":"Urban rainwater utilization","URL":"https://www.frontiersin.org/articles/10.3389/fenvs.2023.1025665","volume":"11","author":[{"family":"Xu","given":"Jiayi"},{"family":"Dai","given":"Jiangyu"},{"family":"Wu","given":"Xiufeng"},{"family":"Wu","given":"Shiqiang"},{"family":"Zhang","given":"Yu"},{"family":"Wang","given":"Fangfang"},{"family":"Gao","given":"Ang"},{"family":"Tan","given":"Yanping"}],"accessed":{"date-parts":[["2023",10,16]]},"issued":{"date-parts":[["2023"]]}}}],"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(Xu et al., 2023)</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3AC98120"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F6B73B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8429A6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E295AD8"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438F07FB"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131F73B"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4E68479"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A750155"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65C0D884"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23F3A76"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3EB29A08"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4CC0496"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1D8ECFA"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A07D74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9DBDD27"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2BFD77E"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34BACAB3"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CFF0B4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5F603287"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87F4495"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1576ABF3"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4AF3603"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50B7D56C"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783834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4B4F011F"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30EAD80E"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3C6F6A1A"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AB1E01" w:rsidRPr="00CE39A1" w14:paraId="2E1ABE78"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shd w:val="clear" w:color="auto" w:fill="54AEAC"/>
            <w:hideMark/>
          </w:tcPr>
          <w:p w14:paraId="360CED29"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right w:val="single" w:sz="4" w:space="0" w:color="auto"/>
            </w:tcBorders>
            <w:shd w:val="clear" w:color="auto" w:fill="FFFFFF" w:themeFill="background1"/>
            <w:hideMark/>
          </w:tcPr>
          <w:p w14:paraId="28F30800" w14:textId="77777777" w:rsidR="00AB1E01" w:rsidRPr="00CE39A1" w:rsidRDefault="00AB1E01"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Rain gardens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{"citationID":"2M34G5C0","properties":{"formattedCitation":"(J. Xu et al., 2023)","plainCitation":"(J. Xu et al., 2023)","dontUpdate":true,"noteIndex":0},"citationItems":[{"id":444,"uris":["http://zotero.org/users/local/dNtV5PxQ/items/MDLCAEF3"],"itemData":{"id":444,"type":"article-journal","abstract":"Due to the impact of climate change and rapid urbanization, issues around global urban flood control and water environment security have emerged as major global concerns. As a practical way to address these issues, exploitation of urban rainwater resources has become a worldwide hotspot for research and application. This paper 1) briefly examined the evolution of rainwater utilization management modes in advanced countries, 2) classified urban rainwater utilization measures from the utilization stages into three categories—source control, medium transmission, and terminal treatment, 3) summarized the advantages, disadvantages, and scope of the application of these measures, 4) reviewed the benefits, drawbacks, and application areas of these measures, and 5) conducted a quantitative analysis of their impact on rainwater pollution and flood control.","container-title":"Frontiers in Environmental Science","ISSN":"2296-665X","source":"Frontiers","title":"Urban rainwater utilization: A review of management modes and harvesting systems","title-short":"Urban rainwater utilization","URL":"https://www.frontiersin.org/articles/10.3389/fenvs.2023.1025665","volume":"11","author":[{"family":"Xu","given":"Jiayi"},{"family":"Dai","given":"Jiangyu"},{"family":"Wu","given":"Xiufeng"},{"family":"Wu","given":"Shiqiang"},{"family":"Zhang","given":"Yu"},{"family":"Wang","given":"Fangfang"},{"family":"Gao","given":"Ang"},{"family":"Tan","given":"Yanping"}],"accessed":{"date-parts":[["2023",10,16]]},"issued":{"date-parts":[["2023"]]}}}],"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(Xu et al., 2023)</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tcBorders>
            <w:noWrap/>
            <w:hideMark/>
          </w:tcPr>
          <w:p w14:paraId="0E86B42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60B91E71"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tcBorders>
            <w:noWrap/>
            <w:hideMark/>
          </w:tcPr>
          <w:p w14:paraId="38D1C7B1"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62E6A7B1"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tcBorders>
            <w:noWrap/>
            <w:hideMark/>
          </w:tcPr>
          <w:p w14:paraId="45BC1BB3"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tcBorders>
            <w:noWrap/>
            <w:hideMark/>
          </w:tcPr>
          <w:p w14:paraId="5C7F792B"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tcBorders>
            <w:noWrap/>
            <w:hideMark/>
          </w:tcPr>
          <w:p w14:paraId="215849FA"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531AD01D"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tcBorders>
            <w:noWrap/>
            <w:hideMark/>
          </w:tcPr>
          <w:p w14:paraId="46AECFA3"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3B6077A8"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tcBorders>
            <w:noWrap/>
            <w:hideMark/>
          </w:tcPr>
          <w:p w14:paraId="7EDB40E5"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tcBorders>
            <w:noWrap/>
            <w:hideMark/>
          </w:tcPr>
          <w:p w14:paraId="3C557B5E"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tcBorders>
            <w:noWrap/>
            <w:hideMark/>
          </w:tcPr>
          <w:p w14:paraId="366A8776"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tcBorders>
            <w:noWrap/>
            <w:hideMark/>
          </w:tcPr>
          <w:p w14:paraId="2FDB8A31"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tcBorders>
            <w:noWrap/>
            <w:hideMark/>
          </w:tcPr>
          <w:p w14:paraId="145148DA"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0D649EE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tcBorders>
            <w:noWrap/>
            <w:hideMark/>
          </w:tcPr>
          <w:p w14:paraId="682FBC62"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0A5AE09C"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tcBorders>
            <w:noWrap/>
            <w:hideMark/>
          </w:tcPr>
          <w:p w14:paraId="5B676E74"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tcBorders>
            <w:noWrap/>
            <w:hideMark/>
          </w:tcPr>
          <w:p w14:paraId="2A05314F"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tcBorders>
            <w:noWrap/>
            <w:hideMark/>
          </w:tcPr>
          <w:p w14:paraId="24415D05"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7A9A60EE"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tcBorders>
            <w:noWrap/>
            <w:hideMark/>
          </w:tcPr>
          <w:p w14:paraId="0F857BAE"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tcBorders>
            <w:noWrap/>
            <w:hideMark/>
          </w:tcPr>
          <w:p w14:paraId="0EE6876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tcBorders>
          </w:tcPr>
          <w:p w14:paraId="3CE41417"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tcBorders>
          </w:tcPr>
          <w:p w14:paraId="14E38243"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tcBorders>
            <w:noWrap/>
            <w:hideMark/>
          </w:tcPr>
          <w:p w14:paraId="7708F7E3" w14:textId="77777777" w:rsidR="00AB1E01" w:rsidRPr="00CE39A1" w:rsidRDefault="00AB1E0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FE41DB" w:rsidRPr="00CE39A1" w14:paraId="5FE4A501"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val="restart"/>
            <w:shd w:val="clear" w:color="auto" w:fill="54AEAC"/>
            <w:textDirection w:val="btLr"/>
            <w:hideMark/>
          </w:tcPr>
          <w:p w14:paraId="5309D6F0" w14:textId="77777777" w:rsidR="00341DC1" w:rsidRPr="00CE39A1" w:rsidRDefault="00341DC1" w:rsidP="0076348E">
            <w:pPr>
              <w:spacing w:line="480" w:lineRule="auto"/>
              <w:ind w:left="113" w:right="113"/>
              <w:jc w:val="center"/>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Precipitation</w:t>
            </w: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3B878AC2"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Storm drains / catch basins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{"citationID":"2ICB72ZM","properties":{"formattedCitation":"(City of Edmonton, 2016; Mariano &amp; Marino, 2022)","plainCitation":"(City of Edmonton, 2016; Mariano &amp; Marino, 2022)","noteIndex":0},"citationItems":[{"id":425,"uris":["http://zotero.org/users/local/dNtV5PxQ/items/9VS2R4X4"],"itemData":{"id":425,"type":"book","abstract":"The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Edmonton"}],"accessed":{"date-parts":[["2023",10,13]]},"issued":{"date-parts":[["2016"]]}}},{"id":419,"uris":["http://zotero.org/users/local/dNtV5PxQ/items/8AFXJGSL"],"itemData":{"id":419,"type":"article-journal","abstract":"Cities and urban systems are the places most responsible for climate change, but at the same time they are the places where its effects are felt the most. A state-of-the-art analysis showed that Ecological–Environmental, Settlement, and Infrastructure and Service Systems are the components of cities most exposed to risk phenomena. Therefore, it is important to identify site-specific actions aimed at enhancing ecosystem services and building hierarchical ecological networks (green and blue infrastructures), according to an Ecosystem-based Approach (EbA). In this regard, the contribution presents the results of a research work on the theme of multi-risks connected to climate change, referring to heavy rains and river flood phenomena and sea level rise and proposes a systematisation of international best practices in the field of the Ecosystem-based Approach (EbA). Each best practice analysed is traced back to the three urban resilience macro-strategies of “defence”, “adaptation”, and “relocation/de-anthropisation”, already conceptualised by the authors during their joint research activity. The aim is to outline a synthetic toolkit of site-specific design actions, exportable to other contexts, intended as a tool to support the innovation of urban planning tools at the local level.","container-title":"Urban Science","DOI":"10.3390/urbansci6030063","ISSN":"2413-8851","issue":"3","language":"en","license":"http://creativecommons.org/licenses/by/3.0/","note":"number: 3\npublisher: Multidisciplinary Digital Publishing Institute","page":"63","source":"www.mdpi.com","title":"Urban Planning for Climate Change: A Toolkit of Actions for an Integrated Strategy of Adaptation to Heavy Rains, River Floods, and Sea Level Rise","title-short":"Urban Planning for Climate Change","volume":"6","author":[{"family":"Mariano","given":"Carmela"},{"family":"Marino","given":"Marsia"}],"issued":{"date-parts":[["2022",9]]}}}],"schema":"https://github.com/citation-style-language/schema/raw/master/csl-citation.json"}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 Mariano &amp; Marino, 2022)</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59E2F896"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3677099"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6257A32D"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71BF074"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5E47CB0"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9905105"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080E192"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B5A4CB8"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023E0EE8"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1CE940E"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0D12924A"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C82EA04"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655859B7"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976BF83"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B9DCC00"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FA7D372"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4467A623"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75D71DE"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36E633BB"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85B5DDB"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4" w:space="0" w:color="auto"/>
            </w:tcBorders>
            <w:noWrap/>
            <w:hideMark/>
          </w:tcPr>
          <w:p w14:paraId="242C7AFE"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9773358"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noWrap/>
            <w:hideMark/>
          </w:tcPr>
          <w:p w14:paraId="4CF9A556"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048C370"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4" w:space="0" w:color="auto"/>
            </w:tcBorders>
          </w:tcPr>
          <w:p w14:paraId="227E6872"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66799F33"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62DD53CC"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341DC1" w:rsidRPr="00CE39A1" w14:paraId="187EC2FA"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619B06C8"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13600452"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Drainage ditches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{"citationID":"5r0H2Mgf","properties":{"formattedCitation":"(Xu et al., 2023)","plainCitation":"(Xu et al., 2023)","noteIndex":0},"citationItems":[{"id":444,"uris":["http://zotero.org/users/local/dNtV5PxQ/items/MDLCAEF3"],"itemData":{"id":444,"type":"article-journal","abstract":"Due to the impact of climate change and rapid urbanization, issues around global urban flood control and water environment security have emerged as major global concerns. As a practical way to address these issues, exploitation of urban rainwater resources has become a worldwide hotspot for research and application. This paper 1) briefly examined the evolution of rainwater utilization management modes in advanced countries, 2) classified urban rainwater utilization measures from the utilization stages into three categories—source control, medium transmission, and terminal treatment, 3) summarized the advantages, disadvantages, and scope of the application of these measures, 4) reviewed the benefits, drawbacks, and application areas of these measures, and 5) conducted a quantitative analysis of their impact on rainwater pollution and flood control.","container-title":"Frontiers in Environmental Science","ISSN":"2296-665X","source":"Frontiers","title":"Urban rainwater utilization: A review of management modes and harvesting systems","title-short":"Urban rainwater utilization","URL":"https://www.frontiersin.org/articles/10.3389/fenvs.2023.1025665","volume":"11","author":[{"family":"Xu","given":"Jiayi"},{"family":"Dai","given":"Jiangyu"},{"family":"Wu","given":"Xiufeng"},{"family":"Wu","given":"Shiqiang"},{"family":"Zhang","given":"Yu"},{"family":"Wang","given":"Fangfang"},{"family":"Gao","given":"Ang"},{"family":"Tan","given":"Yanping"}],"accessed":{"date-parts":[["2023",10,16]]},"issued":{"date-parts":[["2023"]]}}}],"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(Xu et al., 2023)</w:t>
            </w:r>
            <w:r w:rsidRPr="00CE39A1">
              <w:rPr>
                <w:rFonts w:ascii="Times New Roman" w:eastAsia="Times New Roman" w:hAnsi="Times New Roman" w:cs="Times New Roman"/>
                <w:color w:val="000000"/>
                <w:sz w:val="24"/>
                <w:szCs w:val="24"/>
                <w:lang w:val="en-CA"/>
              </w:rPr>
              <w:fldChar w:fldCharType="end"/>
            </w:r>
          </w:p>
        </w:tc>
        <w:tc>
          <w:tcPr>
            <w:tcW w:w="376" w:type="dxa"/>
            <w:tcBorders>
              <w:left w:val="single" w:sz="4" w:space="0" w:color="auto"/>
              <w:bottom w:val="single" w:sz="4" w:space="0" w:color="auto"/>
            </w:tcBorders>
            <w:noWrap/>
            <w:hideMark/>
          </w:tcPr>
          <w:p w14:paraId="65927336"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bottom w:val="single" w:sz="4" w:space="0" w:color="auto"/>
            </w:tcBorders>
            <w:noWrap/>
            <w:hideMark/>
          </w:tcPr>
          <w:p w14:paraId="3E5ACC03"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bottom w:val="single" w:sz="4" w:space="0" w:color="auto"/>
            </w:tcBorders>
            <w:noWrap/>
            <w:hideMark/>
          </w:tcPr>
          <w:p w14:paraId="3C51706C"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bottom w:val="single" w:sz="4" w:space="0" w:color="auto"/>
            </w:tcBorders>
            <w:noWrap/>
            <w:hideMark/>
          </w:tcPr>
          <w:p w14:paraId="1B52B734"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bottom w:val="single" w:sz="4" w:space="0" w:color="auto"/>
            </w:tcBorders>
            <w:noWrap/>
            <w:hideMark/>
          </w:tcPr>
          <w:p w14:paraId="4F4B02C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bottom w:val="single" w:sz="4" w:space="0" w:color="auto"/>
            </w:tcBorders>
            <w:noWrap/>
            <w:hideMark/>
          </w:tcPr>
          <w:p w14:paraId="0BB78C87"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bottom w:val="single" w:sz="4" w:space="0" w:color="auto"/>
            </w:tcBorders>
            <w:noWrap/>
            <w:hideMark/>
          </w:tcPr>
          <w:p w14:paraId="1B96DBE8"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bottom w:val="single" w:sz="4" w:space="0" w:color="auto"/>
            </w:tcBorders>
            <w:noWrap/>
            <w:hideMark/>
          </w:tcPr>
          <w:p w14:paraId="057F03FD"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bottom w:val="single" w:sz="4" w:space="0" w:color="auto"/>
            </w:tcBorders>
            <w:noWrap/>
            <w:hideMark/>
          </w:tcPr>
          <w:p w14:paraId="74C8B6EE"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bottom w:val="single" w:sz="4" w:space="0" w:color="auto"/>
            </w:tcBorders>
            <w:noWrap/>
            <w:hideMark/>
          </w:tcPr>
          <w:p w14:paraId="531EC73D"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bottom w:val="single" w:sz="4" w:space="0" w:color="auto"/>
            </w:tcBorders>
            <w:noWrap/>
            <w:hideMark/>
          </w:tcPr>
          <w:p w14:paraId="5ECE55E3"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bottom w:val="single" w:sz="4" w:space="0" w:color="auto"/>
            </w:tcBorders>
            <w:noWrap/>
            <w:hideMark/>
          </w:tcPr>
          <w:p w14:paraId="2CC1C06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bottom w:val="single" w:sz="4" w:space="0" w:color="auto"/>
            </w:tcBorders>
            <w:noWrap/>
            <w:hideMark/>
          </w:tcPr>
          <w:p w14:paraId="20000312"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bottom w:val="single" w:sz="4" w:space="0" w:color="auto"/>
            </w:tcBorders>
            <w:noWrap/>
            <w:hideMark/>
          </w:tcPr>
          <w:p w14:paraId="3B828B7A"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bottom w:val="single" w:sz="4" w:space="0" w:color="auto"/>
            </w:tcBorders>
            <w:noWrap/>
            <w:hideMark/>
          </w:tcPr>
          <w:p w14:paraId="1A2D9B2B"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bottom w:val="single" w:sz="4" w:space="0" w:color="auto"/>
            </w:tcBorders>
            <w:noWrap/>
            <w:hideMark/>
          </w:tcPr>
          <w:p w14:paraId="62A67DE9"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bottom w:val="single" w:sz="4" w:space="0" w:color="auto"/>
            </w:tcBorders>
            <w:noWrap/>
            <w:hideMark/>
          </w:tcPr>
          <w:p w14:paraId="283943D0"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bottom w:val="single" w:sz="4" w:space="0" w:color="auto"/>
            </w:tcBorders>
            <w:noWrap/>
            <w:hideMark/>
          </w:tcPr>
          <w:p w14:paraId="37EB592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bottom w:val="single" w:sz="4" w:space="0" w:color="auto"/>
            </w:tcBorders>
            <w:noWrap/>
            <w:hideMark/>
          </w:tcPr>
          <w:p w14:paraId="5AC912A6"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bottom w:val="single" w:sz="4" w:space="0" w:color="auto"/>
            </w:tcBorders>
            <w:noWrap/>
            <w:hideMark/>
          </w:tcPr>
          <w:p w14:paraId="6EDD5B72"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bottom w:val="single" w:sz="4" w:space="0" w:color="auto"/>
            </w:tcBorders>
            <w:noWrap/>
            <w:hideMark/>
          </w:tcPr>
          <w:p w14:paraId="3D0A08E5"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bottom w:val="single" w:sz="4" w:space="0" w:color="auto"/>
            </w:tcBorders>
            <w:noWrap/>
            <w:hideMark/>
          </w:tcPr>
          <w:p w14:paraId="450402FF"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bottom w:val="single" w:sz="4" w:space="0" w:color="auto"/>
            </w:tcBorders>
            <w:noWrap/>
            <w:hideMark/>
          </w:tcPr>
          <w:p w14:paraId="45F3C74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bottom w:val="single" w:sz="4" w:space="0" w:color="auto"/>
            </w:tcBorders>
            <w:noWrap/>
            <w:hideMark/>
          </w:tcPr>
          <w:p w14:paraId="342FE18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bottom w:val="single" w:sz="4" w:space="0" w:color="auto"/>
            </w:tcBorders>
          </w:tcPr>
          <w:p w14:paraId="2BECCF5E"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bottom w:val="single" w:sz="4" w:space="0" w:color="auto"/>
            </w:tcBorders>
          </w:tcPr>
          <w:p w14:paraId="36DC0744"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bottom w:val="single" w:sz="4" w:space="0" w:color="auto"/>
            </w:tcBorders>
            <w:noWrap/>
            <w:hideMark/>
          </w:tcPr>
          <w:p w14:paraId="320F856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341DC1" w:rsidRPr="00CE39A1" w14:paraId="77384B4D"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520AA784"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7DC963B7"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Buffer zone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{"citationID":"ovlnVHCi","properties":{"formattedCitation":"(City of Edmonton, 2016; Life Between Umbrellas, 2019; Xu et al., 2023)","plainCitation":"(City of Edmonton, 2016; Life Between Umbrellas, 2019; Xu et al., 2023)","noteIndex":0},"citationItems":[{"id":442,"uris":["http://zotero.org/users/local/dNtV5PxQ/items/NC73SERY"],"itemData":{"id":442,"type":"report","abstract":"Over the past year, the VPSN held a number of events around Vancouver. We used these events to ask people about their ideas and aspirations for rain-friendly public spaces","language":"en-US","publisher":"City of Vancouver","title":"Rain Friendly Principles","URL":"https://www.lifebetweenumbrellas.ca/rain-friendly-principles","author":[{"literal":"Life Between Umbrellas"}],"accessed":{"date-parts":[["2023",10,16]]},"issued":{"date-parts":[["2019"]]}}},{"id":425,"uris":["http://zotero.org/users/local/dNtV5PxQ/items/9VS2R4X4"],"itemData":{"id":425,"type":"book","abstract":"The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Edmonton"}],"accessed":{"date-parts":[["2023",10,13]]},"issued":{"date-parts":[["2016"]]}}},{"id":444,"uris":["http://zotero.org/users/local/dNtV5PxQ/items/MDLCAEF3"],"itemData":{"id":444,"type":"article-journal","abstract":"Due to the impact of climate change and rapid urbanization, issues around global urban flood control and water environment security have emerged as major global concerns. As a practical way to address these issues, exploitation of urban rainwater resources has become a worldwide hotspot for research and application. This paper 1) briefly examined the evolution of rainwater utilization management modes in advanced countries, 2) classified urban rainwater utilization measures from the utilization stages into three categories—source control, medium transmission, and terminal treatment, 3) summarized the advantages, disadvantages, and scope of the application of these measures, 4) reviewed the benefits, drawbacks, and application areas of these measures, and 5) conducted a quantitative analysis of their impact on rainwater pollution and flood control.","container-title":"Frontiers in Environmental Science","ISSN":"2296-665X","source":"Frontiers","title":"Urban rainwater utilization: A review of management modes and harvesting systems","title-short":"Urban rainwater utilization","URL":"https://www.frontiersin.org/articles/10.3389/fenvs.2023.1025665","volume":"11","author":[{"family":"Xu","given":"Jiayi"},{"family":"Dai","given":"Jiangyu"},{"family":"Wu","given":"Xiufeng"},{"family":"Wu","given":"Shiqiang"},{"family":"Zhang","given":"Yu"},{"family":"Wang","given":"Fangfang"},{"family":"Gao","given":"Ang"},{"family":"Tan","given":"Yanping"}],"accessed":{"date-parts":[["2023",10,16]]},"issued":{"date-parts":[["2023"]]}}}],"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 Life Between Umbrellas, 2019; Xu et al., 2023)</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320371D8"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93349C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4FA3319C"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2B31C57"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6C531A4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B252755"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6B62D19A"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90FE619"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01FB2F5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C52EEED"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34A4ABEE"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C648BED"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2858BAF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F0A8F71"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032DD4D8"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04B2070"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2D28247C"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80C7193"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106E0E04"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91C5B6F"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7FECA310"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43892AD"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795FC60B"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A3D93F9"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tcPr>
          <w:p w14:paraId="57629A96"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7CD1523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auto"/>
              <w:bottom w:val="single" w:sz="4" w:space="0" w:color="auto"/>
            </w:tcBorders>
            <w:noWrap/>
            <w:hideMark/>
          </w:tcPr>
          <w:p w14:paraId="054D07FE"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r>
      <w:tr w:rsidR="00341DC1" w:rsidRPr="00CE39A1" w14:paraId="6DA83589"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45ADB35F"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33C71AA8" w14:textId="77777777" w:rsidR="00341DC1" w:rsidRPr="00CE39A1" w:rsidRDefault="00341DC1"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Roof slope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{"citationID":"bsYJfGW9","properties":{"formattedCitation":"(City of Edmonton, 2016)","plainCitation":"(City of Edmonton, 2016)","noteIndex":0},"citationItems":[{"id":425,"uris":["http://zotero.org/users/local/dNtV5PxQ/items/9VS2R4X4"],"itemData":{"id":425,"type":"book","abstract":"The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(City of Edmonton, 2016)</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78565C05"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415267A"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5A71D722"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C5711C3"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13513A96"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E4150A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1AC0E1EE"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4A81C35"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704F18A8"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571EB88"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1E6575A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56073AC"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504250B2"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B1E93E2"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7F1C090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1947AFC"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683EFD2C"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38362EA"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7276945B"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A264FBC"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3ACDAFB2"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FDA15A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6C7EA22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11EB7CF"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tcPr>
          <w:p w14:paraId="227E68BA"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668469F4"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00E1B34D"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341DC1" w:rsidRPr="00CE39A1" w14:paraId="4FF26B43"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691ABB2F"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418BED8A" w14:textId="77777777" w:rsidR="00341DC1" w:rsidRPr="00CE39A1" w:rsidRDefault="00341DC1"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Heated sidewalk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{"citationID":"n8CaS1K7","properties":{"formattedCitation":"(City of Edmonton, 2016; Pressman, 1996)","plainCitation":"(City of Edmonton, 2016; Pressman, 1996)","noteIndex":0},"citationItems":[{"id":425,"uris":["http://zotero.org/users/local/dNtV5PxQ/items/9VS2R4X4"],"itemData":{"id":425,"type":"book","abstract":"The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Edmonton"}],"accessed":{"date-parts":[["2023",10,13]]},"issued":{"date-parts":[["2016"]]}}},{"id":351,"uris":["http://zotero.org/users/local/dNtV5PxQ/items/YDMMZT2P"],"itemData":{"id":351,"type":"article-journal","abstract":"Attempts to generate a “climate-responsive” northern urban form are part of a relatively recent phenomenon and field of investigation. In conjunction with the international “winter cities” movement, the need has been established for explicit, systematic inquiry directed toward national and local action to improve the comfort and lifestyles of all northern inhabitants. It is important to recognize that winter-induced discomforts exist and that they must be acknowledged in planning theory and practice. For northern cities to function more satisfactorily, the negative impacts of winter must be reduced while its beneficial characteristics are enhanced. While not all summer activities can or should be abandoned during winter, proper micro-climatic control is essential if human life is to be retained outside. The outdoor season should be extended since so much indoor isolation occurs. The main principles to be incorporated in exemplary “winter city” design should be contact with nature, year-round usability, user participation, cultural continuity, and the creation of comfortable micro-climatic conditions throughout much of the city's open spaces. All valuable sources of inspiration must be harnessed in the attempt to mediate between organic regionalism and internationalism, on the one hand, and romanticism and pragmatic realism, on the other. Creating optimum conditions for human well-being, habitation, work and intellectual development in each of the four seasons is vital under harsh environments. Adopting a climate-sensitive approach to planning policy and urban design can render everyday life less stressful, especially during the lengthy winter periods found in many northern latitude and high altitude settings.","collection-title":"Conference on the Urban Thermal Environment Studies in Tohwa","container-title":"Atmospheric Environment","DOI":"10.1016/1352-2310(95)00012-7","ISSN":"1352-2310","issue":"3","journalAbbreviation":"Atmospheric Environment","page":"521-529","source":"ScienceDirect","title":"Sustainable winter cities: Future directions for planning, policy and design","title-short":"Sustainable winter cities","volume":"30","author":[{"family":"Pressman","given":"Norman E. P."}],"issued":{"date-parts":[["1996",2,1]]}}}],"schema":"https://github.com/citation-style-language/schema/raw/master/csl-citation.json"}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(City of Edmonton, 2016; Pressman, 1996)</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30249D74"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7B92836"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65485484"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2DF2EEF"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67185EA3"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CF38EEC"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16BEC94E"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03D7972"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4168E886"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0AD3BE9"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40E054AD"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91D5493"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75428289"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396BAC8"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18884B9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FC9D8BF"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3D8CE3E4"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10F66C3"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26E624E0"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6217DA3"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2DDDD55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24F5A5B"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294A1B6B"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B0AA0DB"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tcPr>
          <w:p w14:paraId="01C9A1E4"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2F546160"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53286689"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341DC1" w:rsidRPr="00CE39A1" w14:paraId="6F3379D6"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2209CCD9"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6D045CB3"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Parking ban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{"citationID":"Nh3HjbCQ","properties":{"formattedCitation":"(City of Edmonton, 2016)","plainCitation":"(City of Edmonton, 2016)","noteIndex":0},"citationItems":[{"id":425,"uris":["http://zotero.org/users/local/dNtV5PxQ/items/9VS2R4X4"],"itemData":{"id":425,"type":"book","abstract":"The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5B651DE3"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13865C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7BA66F97"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B13F94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084FEC26"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D2313DD"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45BE0FFA"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777CC0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39DBED95"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5364552"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4E0E2C9C"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0D24400"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6D8779FB"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15F850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488008BB"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2DBD2EF"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763820CB"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24F0341"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0C3CCA08"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31F3A39"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300961B8"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2F68E7B"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77C4FF30"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B7ED40A"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tcPr>
          <w:p w14:paraId="2B996A5C"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37922663"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7CD76B12"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341DC1" w:rsidRPr="00CE39A1" w14:paraId="0598C978"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24D600F4"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40EF4E02"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Sidewalk width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{"citationID":"PNbDQ0vX","properties":{"formattedCitation":"(City of Edmonton, 2016)","plainCitation":"(City of Edmonton, 2016)","noteIndex":0},"citationItems":[{"id":425,"uris":["http://zotero.org/users/local/dNtV5PxQ/items/9VS2R4X4"],"itemData":{"id":425,"type":"book","abstract":"The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37907380"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BABC7FF"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48245AF3"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5C209E6"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70028C6D"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2CD22391"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14AB2FCB"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655487B"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10CA3FF9"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A04EA28"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6997CAE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7F511AD2"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657EEEFC"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1A32DC3"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7C1F611C"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ADD761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7D093BFB"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64EF947"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7EBE049C"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AC3E37C"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27FAEDFB"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088792B"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6E9D4F4B"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3F7E6EF"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auto"/>
              <w:bottom w:val="single" w:sz="4" w:space="0" w:color="auto"/>
            </w:tcBorders>
          </w:tcPr>
          <w:p w14:paraId="78632DD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0FE3B60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rPr>
            </w:pPr>
          </w:p>
        </w:tc>
        <w:tc>
          <w:tcPr>
            <w:tcW w:w="377" w:type="dxa"/>
            <w:tcBorders>
              <w:top w:val="single" w:sz="4" w:space="0" w:color="auto"/>
              <w:bottom w:val="single" w:sz="4" w:space="0" w:color="auto"/>
            </w:tcBorders>
            <w:noWrap/>
            <w:hideMark/>
          </w:tcPr>
          <w:p w14:paraId="2DCBFC3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r>
      <w:tr w:rsidR="00341DC1" w:rsidRPr="00CE39A1" w14:paraId="7630F1FE"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5175A622"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29734044"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Bike lane width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{"citationID":"Q0AsltgZ","properties":{"formattedCitation":"(City of Edmonton, 2016)","plainCitation":"(City of Edmonton, 2016)","noteIndex":0},"citationItems":[{"id":425,"uris":["http://zotero.org/users/local/dNtV5PxQ/items/9VS2R4X4"],"itemData":{"id":425,"type":"book","abstract":"The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45754958"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F8B8A3D"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674314C2"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3804513"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3AE6A146"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CC5DD30"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0DC33D5A"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615610B"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4D389114"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E227AF2"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5BD33EC0"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21B255D"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767543EA"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BBB4DC4"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2BA2FF18"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720F99D"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3714B0DC"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FD1C3EF"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1D5683C4"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B09A4D0"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5C04724A"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1A15999"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15F71ED2"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46628C5"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tcPr>
          <w:p w14:paraId="1E36D62D"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38C33033"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331CE2AE"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FE41DB" w:rsidRPr="00CE39A1" w14:paraId="0A93D29B"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4EC093BC"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bottom w:val="single" w:sz="4" w:space="0" w:color="auto"/>
              <w:right w:val="single" w:sz="4" w:space="0" w:color="auto"/>
            </w:tcBorders>
            <w:shd w:val="clear" w:color="auto" w:fill="FFFFFF" w:themeFill="background1"/>
            <w:hideMark/>
          </w:tcPr>
          <w:p w14:paraId="4CF073E1"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Aligned curb cuts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{"citationID":"j9UB34J2","properties":{"formattedCitation":"(City of Edmonton, 2016)","plainCitation":"(City of Edmonton, 2016)","noteIndex":0},"citationItems":[{"id":425,"uris":["http://zotero.org/users/local/dNtV5PxQ/items/9VS2R4X4"],"itemData":{"id":425,"type":"book","abstract":"The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000000"/>
            </w:tcBorders>
            <w:noWrap/>
            <w:hideMark/>
          </w:tcPr>
          <w:p w14:paraId="3F9A5DB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left w:val="nil"/>
              <w:bottom w:val="single" w:sz="4" w:space="0" w:color="000000"/>
            </w:tcBorders>
            <w:noWrap/>
            <w:hideMark/>
          </w:tcPr>
          <w:p w14:paraId="200B4E84"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000000"/>
            </w:tcBorders>
            <w:noWrap/>
            <w:hideMark/>
          </w:tcPr>
          <w:p w14:paraId="6CCFE788"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000000"/>
            </w:tcBorders>
            <w:noWrap/>
            <w:hideMark/>
          </w:tcPr>
          <w:p w14:paraId="7EF2347A"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000000"/>
            </w:tcBorders>
            <w:noWrap/>
            <w:hideMark/>
          </w:tcPr>
          <w:p w14:paraId="2CD43810"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000000"/>
            </w:tcBorders>
            <w:noWrap/>
            <w:hideMark/>
          </w:tcPr>
          <w:p w14:paraId="64778E82"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000000"/>
            </w:tcBorders>
            <w:noWrap/>
            <w:hideMark/>
          </w:tcPr>
          <w:p w14:paraId="59A3031E"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000000"/>
            </w:tcBorders>
            <w:noWrap/>
            <w:hideMark/>
          </w:tcPr>
          <w:p w14:paraId="5DBB7355"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000000"/>
            </w:tcBorders>
            <w:noWrap/>
            <w:hideMark/>
          </w:tcPr>
          <w:p w14:paraId="7B44711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000000"/>
            </w:tcBorders>
            <w:noWrap/>
            <w:hideMark/>
          </w:tcPr>
          <w:p w14:paraId="0BB4AC06"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000000"/>
            </w:tcBorders>
            <w:noWrap/>
            <w:hideMark/>
          </w:tcPr>
          <w:p w14:paraId="2D381C1A"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000000"/>
            </w:tcBorders>
            <w:noWrap/>
            <w:hideMark/>
          </w:tcPr>
          <w:p w14:paraId="5C9AD494"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000000"/>
            </w:tcBorders>
            <w:noWrap/>
            <w:hideMark/>
          </w:tcPr>
          <w:p w14:paraId="3ADA286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000000"/>
            </w:tcBorders>
            <w:noWrap/>
            <w:hideMark/>
          </w:tcPr>
          <w:p w14:paraId="5E4BD951"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000000"/>
            </w:tcBorders>
            <w:noWrap/>
            <w:hideMark/>
          </w:tcPr>
          <w:p w14:paraId="1EDCEE97"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000000"/>
            </w:tcBorders>
            <w:noWrap/>
            <w:hideMark/>
          </w:tcPr>
          <w:p w14:paraId="1CB9DB7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000000"/>
            </w:tcBorders>
            <w:noWrap/>
            <w:hideMark/>
          </w:tcPr>
          <w:p w14:paraId="212632F0"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000000"/>
            </w:tcBorders>
            <w:noWrap/>
            <w:hideMark/>
          </w:tcPr>
          <w:p w14:paraId="517CE393"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000000"/>
            </w:tcBorders>
            <w:noWrap/>
            <w:hideMark/>
          </w:tcPr>
          <w:p w14:paraId="3F3355B2"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000000"/>
            </w:tcBorders>
            <w:noWrap/>
            <w:hideMark/>
          </w:tcPr>
          <w:p w14:paraId="2F6B5898"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000000"/>
            </w:tcBorders>
            <w:noWrap/>
            <w:hideMark/>
          </w:tcPr>
          <w:p w14:paraId="44328B45"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000000"/>
            </w:tcBorders>
            <w:noWrap/>
            <w:hideMark/>
          </w:tcPr>
          <w:p w14:paraId="6215BDEA"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000000"/>
            </w:tcBorders>
            <w:noWrap/>
            <w:hideMark/>
          </w:tcPr>
          <w:p w14:paraId="7723B0C4"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000000"/>
            </w:tcBorders>
            <w:noWrap/>
            <w:hideMark/>
          </w:tcPr>
          <w:p w14:paraId="2F414B96"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000000"/>
            </w:tcBorders>
          </w:tcPr>
          <w:p w14:paraId="76FD810C"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000000"/>
            </w:tcBorders>
          </w:tcPr>
          <w:p w14:paraId="764C951A"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000000"/>
            </w:tcBorders>
            <w:noWrap/>
            <w:hideMark/>
          </w:tcPr>
          <w:p w14:paraId="73010E70"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341DC1" w:rsidRPr="00CE39A1" w14:paraId="7320A37B"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shd w:val="clear" w:color="auto" w:fill="54AEAC"/>
            <w:hideMark/>
          </w:tcPr>
          <w:p w14:paraId="640337C8"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right w:val="single" w:sz="4" w:space="0" w:color="auto"/>
            </w:tcBorders>
            <w:shd w:val="clear" w:color="auto" w:fill="FFFFFF" w:themeFill="background1"/>
            <w:hideMark/>
          </w:tcPr>
          <w:p w14:paraId="6A7FEBB0" w14:textId="77777777" w:rsidR="00341DC1" w:rsidRPr="00CE39A1" w:rsidRDefault="00341DC1"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Handrails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{"citationID":"qMAgW7mk","properties":{"formattedCitation":"(City of Edmonton, 2016; Pressman, 1996)","plainCitation":"(City of Edmonton, 2016; Pressman, 1996)","noteIndex":0},"citationItems":[{"id":425,"uris":["http://zotero.org/users/local/dNtV5PxQ/items/9VS2R4X4"],"itemData":{"id":425,"type":"book","abstract":"The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Edmonton"}],"accessed":{"date-parts":[["2023",10,13]]},"issued":{"date-parts":[["2016"]]}}},{"id":351,"uris":["http://zotero.org/users/local/dNtV5PxQ/items/YDMMZT2P"],"itemData":{"id":351,"type":"article-journal","abstract":"Attempts to generate a “climate-responsive” northern urban form are part of a relatively recent phenomenon and field of investigation. In conjunction with the international “winter cities” movement, the need has been established for explicit, systematic inquiry directed toward national and local action to improve the comfort and lifestyles of all northern inhabitants. It is important to recognize that winter-induced discomforts exist and that they must be acknowledged in planning theory and practice. For northern cities to function more satisfactorily, the negative impacts of winter must be reduced while its beneficial characteristics are enhanced. While not all summer activities can or should be abandoned during winter, proper micro-climatic control is essential if human life is to be retained outside. The outdoor season should be extended since so much indoor isolation occurs. The main principles to be incorporated in exemplary “winter city” design should be contact with nature, year-round usability, user participation, cultural continuity, and the creation of comfortable micro-climatic conditions throughout much of the city's open spaces. All valuable sources of inspiration must be harnessed in the attempt to mediate between organic regionalism and internationalism, on the one hand, and romanticism and pragmatic realism, on the other. Creating optimum conditions for human well-being, habitation, work and intellectual development in each of the four seasons is vital under harsh environments. Adopting a climate-sensitive approach to planning policy and urban design can render everyday life less stressful, especially during the lengthy winter periods found in many northern latitude and high altitude settings.","collection-title":"Conference on the Urban Thermal Environment Studies in Tohwa","container-title":"Atmospheric Environment","DOI":"10.1016/1352-2310(95)00012-7","ISSN":"1352-2310","issue":"3","journalAbbreviation":"Atmospheric Environment","page":"521-529","source":"ScienceDirect","title":"Sustainable winter cities: Future directions for planning, policy and design","title-short":"Sustainable winter cities","volume":"30","author":[{"family":"Pressman","given":"Norman E. P."}],"issued":{"date-parts":[["1996",2,1]]}}}],"schema":"https://github.com/citation-style-language/schema/raw/master/csl-citation.json"}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(City of Edmonton, 2016; Pressman, 1996)</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000000"/>
              <w:left w:val="single" w:sz="4" w:space="0" w:color="auto"/>
              <w:bottom w:val="single" w:sz="4" w:space="0" w:color="000000"/>
            </w:tcBorders>
            <w:noWrap/>
            <w:hideMark/>
          </w:tcPr>
          <w:p w14:paraId="4881BEB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347D5A87"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4806B8CC"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44EC3616"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34E3CAE0"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21EAC7E5"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470371D6"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6A32E9D1"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3E40F747"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5D5B3E66"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1075C692"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114F77A7"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30AE066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1F37805F"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2F447AC7"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7126FBF5"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7F9CD3C5"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3E7530D1"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30DE8C55"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64BA5A84"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5C2F5849"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1F5ADCA9"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7BD007B2"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76C442BA"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tcPr>
          <w:p w14:paraId="6240DE9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tcPr>
          <w:p w14:paraId="6DA74A66"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45DE1035"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AB1E01" w:rsidRPr="00CE39A1" w14:paraId="72B25A51" w14:textId="77777777" w:rsidTr="0076348E">
        <w:trPr>
          <w:trHeight w:val="96"/>
        </w:trPr>
        <w:tc>
          <w:tcPr>
            <w:cnfStyle w:val="001000000000" w:firstRow="0" w:lastRow="0" w:firstColumn="1" w:lastColumn="0" w:oddVBand="0" w:evenVBand="0" w:oddHBand="0" w:evenHBand="0" w:firstRowFirstColumn="0" w:firstRowLastColumn="0" w:lastRowFirstColumn="0" w:lastRowLastColumn="0"/>
            <w:tcW w:w="473" w:type="dxa"/>
            <w:vMerge w:val="restart"/>
            <w:tcBorders>
              <w:top w:val="single" w:sz="24" w:space="0" w:color="auto"/>
              <w:right w:val="single" w:sz="4" w:space="0" w:color="auto"/>
            </w:tcBorders>
            <w:shd w:val="clear" w:color="auto" w:fill="FDFCBA"/>
            <w:noWrap/>
            <w:textDirection w:val="btLr"/>
            <w:hideMark/>
          </w:tcPr>
          <w:p w14:paraId="462CAAE8" w14:textId="77777777" w:rsidR="00AB1E01" w:rsidRPr="00CE39A1" w:rsidRDefault="00AB1E01" w:rsidP="0076348E">
            <w:pPr>
              <w:spacing w:line="480" w:lineRule="auto"/>
              <w:jc w:val="center"/>
              <w:rPr>
                <w:rFonts w:ascii="Times New Roman" w:eastAsia="Times New Roman" w:hAnsi="Times New Roman" w:cs="Times New Roman"/>
                <w:b w:val="0"/>
                <w:bCs w:val="0"/>
                <w:caps w:val="0"/>
                <w:color w:val="000000"/>
                <w:sz w:val="24"/>
                <w:szCs w:val="24"/>
                <w:lang w:val="en-CA"/>
              </w:rPr>
            </w:pPr>
            <w:r w:rsidRPr="00CE39A1">
              <w:rPr>
                <w:rFonts w:ascii="Times New Roman" w:eastAsia="Times New Roman" w:hAnsi="Times New Roman" w:cs="Times New Roman"/>
                <w:color w:val="000000"/>
                <w:sz w:val="24"/>
                <w:szCs w:val="24"/>
                <w:lang w:val="en-CA"/>
              </w:rPr>
              <w:t>Season</w:t>
            </w:r>
          </w:p>
          <w:p w14:paraId="3AA55E9F"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58" w:type="dxa"/>
            <w:tcBorders>
              <w:top w:val="single" w:sz="24" w:space="0" w:color="auto"/>
              <w:left w:val="single" w:sz="4" w:space="0" w:color="auto"/>
              <w:bottom w:val="single" w:sz="4" w:space="0" w:color="auto"/>
              <w:right w:val="single" w:sz="4" w:space="0" w:color="auto"/>
            </w:tcBorders>
            <w:shd w:val="clear" w:color="auto" w:fill="FFFFFF" w:themeFill="background1"/>
            <w:hideMark/>
          </w:tcPr>
          <w:p w14:paraId="752BD984"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Summer destinations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{"citationID":"Io67Yshj","properties":{"formattedCitation":"(Cohen et al., 2020; Housing for Health, 2023; Massey et al., 2022; Roemmich &amp; Johnson, 2014)","plainCitation":"(Cohen et al., 2020; Housing for Health, 2023; Massey et al., 2022; Roemmich &amp; Johnson, 2014)","noteIndex":0},"citationItems":[{"id":454,"uris":["http://zotero.org/users/local/dNtV5PxQ/items/QBN4TS55"],"itemData":{"id":454,"type":"article-journal","abstract":"All people need to engage in routine physical activity and children require it daily. Playgrounds are settings designed for children to be physically active, yet there has been little research assessing which play elements and structures are associated with more moderate-to-vigorous physical activity (MVPA) among both youth and adults. We conducted a national study of neighborhood parks with the goal of identifying factors that promote more MVPA. We selected a nationally representative sample of 162 parks between 3 and 22 acres in 25 U.S. cities with a population &gt;100,000. We used direct observation to measure MVPA in 147 playgrounds during spring and summer of 2016, documented playground characteristics and assessed hours of use and MVPA by age group and gender. We analyzed data using descriptive statistics and generalized linear models. The most common play elements and structures were slides and ladders (92% of parks) and swings (81%); elements supporting balancing, crawling, spinning, sand and water play were in &lt;30% of playgrounds. Each additional play element was associated with about 50% more users and 50% more MVPA. Spinning structures and splash pads were associated with more playground use and more MVPA. Playgrounds with signage advertising park programs and on-site restrooms had more person-hours of use, but only half the parks had restrooms and &lt;30% had signage. To address insufficient physical activity, upgrades to playgrounds should include restrooms, structures that support a wide variety of movements, and elements that also encourage adults to be active.","container-title":"Preventive Medicine","DOI":"10.1016/j.ypmed.2019.105945","ISSN":"0091-7435","journalAbbreviation":"Preventive Medicine","page":"105945","source":"ScienceDirect","title":"Playground features and physical activity in U.S. neighborhood parks","volume":"131","author":[{"family":"Cohen","given":"Deborah A."},{"family":"Han","given":"Bing"},{"family":"Williamson","given":"Stephanie"},{"family":"Nagel","given":"Catherine"},{"family":"McKenzie","given":"Thomas L."},{"family":"Evenson","given":"Kelly R."},{"family":"Harnik","given":"Peter"}],"issued":{"date-parts":[["2020",2,1]]}}},{"id":78,"uris":["http://zotero.org/users/local/dNtV5PxQ/items/83773BBS"],"itemData":{"id":78,"type":"report","publisher":"University of Alberta","title":"Healthy Community Guidelines","URL":"https://www.ualberta.ca/department-of-medicine/divisions/preventive-medicine/housing-for-health/healthy-community-guidelines.html","author":[{"literal":"Housing for Health"}],"issued":{"date-parts":[["2023"]]}}},{"id":451,"uris":["http://zotero.org/users/local/dNtV5PxQ/items/WH6CGXGQ"],"itemData":{"id":451,"type":"article-journal","abstract":"Background: Outdoor swimming in lakes, lidos (outdoor pools), rivers, and the sea has grown in popularity in many countries, including the United Kingdom. Many anecdotal accounts indicate improvements in medical conditions, which are considered a consequence of outdoor swimming.\nObjective: The aim of this study is to better understand outdoor swimmers’ perceptions of their health and the extent to which participation impacted their existing self-reported symptoms.\nMethods: A survey was conducted to investigate outdoor swimming behaviors and reports of any diagnosed medical conditions. Medical conditions were coded into categories, and descriptive statistics were generated regarding the outdoor swimmers’ behaviors and the effect that outdoor swimming had on their medical symptoms if any. The medical categories were clustered into five larger categories based on their prevalence in the current sample: mental health; musculoskeletal and injury; neurological; cardiovascular and blood disease; and other, which comprises inflammatory, immune, endocrine, and respiratory conditions.\nResults: In total, 722 outdoor swimmers responded, of whom 498 (68.9%) were female. The probability of outdoor swimming having some positive impact on health across all medical categories was 3.57 times higher compared with no impact (B=1.28, 95% CI 0.63-1.91; P&amp;lt;.001), 44.32 times higher for the mental health category (B=3.79, 95% CI 2.28-5.30; P&amp;lt;.001), 5.25 times higher for musculoskeletal and injury category (B=1.66, 95% CI 0.52-2.79; P=.004), and 4.02 times higher for the other category (B=1.39, 95% CI 0.27-2.51; P=.02). Overall, outdoor swimming was associated with perceived reductions in symptoms of poor mental health (χ22=25.1; P&amp;lt;.001), musculoskeletal and injury (χ22=8.2; P=.04), cardiovascular and blood (χ22=14.7; P=.006), and other conditions (χ22=18.2; P&amp;lt;.001).\nConclusions: Physical activity in the form of outdoor swimming is perceived to have positive impacts on health and is associated with perceived symptom reductions in mental health, musculoskeletal and injury, and cardiovascular and blood conditions. This study cannot provide causal relationships or provide mechanistic insights. However, it does provide a starting point for more targeted prospective intervention research into individual conditions or categories of conditions to establish the impact in those who choose to start outdoor swimming.","container-title":"Interactive Journal of Medical Research","DOI":"10.2196/25589","issue":"1","language":"EN","license":"Unless stated otherwise, all articles are open-access distributed under the terms of the Creative Commons Attribution License (http://creativecommons.org/licenses/by/3.0/), which permits unrestricted use, distribution, and reproduction in any medium, provided the original work (\"first published in the interactive Journal of Medical Research...\") is properly cited with original URL and bibliographic citation information. The complete bibliographic information, a link to the original publication on http://www.i-jmr.org/, as well as this copyright and license information must be included.","note":"Company: Interactive Journal of Medical Research\nDistributor: Interactive Journal of Medical Research\nInstitution: Interactive Journal of Medical Research\nLabel: Interactive Journal of Medical Research\npublisher: JMIR Publications Inc., Toronto, Canada","page":"e25589","source":"i-jmr.org","title":"Perceived Impact of Outdoor Swimming on Health: Web-Based Survey","title-short":"Perceived Impact of Outdoor Swimming on Health","volume":"11","author":[{"family":"Massey","given":"Heather"},{"family":"Gorczynski","given":"Paul"},{"family":"Harper","given":"C. Mark"},{"family":"Sansom","given":"Lisa"},{"family":"McEwan","given":"Kieren"},{"family":"Yankouskaya","given":"Alla"},{"family":"Denton","given":"Hannah"}],"issued":{"date-parts":[["2022",1,4]]}}},{"id":448,"uris":["http://zotero.org/users/local/dNtV5PxQ/items/J944464R"],"itemData":{"id":448,"type":"article-journal","abstract":"Introduction\nPark amenities promote visitation and physical activity during summer. Physical activity declines during winter. Identifying park amenities that promote visitation during winter would increase year-round activity. The purpose of this study was to determine how park visitation, amenity choice, and physical activity intensity change across seasons.\n\nMethods\nPhysical activity intensity of children and adults was assessed at 16 parks in Grand Forks, North Dakota, during summer and fall of 2012, and winter and spring of 2013.\n\nResults\nPark visitation was highest in spring and lowest in winter. Amenity use varied by season. Parks with water splash pads were visited more during summer, and playgrounds and open spaces were visited more during spring. Ice rinks were visited most in winter. Physical activity intensity was lowest in summer and highest in winter for each age group. The activity intensity observed for all young age groups ranged from 2.7 to 2.9 metabolic equivalents in summer and greater than 3 metabolic equivalents in all other seasons. Adults’ mean activity intensity was greater than 3 metabolic equivalents in winter.\n\nConclusion\nInformation on park visitation, amenity use, and activity intensity across seasons is valuable; it can be used when designing or redesigning parks in order to promote year-round physical activity. Redesigning parks in cold climates to include ice rinks, sledding hills, cross-country skiing, and indoor areas for physical activity would increase winter visitation and allow the park to serve as a year-round resource for physical activity.","container-title":"Preventing Chronic Disease","DOI":"10.5888/pcd11.140175","ISSN":"1545-1151","journalAbbreviation":"Prev Chronic Dis","note":"PMID: 25211503\nPMCID: PMC4164037","page":"E155","source":"PubMed Central","title":"Seasonal Alterations in Park Visitation, Amenity Use, and Physical Activity — Grand Forks, North Dakota, 2012–2013","volume":"11","author":[{"family":"Roemmich","given":"James N."},{"family":"Johnson","given":"LuAnn"}],"issued":{"date-parts":[["2014",9,11]]}}}],"schema":"https://github.com/citation-style-language/schema/raw/master/csl-citation.json"}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(Cohen et al., 2020; Housing for Health, 2023; Massey et al., 2022; Roemmich &amp; Johnson, 2014)</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24" w:space="0" w:color="auto"/>
              <w:left w:val="single" w:sz="4" w:space="0" w:color="auto"/>
              <w:bottom w:val="single" w:sz="4" w:space="0" w:color="000000"/>
            </w:tcBorders>
            <w:noWrap/>
            <w:hideMark/>
          </w:tcPr>
          <w:p w14:paraId="2E44A267"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1A17103A"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24" w:space="0" w:color="auto"/>
              <w:bottom w:val="single" w:sz="4" w:space="0" w:color="000000"/>
            </w:tcBorders>
            <w:noWrap/>
            <w:hideMark/>
          </w:tcPr>
          <w:p w14:paraId="01D64D80"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1567E578"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24" w:space="0" w:color="auto"/>
              <w:bottom w:val="single" w:sz="4" w:space="0" w:color="000000"/>
            </w:tcBorders>
            <w:noWrap/>
            <w:hideMark/>
          </w:tcPr>
          <w:p w14:paraId="4DDAE863"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000000"/>
            </w:tcBorders>
            <w:noWrap/>
            <w:hideMark/>
          </w:tcPr>
          <w:p w14:paraId="62120CDB"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24" w:space="0" w:color="auto"/>
              <w:bottom w:val="single" w:sz="4" w:space="0" w:color="000000"/>
            </w:tcBorders>
            <w:noWrap/>
            <w:hideMark/>
          </w:tcPr>
          <w:p w14:paraId="6984272A"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0DDF6EE5"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24" w:space="0" w:color="auto"/>
              <w:bottom w:val="single" w:sz="4" w:space="0" w:color="000000"/>
            </w:tcBorders>
            <w:noWrap/>
            <w:hideMark/>
          </w:tcPr>
          <w:p w14:paraId="4FAE0B9A"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62FFE690"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24" w:space="0" w:color="auto"/>
              <w:bottom w:val="single" w:sz="4" w:space="0" w:color="000000"/>
            </w:tcBorders>
            <w:noWrap/>
            <w:hideMark/>
          </w:tcPr>
          <w:p w14:paraId="0E3D176E"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000000"/>
            </w:tcBorders>
            <w:noWrap/>
            <w:hideMark/>
          </w:tcPr>
          <w:p w14:paraId="58B886C4"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24" w:space="0" w:color="auto"/>
              <w:bottom w:val="single" w:sz="4" w:space="0" w:color="000000"/>
            </w:tcBorders>
            <w:noWrap/>
            <w:hideMark/>
          </w:tcPr>
          <w:p w14:paraId="3A16E2B2"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000000"/>
            </w:tcBorders>
            <w:noWrap/>
            <w:hideMark/>
          </w:tcPr>
          <w:p w14:paraId="1B03AA2C"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24" w:space="0" w:color="auto"/>
              <w:bottom w:val="single" w:sz="4" w:space="0" w:color="000000"/>
            </w:tcBorders>
            <w:noWrap/>
            <w:hideMark/>
          </w:tcPr>
          <w:p w14:paraId="76A415D9"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0FE72B0F"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24" w:space="0" w:color="auto"/>
              <w:bottom w:val="single" w:sz="4" w:space="0" w:color="000000"/>
            </w:tcBorders>
            <w:noWrap/>
            <w:hideMark/>
          </w:tcPr>
          <w:p w14:paraId="326B906D"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6390855B"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24" w:space="0" w:color="auto"/>
              <w:bottom w:val="single" w:sz="4" w:space="0" w:color="000000"/>
            </w:tcBorders>
            <w:noWrap/>
            <w:hideMark/>
          </w:tcPr>
          <w:p w14:paraId="3A58D325"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000000"/>
            </w:tcBorders>
            <w:noWrap/>
            <w:hideMark/>
          </w:tcPr>
          <w:p w14:paraId="7CA8F92C"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24" w:space="0" w:color="auto"/>
              <w:bottom w:val="single" w:sz="4" w:space="0" w:color="000000"/>
            </w:tcBorders>
            <w:noWrap/>
            <w:hideMark/>
          </w:tcPr>
          <w:p w14:paraId="796BF8CE"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3E34DF5D"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24" w:space="0" w:color="auto"/>
              <w:bottom w:val="single" w:sz="4" w:space="0" w:color="000000"/>
            </w:tcBorders>
            <w:noWrap/>
            <w:hideMark/>
          </w:tcPr>
          <w:p w14:paraId="0D69B540"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2B5B1026"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24" w:space="0" w:color="auto"/>
              <w:bottom w:val="single" w:sz="4" w:space="0" w:color="000000"/>
            </w:tcBorders>
          </w:tcPr>
          <w:p w14:paraId="5F87489C"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000000"/>
            </w:tcBorders>
          </w:tcPr>
          <w:p w14:paraId="63F97B76"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24" w:space="0" w:color="auto"/>
              <w:bottom w:val="single" w:sz="4" w:space="0" w:color="000000"/>
            </w:tcBorders>
            <w:noWrap/>
            <w:hideMark/>
          </w:tcPr>
          <w:p w14:paraId="75024231"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r>
      <w:tr w:rsidR="00AB1E01" w:rsidRPr="00CE39A1" w14:paraId="1DA7BC97" w14:textId="77777777" w:rsidTr="0076348E">
        <w:trPr>
          <w:trHeight w:val="96"/>
        </w:trPr>
        <w:tc>
          <w:tcPr>
            <w:cnfStyle w:val="001000000000" w:firstRow="0" w:lastRow="0" w:firstColumn="1" w:lastColumn="0" w:oddVBand="0" w:evenVBand="0" w:oddHBand="0" w:evenHBand="0" w:firstRowFirstColumn="0" w:firstRowLastColumn="0" w:lastRowFirstColumn="0" w:lastRowLastColumn="0"/>
            <w:tcW w:w="473" w:type="dxa"/>
            <w:vMerge/>
            <w:tcBorders>
              <w:right w:val="single" w:sz="4" w:space="0" w:color="auto"/>
            </w:tcBorders>
            <w:shd w:val="clear" w:color="auto" w:fill="FDFCBA"/>
            <w:hideMark/>
          </w:tcPr>
          <w:p w14:paraId="3F3FD3D5"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0EAE5658" w14:textId="77777777" w:rsidR="00AB1E01" w:rsidRPr="00CE39A1" w:rsidRDefault="00AB1E01"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Winter destinations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{"citationID":"iMuCVgfk","properties":{"formattedCitation":"(City of Edmonton, 2016; Pressman, 1996; Roemmich &amp; Johnson, 2014)","plainCitation":"(City of Edmonton, 2016; Pressman, 1996; Roemmich &amp; Johnson, 2014)","noteIndex":0},"citationItems":[{"id":425,"uris":["http://zotero.org/users/local/dNtV5PxQ/items/9VS2R4X4"],"itemData":{"id":425,"type":"book","abstract":"The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Edmonton"}],"accessed":{"date-parts":[["2023",10,13]]},"issued":{"date-parts":[["2016"]]}}},{"id":351,"uris":["http://zotero.org/users/local/dNtV5PxQ/items/YDMMZT2P"],"itemData":{"id":351,"type":"article-journal","abstract":"Attempts to generate a “climate-responsive” northern urban form are part of a relatively recent phenomenon and field of investigation. In conjunction with the international “winter cities” movement, the need has been established for explicit, systematic inquiry directed toward national and local action to improve the comfort and lifestyles of all northern inhabitants. It is important to recognize that winter-induced discomforts exist and that they must be acknowledged in planning theory and practice. For northern cities to function more satisfactorily, the negative impacts of winter must be reduced while its beneficial characteristics are enhanced. While not all summer activities can or should be abandoned during winter, proper micro-climatic control is essential if human life is to be retained outside. The outdoor season should be extended since so much indoor isolation occurs. The main principles to be incorporated in exemplary “winter city” design should be contact with nature, year-round usability, user participation, cultural continuity, and the creation of comfortable micro-climatic conditions throughout much of the city's open spaces. All valuable sources of inspiration must be harnessed in the attempt to mediate between organic regionalism and internationalism, on the one hand, and romanticism and pragmatic realism, on the other. Creating optimum conditions for human well-being, habitation, work and intellectual development in each of the four seasons is vital under harsh environments. Adopting a climate-sensitive approach to planning policy and urban design can render everyday life less stressful, especially during the lengthy winter periods found in many northern latitude and high altitude settings.","collection-title":"Conference on the Urban Thermal Environment Studies in Tohwa","container-title":"Atmospheric Environment","DOI":"10.1016/1352-2310(95)00012-7","ISSN":"1352-2310","issue":"3","journalAbbreviation":"Atmospheric Environment","page":"521-529","source":"ScienceDirect","title":"Sustainable winter cities: Future directions for planning, policy and design","title-short":"Sustainable winter cities","volume":"30","author":[{"family":"Pressman","given":"Norman E. P."}],"issued":{"date-parts":[["1996",2,1]]}}},{"id":448,"uris":["http://zotero.org/users/local/dNtV5PxQ/items/J944464R"],"itemData":{"id":448,"type":"article-journal","abstract":"Introduction\nPark amenities promote visitation and physical activity during summer. Physical activity declines during winter. Identifying park amenities that promote visitation during winter would increase year-round activity. The purpose of this study was to determine how park visitation, amenity choice, and physical activity intensity change across seasons.\n\nMethods\nPhysical activity intensity of children and adults was assessed at 16 parks in Grand Forks, North Dakota, during summer and fall of 2012, and winter and spring of 2013.\n\nResults\nPark visitation was highest in spring and lowest in winter. Amenity use varied by season. Parks with water splash pads were visited more during summer, and playgrounds and open spaces were visited more during spring. Ice rinks were visited most in winter. Physical activity intensity was lowest in summer and highest in winter for each age group. The activity intensity observed for all young age groups ranged from 2.7 to 2.9 metabolic equivalents in summer and greater than 3 metabolic equivalents in all other seasons. Adults’ mean activity intensity was greater than 3 metabolic equivalents in winter.\n\nConclusion\nInformation on park visitation, amenity use, and activity intensity across seasons is valuable; it can be used when designing or redesigning parks in order to promote year-round physical activity. Redesigning parks in cold climates to include ice rinks, sledding hills, cross-country skiing, and indoor areas for physical activity would increase winter visitation and allow the park to serve as a year-round resource for physical activity.","container-title":"Preventing Chronic Disease","DOI":"10.5888/pcd11.140175","ISSN":"1545-1151","journalAbbreviation":"Prev Chronic Dis","note":"PMID: 25211503\nPMCID: PMC4164037","page":"E155","source":"PubMed Central","title":"Seasonal Alterations in Park Visitation, Amenity Use, and Physical Activity — Grand Forks, North Dakota, 2012–2013","volume":"11","author":[{"family":"Roemmich","given":"James N."},{"family":"Johnson","given":"LuAnn"}],"issued":{"date-parts":[["2014",9,11]]}}}],"schema":"https://github.com/citation-style-language/schema/raw/master/csl-citation.json"}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(City of Edmonton, 2016; Pressman, 1996; Roemmich &amp; Johnson, 2014)</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000000"/>
              <w:left w:val="single" w:sz="4" w:space="0" w:color="auto"/>
              <w:bottom w:val="single" w:sz="4" w:space="0" w:color="000000"/>
            </w:tcBorders>
            <w:noWrap/>
            <w:hideMark/>
          </w:tcPr>
          <w:p w14:paraId="513317C7"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302414C5"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733D9D7C"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1DCF88AC"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3DBAF43E"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4838CC7C"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46098258"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75DA46E0"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51DE0891"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4DFB92FE"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4742FED4"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7036DBB6"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0397C703"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70BA7529"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3C2D9324"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3B729FA0"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376284E8"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59919292"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40B0C028"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57C8A58E"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47842F6C"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351C1F39"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12E69125"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325AFE33"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tcPr>
          <w:p w14:paraId="67D6C87C"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tcPr>
          <w:p w14:paraId="35D634B5"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75B0E0A9"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AB1E01" w:rsidRPr="00CE39A1" w14:paraId="2A6F56F2" w14:textId="77777777" w:rsidTr="0076348E">
        <w:trPr>
          <w:trHeight w:val="96"/>
        </w:trPr>
        <w:tc>
          <w:tcPr>
            <w:cnfStyle w:val="001000000000" w:firstRow="0" w:lastRow="0" w:firstColumn="1" w:lastColumn="0" w:oddVBand="0" w:evenVBand="0" w:oddHBand="0" w:evenHBand="0" w:firstRowFirstColumn="0" w:firstRowLastColumn="0" w:lastRowFirstColumn="0" w:lastRowLastColumn="0"/>
            <w:tcW w:w="473" w:type="dxa"/>
            <w:vMerge/>
            <w:tcBorders>
              <w:right w:val="single" w:sz="4" w:space="0" w:color="auto"/>
            </w:tcBorders>
            <w:shd w:val="clear" w:color="auto" w:fill="FDFCBA"/>
            <w:hideMark/>
          </w:tcPr>
          <w:p w14:paraId="46FAB6CF"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1B4407C1" w14:textId="77777777" w:rsidR="00AB1E01" w:rsidRPr="00CE39A1" w:rsidRDefault="00AB1E01"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Winter aesthetics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{"citationID":"h3sNaE9C","properties":{"formattedCitation":"(City of Edmonton, 2016; Paukaeva et al., 2021; Pressman, 1996)","plainCitation":"(City of Edmonton, 2016; Paukaeva et al., 2021; Pressman, 1996)","noteIndex":0},"citationItems":[{"id":425,"uris":["http://zotero.org/users/local/dNtV5PxQ/items/9VS2R4X4"],"itemData":{"id":425,"type":"book","abstract":"The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Edmonton"}],"accessed":{"date-parts":[["2023",10,13]]},"issued":{"date-parts":[["2016"]]}}},{"id":421,"uris":["http://zotero.org/users/local/dNtV5PxQ/items/DDPGXRB9"],"itemData":{"id":421,"type":"article-journal","abstract":"In this case study of Lenin Square in the center of the city of Khabarovsk, field observations were made followed by behavior mapping to compare the spatial patterns of the users before and after a small-scale design intervention as a winter event. The impact of the event on people's activity was clarified, and the relation between temporary design and permanent design was highlighted, with considerations emerging for the design of public open spaces appropriate for event interventions. The results show that during the temporary design period, the number of activities involving people in the city square increased by 40% during the day and 60% in the evening. It was also shown that each user took an 20 to 30 m longer route. The results of this study highlight the importance of employing and including temporary design in future urban design and planning projects, especially in winter cities, to optimize the placerelated attendance and activity of the residents.","container-title":"Cities","DOI":"10.1016/j.cities.2021.103303","ISSN":"0264-2751","journalAbbreviation":"Cities","page":"103303","source":"ScienceDirect","title":"Impacts of the temporary urban design on the people's behavior - The case study on the winter city Khabarovsk, Russia","volume":"117","author":[{"family":"Paukaeva","given":"Anastasiia Andreevna"},{"family":"Setoguchi","given":"Tsuyoshi"},{"family":"Luchkova","given":"Vera Ivanovna"},{"family":"Watanabe","given":"Norihiro"},{"family":"Sato","given":"Hayato"}],"issued":{"date-parts":[["2021",10,1]]}}},{"id":351,"uris":["http://zotero.org/users/local/dNtV5PxQ/items/YDMMZT2P"],"itemData":{"id":351,"type":"article-journal","abstract":"Attempts to generate a “climate-responsive” northern urban form are part of a relatively recent phenomenon and field of investigation. In conjunction with the international “winter cities” movement, the need has been established for explicit, systematic inquiry directed toward national and local action to improve the comfort and lifestyles of all northern inhabitants. It is important to recognize that winter-induced discomforts exist and that they must be acknowledged in planning theory and practice. For northern cities to function more satisfactorily, the negative impacts of winter must be reduced while its beneficial characteristics are enhanced. While not all summer activities can or should be abandoned during winter, proper micro-climatic control is essential if human life is to be retained outside. The outdoor season should be extended since so much indoor isolation occurs. The main principles to be incorporated in exemplary “winter city” design should be contact with nature, year-round usability, user participation, cultural continuity, and the creation of comfortable micro-climatic conditions throughout much of the city's open spaces. All valuable sources of inspiration must be harnessed in the attempt to mediate between organic regionalism and internationalism, on the one hand, and romanticism and pragmatic realism, on the other. Creating optimum conditions for human well-being, habitation, work and intellectual development in each of the four seasons is vital under harsh environments. Adopting a climate-sensitive approach to planning policy and urban design can render everyday life less stressful, especially during the lengthy winter periods found in many northern latitude and high altitude settings.","collection-title":"Conference on the Urban Thermal Environment Studies in Tohwa","container-title":"Atmospheric Environment","DOI":"10.1016/1352-2310(95)00012-7","ISSN":"1352-2310","issue":"3","journalAbbreviation":"Atmospheric Environment","page":"521-529","source":"ScienceDirect","title":"Sustainable winter cities: Future directions for planning, policy and design","title-short":"Sustainable winter cities","volume":"30","author":[{"family":"Pressman","given":"Norman E. P."}],"issued":{"date-parts":[["1996",2,1]]}}}],"schema":"https://github.com/citation-style-language/schema/raw/master/csl-citation.json"}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(City of Edmonton, 2016; Paukaeva et al., 2021; Pressman, 1996)</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000000"/>
              <w:left w:val="single" w:sz="4" w:space="0" w:color="auto"/>
              <w:bottom w:val="single" w:sz="4" w:space="0" w:color="000000"/>
            </w:tcBorders>
            <w:noWrap/>
            <w:hideMark/>
          </w:tcPr>
          <w:p w14:paraId="1BEA47D0"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05D1C218"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5B0FC9CA"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07BD37A2"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010BEEE3"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41D8344F"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1E5B9D3C"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3BABC044"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46FBD6C1"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466A9316"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01999F31"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7D7CD95D"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39ABB854"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0BCB30FB"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0D22C515"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09EF7D71"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43ABFE1D"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384082DD"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1DE93A72"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1773D8F2"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525671DD"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595AFCBB"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129E7CC9"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6525DF3E"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tcPr>
          <w:p w14:paraId="78F23E83"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tcPr>
          <w:p w14:paraId="00552480"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5D65EE2F"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AB1E01" w:rsidRPr="00CE39A1" w14:paraId="14621CF3" w14:textId="77777777" w:rsidTr="0076348E">
        <w:trPr>
          <w:trHeight w:val="96"/>
        </w:trPr>
        <w:tc>
          <w:tcPr>
            <w:cnfStyle w:val="001000000000" w:firstRow="0" w:lastRow="0" w:firstColumn="1" w:lastColumn="0" w:oddVBand="0" w:evenVBand="0" w:oddHBand="0" w:evenHBand="0" w:firstRowFirstColumn="0" w:firstRowLastColumn="0" w:lastRowFirstColumn="0" w:lastRowLastColumn="0"/>
            <w:tcW w:w="473" w:type="dxa"/>
            <w:vMerge/>
            <w:tcBorders>
              <w:right w:val="single" w:sz="4" w:space="0" w:color="auto"/>
            </w:tcBorders>
            <w:shd w:val="clear" w:color="auto" w:fill="FDFCBA"/>
            <w:hideMark/>
          </w:tcPr>
          <w:p w14:paraId="0C6749EC"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718BAB90"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Seasonal amenities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{"citationID":"Hgflkzvk","properties":{"formattedCitation":"(City of Edmonton, 2016; Housing for Health, 2023; Pressman, 1996)","plainCitation":"(City of Edmonton, 2016; Housing for Health, 2023; Pressman, 1996)","noteIndex":0},"citationItems":[{"id":425,"uris":["http://zotero.org/users/local/dNtV5PxQ/items/9VS2R4X4"],"itemData":{"id":425,"type":"book","abstract":"The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Edmonton"}],"accessed":{"date-parts":[["2023",10,13]]},"issued":{"date-parts":[["2016"]]}}},{"id":78,"uris":["http://zotero.org/users/local/dNtV5PxQ/items/83773BBS"],"itemData":{"id":78,"type":"report","publisher":"University of Alberta","title":"Healthy Community Guidelines","URL":"https://www.ualberta.ca/department-of-medicine/divisions/preventive-medicine/housing-for-health/healthy-community-guidelines.html","author":[{"literal":"Housing for Health"}],"issued":{"date-parts":[["2023"]]}}},{"id":351,"uris":["http://zotero.org/users/local/dNtV5PxQ/items/YDMMZT2P"],"itemData":{"id":351,"type":"article-journal","abstract":"Attempts to generate a “climate-responsive” northern urban form are part of a relatively recent phenomenon and field of investigation. In conjunction with the international “winter cities” movement, the need has been established for explicit, systematic inquiry directed toward national and local action to improve the comfort and lifestyles of all northern inhabitants. It is important to recognize that winter-induced discomforts exist and that they must be acknowledged in planning theory and practice. For northern cities to function more satisfactorily, the negative impacts of winter must be reduced while its beneficial characteristics are enhanced. While not all summer activities can or should be abandoned during winter, proper micro-climatic control is essential if human life is to be retained outside. The outdoor season should be extended since so much indoor isolation occurs. The main principles to be incorporated in exemplary “winter city” design should be contact with nature, year-round usability, user participation, cultural continuity, and the creation of comfortable micro-climatic conditions throughout much of the city's open spaces. All valuable sources of inspiration must be harnessed in the attempt to mediate between organic regionalism and internationalism, on the one hand, and romanticism and pragmatic realism, on the other. Creating optimum conditions for human well-being, habitation, work and intellectual development in each of the four seasons is vital under harsh environments. Adopting a climate-sensitive approach to planning policy and urban design can render everyday life less stressful, especially during the lengthy winter periods found in many northern latitude and high altitude settings.","collection-title":"Conference on the Urban Thermal Environment Studies in Tohwa","container-title":"Atmospheric Environment","DOI":"10.1016/1352-2310(95)00012-7","ISSN":"1352-2310","issue":"3","journalAbbreviation":"Atmospheric Environment","page":"521-529","source":"ScienceDirect","title":"Sustainable winter cities: Future directions for planning, policy and design","title-short":"Sustainable winter cities","volume":"30","author":[{"family":"Pressman","given":"Norman E. P."}],"issued":{"date-parts":[["1996",2,1]]}}}],"schema":"https://github.com/citation-style-language/schema/raw/master/csl-citation.json"}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 Housing for Health, 2023; Pressman, 1996)</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000000"/>
              <w:left w:val="single" w:sz="4" w:space="0" w:color="auto"/>
              <w:bottom w:val="single" w:sz="4" w:space="0" w:color="000000"/>
            </w:tcBorders>
            <w:noWrap/>
            <w:hideMark/>
          </w:tcPr>
          <w:p w14:paraId="1641A26F"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6F013E2F"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1DBB8451"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3DCFD8FD"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69C43946"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27D62AB1"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5E30903B"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081A0FAA"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6AD79345"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6B39A5D7"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1D9C18FA"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0876E9A5"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54EE029B"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49E6DFD5"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3925BAF5"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778214E7"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5468E232"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56BA70CE"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4986641B"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43BB2E69"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7EF03A5F"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60FC529C"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4AFA0D80"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75E4D7BD"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tcPr>
          <w:p w14:paraId="6735719B"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tcPr>
          <w:p w14:paraId="08544292"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238A86CD"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r>
      <w:tr w:rsidR="00AB1E01" w:rsidRPr="00CE39A1" w14:paraId="60D4C7B9"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tcBorders>
              <w:right w:val="single" w:sz="4" w:space="0" w:color="auto"/>
            </w:tcBorders>
            <w:shd w:val="clear" w:color="auto" w:fill="FDFCBA"/>
            <w:hideMark/>
          </w:tcPr>
          <w:p w14:paraId="12FD4BC7"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left w:val="single" w:sz="4" w:space="0" w:color="auto"/>
              <w:bottom w:val="single" w:sz="4" w:space="0" w:color="000000"/>
              <w:right w:val="single" w:sz="4" w:space="0" w:color="auto"/>
            </w:tcBorders>
            <w:shd w:val="clear" w:color="auto" w:fill="FFFFFF" w:themeFill="background1"/>
            <w:hideMark/>
          </w:tcPr>
          <w:p w14:paraId="1A50DF4C"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Lighting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{"citationID":"6E3fuiLs","properties":{"formattedCitation":"(City of Edmonton, 2016; Life Between Umbrellas, 2019; Pressman, 1996)","plainCitation":"(City of Edmonton, 2016; Life Between Umbrellas, 2019; Pressman, 1996)","noteIndex":0},"citationItems":[{"id":425,"uris":["http://zotero.org/users/local/dNtV5PxQ/items/9VS2R4X4"],"itemData":{"id":425,"type":"book","abstract":"The strategies and actions will provide guidance across the city - from streets to buildings to public spaces - during the planning and design stages of development and redevelopment.","event-place":"Edmonton","language":"en","publisher":"City of Edmonton","publisher-place":"Edmonton","title":"Winter Design Guidelines","URL":"https://www.edmonton.ca/city_government/initiatives_innovation/winter-design-guidelines","author":[{"literal":"City of Edmonton"}],"accessed":{"date-parts":[["2023",10,13]]},"issued":{"date-parts":[["2016"]]}}},{"id":442,"uris":["http://zotero.org/users/local/dNtV5PxQ/items/NC73SERY"],"itemData":{"id":442,"type":"report","abstract":"Over the past year, the VPSN held a number of events around Vancouver. We used these events to ask people about their ideas and aspirations for rain-friendly public spaces","language":"en-US","publisher":"City of Vancouver","title":"Rain Friendly Principles","URL":"https://www.lifebetweenumbrellas.ca/rain-friendly-principles","author":[{"literal":"Life Between Umbrellas"}],"accessed":{"date-parts":[["2023",10,16]]},"issued":{"date-parts":[["2019"]]}}},{"id":351,"uris":["http://zotero.org/users/local/dNtV5PxQ/items/YDMMZT2P"],"itemData":{"id":351,"type":"article-journal","abstract":"Attempts to generate a “climate-responsive” northern urban form are part of a relatively recent phenomenon and field of investigation. In conjunction with the international “winter cities” movement, the need has been established for explicit, systematic inquiry directed toward national and local action to improve the comfort and lifestyles of all northern inhabitants. It is important to recognize that winter-induced discomforts exist and that they must be acknowledged in planning theory and practice. For northern cities to function more satisfactorily, the negative impacts of winter must be reduced while its beneficial characteristics are enhanced. While not all summer activities can or should be abandoned during winter, proper micro-climatic control is essential if human life is to be retained outside. The outdoor season should be extended since so much indoor isolation occurs. The main principles to be incorporated in exemplary “winter city” design should be contact with nature, year-round usability, user participation, cultural continuity, and the creation of comfortable micro-climatic conditions throughout much of the city's open spaces. All valuable sources of inspiration must be harnessed in the attempt to mediate between organic regionalism and internationalism, on the one hand, and romanticism and pragmatic realism, on the other. Creating optimum conditions for human well-being, habitation, work and intellectual development in each of the four seasons is vital under harsh environments. Adopting a climate-sensitive approach to planning policy and urban design can render everyday life less stressful, especially during the lengthy winter periods found in many northern latitude and high altitude settings.","collection-title":"Conference on the Urban Thermal Environment Studies in Tohwa","container-title":"Atmospheric Environment","DOI":"10.1016/1352-2310(95)00012-7","ISSN":"1352-2310","issue":"3","journalAbbreviation":"Atmospheric Environment","page":"521-529","source":"ScienceDirect","title":"Sustainable winter cities: Future directions for planning, policy and design","title-short":"Sustainable winter cities","volume":"30","author":[{"family":"Pressman","given":"Norman E. P."}],"issued":{"date-parts":[["1996",2,1]]}}}],"schema":"https://github.com/citation-style-language/schema/raw/master/csl-citation.json"}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(City of Edmonton, 2016; Life Between Umbrellas, 2019; Pressman, 1996)</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000000"/>
              <w:left w:val="single" w:sz="4" w:space="0" w:color="auto"/>
              <w:bottom w:val="single" w:sz="4" w:space="0" w:color="000000"/>
            </w:tcBorders>
            <w:noWrap/>
            <w:hideMark/>
          </w:tcPr>
          <w:p w14:paraId="2B931D75"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45DDE9D8"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000000"/>
              <w:bottom w:val="single" w:sz="4" w:space="0" w:color="000000"/>
            </w:tcBorders>
            <w:noWrap/>
            <w:hideMark/>
          </w:tcPr>
          <w:p w14:paraId="6D60E33A"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38FA0728"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000000"/>
              <w:bottom w:val="single" w:sz="4" w:space="0" w:color="000000"/>
            </w:tcBorders>
            <w:noWrap/>
            <w:hideMark/>
          </w:tcPr>
          <w:p w14:paraId="6AF15056"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46A3E608"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000000"/>
              <w:bottom w:val="single" w:sz="4" w:space="0" w:color="000000"/>
            </w:tcBorders>
            <w:noWrap/>
            <w:hideMark/>
          </w:tcPr>
          <w:p w14:paraId="18BCA53D"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181BD0F5"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000000"/>
              <w:bottom w:val="single" w:sz="4" w:space="0" w:color="000000"/>
            </w:tcBorders>
            <w:noWrap/>
            <w:hideMark/>
          </w:tcPr>
          <w:p w14:paraId="7E2BF887"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77EA55B7"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000000"/>
            </w:tcBorders>
            <w:noWrap/>
            <w:hideMark/>
          </w:tcPr>
          <w:p w14:paraId="73E7454A"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0A5A12CF"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000000"/>
              <w:bottom w:val="single" w:sz="4" w:space="0" w:color="000000"/>
            </w:tcBorders>
            <w:noWrap/>
            <w:hideMark/>
          </w:tcPr>
          <w:p w14:paraId="3C904A78"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0685AB13"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000000"/>
              <w:bottom w:val="single" w:sz="4" w:space="0" w:color="000000"/>
            </w:tcBorders>
            <w:noWrap/>
            <w:hideMark/>
          </w:tcPr>
          <w:p w14:paraId="5100A456"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20AD4612"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000000"/>
              <w:bottom w:val="single" w:sz="4" w:space="0" w:color="000000"/>
            </w:tcBorders>
            <w:noWrap/>
            <w:hideMark/>
          </w:tcPr>
          <w:p w14:paraId="3265D750"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0801E970"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000000"/>
              <w:bottom w:val="single" w:sz="4" w:space="0" w:color="000000"/>
            </w:tcBorders>
            <w:noWrap/>
            <w:hideMark/>
          </w:tcPr>
          <w:p w14:paraId="4C652B34"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noWrap/>
            <w:hideMark/>
          </w:tcPr>
          <w:p w14:paraId="60374899"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000000"/>
              <w:bottom w:val="single" w:sz="4" w:space="0" w:color="000000"/>
            </w:tcBorders>
            <w:noWrap/>
            <w:hideMark/>
          </w:tcPr>
          <w:p w14:paraId="43E90633"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5D9FAC97"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000000"/>
            </w:tcBorders>
            <w:noWrap/>
            <w:hideMark/>
          </w:tcPr>
          <w:p w14:paraId="51AD036E"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000000"/>
            </w:tcBorders>
            <w:noWrap/>
            <w:hideMark/>
          </w:tcPr>
          <w:p w14:paraId="75698659"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000000"/>
              <w:bottom w:val="single" w:sz="4" w:space="0" w:color="000000"/>
            </w:tcBorders>
          </w:tcPr>
          <w:p w14:paraId="6C53FA0B"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000000"/>
            </w:tcBorders>
          </w:tcPr>
          <w:p w14:paraId="6CAC5F9F"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000000"/>
              <w:bottom w:val="single" w:sz="4" w:space="0" w:color="000000"/>
            </w:tcBorders>
            <w:noWrap/>
            <w:hideMark/>
          </w:tcPr>
          <w:p w14:paraId="2BDD38B2"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r>
      <w:tr w:rsidR="00AB1E01" w:rsidRPr="00CE39A1" w14:paraId="318534D3"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tcBorders>
              <w:bottom w:val="single" w:sz="24" w:space="0" w:color="auto"/>
              <w:right w:val="single" w:sz="4" w:space="0" w:color="auto"/>
            </w:tcBorders>
            <w:shd w:val="clear" w:color="auto" w:fill="FDFCBA"/>
            <w:noWrap/>
            <w:textDirection w:val="btLr"/>
            <w:hideMark/>
          </w:tcPr>
          <w:p w14:paraId="5DFEF3D9"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000000"/>
              <w:left w:val="single" w:sz="4" w:space="0" w:color="auto"/>
              <w:bottom w:val="single" w:sz="24" w:space="0" w:color="auto"/>
              <w:right w:val="single" w:sz="4" w:space="0" w:color="auto"/>
            </w:tcBorders>
            <w:shd w:val="clear" w:color="auto" w:fill="FFFFFF" w:themeFill="background1"/>
            <w:hideMark/>
          </w:tcPr>
          <w:p w14:paraId="18DDBE66" w14:textId="77777777" w:rsidR="00AB1E01" w:rsidRPr="00CE39A1" w:rsidRDefault="00AB1E0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Pedestrian scale lighting (</w:t>
            </w:r>
            <w:r w:rsidRPr="00CE39A1">
              <w:rPr>
                <w:rFonts w:ascii="Times New Roman" w:eastAsia="Times New Roman" w:hAnsi="Times New Roman" w:cs="Times New Roman"/>
                <w:noProof/>
                <w:color w:val="000000"/>
                <w:sz w:val="24"/>
                <w:szCs w:val="24"/>
                <w:lang w:val="en-CA"/>
              </w:rPr>
              <w:t>City of Edmonton, 2016; Life Between Umbrellas, 2019; Pressman, 1996)</w:t>
            </w:r>
          </w:p>
        </w:tc>
        <w:tc>
          <w:tcPr>
            <w:tcW w:w="376" w:type="dxa"/>
            <w:tcBorders>
              <w:top w:val="single" w:sz="4" w:space="0" w:color="000000"/>
              <w:left w:val="single" w:sz="4" w:space="0" w:color="auto"/>
              <w:bottom w:val="single" w:sz="24" w:space="0" w:color="auto"/>
            </w:tcBorders>
            <w:noWrap/>
            <w:hideMark/>
          </w:tcPr>
          <w:p w14:paraId="0DDE1E7B"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24" w:space="0" w:color="auto"/>
            </w:tcBorders>
            <w:noWrap/>
            <w:hideMark/>
          </w:tcPr>
          <w:p w14:paraId="1D441CD8"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24" w:space="0" w:color="auto"/>
            </w:tcBorders>
            <w:noWrap/>
            <w:hideMark/>
          </w:tcPr>
          <w:p w14:paraId="59133ADF"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24" w:space="0" w:color="auto"/>
            </w:tcBorders>
            <w:noWrap/>
            <w:hideMark/>
          </w:tcPr>
          <w:p w14:paraId="51C663E3"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24" w:space="0" w:color="auto"/>
            </w:tcBorders>
            <w:noWrap/>
            <w:hideMark/>
          </w:tcPr>
          <w:p w14:paraId="42F2E45D"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24" w:space="0" w:color="auto"/>
            </w:tcBorders>
            <w:noWrap/>
            <w:hideMark/>
          </w:tcPr>
          <w:p w14:paraId="7B2FA903"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24" w:space="0" w:color="auto"/>
            </w:tcBorders>
            <w:noWrap/>
            <w:hideMark/>
          </w:tcPr>
          <w:p w14:paraId="6E73C123"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24" w:space="0" w:color="auto"/>
            </w:tcBorders>
            <w:noWrap/>
            <w:hideMark/>
          </w:tcPr>
          <w:p w14:paraId="69C54F07"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24" w:space="0" w:color="auto"/>
            </w:tcBorders>
            <w:noWrap/>
            <w:hideMark/>
          </w:tcPr>
          <w:p w14:paraId="5175AE5C"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24" w:space="0" w:color="auto"/>
            </w:tcBorders>
            <w:noWrap/>
            <w:hideMark/>
          </w:tcPr>
          <w:p w14:paraId="2AAEF210"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24" w:space="0" w:color="auto"/>
            </w:tcBorders>
            <w:noWrap/>
            <w:hideMark/>
          </w:tcPr>
          <w:p w14:paraId="14892635"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24" w:space="0" w:color="auto"/>
            </w:tcBorders>
            <w:noWrap/>
            <w:hideMark/>
          </w:tcPr>
          <w:p w14:paraId="6C8B8349"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24" w:space="0" w:color="auto"/>
            </w:tcBorders>
            <w:noWrap/>
            <w:hideMark/>
          </w:tcPr>
          <w:p w14:paraId="3F388506"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24" w:space="0" w:color="auto"/>
            </w:tcBorders>
            <w:noWrap/>
            <w:hideMark/>
          </w:tcPr>
          <w:p w14:paraId="76541A9B"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24" w:space="0" w:color="auto"/>
            </w:tcBorders>
            <w:noWrap/>
            <w:hideMark/>
          </w:tcPr>
          <w:p w14:paraId="138DADF0"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24" w:space="0" w:color="auto"/>
            </w:tcBorders>
            <w:noWrap/>
            <w:hideMark/>
          </w:tcPr>
          <w:p w14:paraId="3D568CF4"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24" w:space="0" w:color="auto"/>
            </w:tcBorders>
            <w:noWrap/>
            <w:hideMark/>
          </w:tcPr>
          <w:p w14:paraId="3C6A5265"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24" w:space="0" w:color="auto"/>
            </w:tcBorders>
            <w:noWrap/>
            <w:hideMark/>
          </w:tcPr>
          <w:p w14:paraId="55E7B9CB"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24" w:space="0" w:color="auto"/>
            </w:tcBorders>
            <w:noWrap/>
            <w:hideMark/>
          </w:tcPr>
          <w:p w14:paraId="35CF7710"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24" w:space="0" w:color="auto"/>
            </w:tcBorders>
            <w:noWrap/>
            <w:hideMark/>
          </w:tcPr>
          <w:p w14:paraId="7317843D"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000000"/>
              <w:bottom w:val="single" w:sz="24" w:space="0" w:color="auto"/>
            </w:tcBorders>
            <w:noWrap/>
            <w:hideMark/>
          </w:tcPr>
          <w:p w14:paraId="683919C9"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24" w:space="0" w:color="auto"/>
            </w:tcBorders>
            <w:noWrap/>
            <w:hideMark/>
          </w:tcPr>
          <w:p w14:paraId="719F1726"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24" w:space="0" w:color="auto"/>
            </w:tcBorders>
            <w:noWrap/>
            <w:hideMark/>
          </w:tcPr>
          <w:p w14:paraId="7F47F28E"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24" w:space="0" w:color="auto"/>
            </w:tcBorders>
            <w:noWrap/>
            <w:hideMark/>
          </w:tcPr>
          <w:p w14:paraId="06312534"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000000"/>
              <w:bottom w:val="single" w:sz="24" w:space="0" w:color="auto"/>
            </w:tcBorders>
          </w:tcPr>
          <w:p w14:paraId="266CF9DC"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24" w:space="0" w:color="auto"/>
            </w:tcBorders>
          </w:tcPr>
          <w:p w14:paraId="3DBA28B7" w14:textId="77777777" w:rsidR="00AB1E01" w:rsidRPr="00CE39A1" w:rsidRDefault="00AB1E0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24" w:space="0" w:color="auto"/>
            </w:tcBorders>
            <w:noWrap/>
            <w:hideMark/>
          </w:tcPr>
          <w:p w14:paraId="29B8CC5F" w14:textId="77777777" w:rsidR="00AB1E01" w:rsidRPr="00CE39A1" w:rsidRDefault="00AB1E0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FE41DB" w:rsidRPr="00CE39A1" w14:paraId="2349D0D8" w14:textId="77777777" w:rsidTr="0076348E">
        <w:trPr>
          <w:trHeight w:val="383"/>
        </w:trPr>
        <w:tc>
          <w:tcPr>
            <w:cnfStyle w:val="001000000000" w:firstRow="0" w:lastRow="0" w:firstColumn="1" w:lastColumn="0" w:oddVBand="0" w:evenVBand="0" w:oddHBand="0" w:evenHBand="0" w:firstRowFirstColumn="0" w:firstRowLastColumn="0" w:lastRowFirstColumn="0" w:lastRowLastColumn="0"/>
            <w:tcW w:w="473" w:type="dxa"/>
            <w:vMerge w:val="restart"/>
            <w:tcBorders>
              <w:top w:val="single" w:sz="24" w:space="0" w:color="auto"/>
              <w:right w:val="single" w:sz="4" w:space="0" w:color="auto"/>
            </w:tcBorders>
            <w:shd w:val="clear" w:color="auto" w:fill="BEE59F"/>
            <w:noWrap/>
            <w:textDirection w:val="btLr"/>
            <w:hideMark/>
          </w:tcPr>
          <w:p w14:paraId="5E485419"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shd w:val="clear" w:color="auto" w:fill="BEE59F"/>
                <w:lang w:val="en-CA"/>
              </w:rPr>
              <w:t>Sustainabilit</w:t>
            </w:r>
            <w:r w:rsidRPr="00CE39A1">
              <w:rPr>
                <w:rFonts w:ascii="Times New Roman" w:eastAsia="Times New Roman" w:hAnsi="Times New Roman" w:cs="Times New Roman"/>
                <w:color w:val="000000"/>
                <w:sz w:val="24"/>
                <w:szCs w:val="24"/>
                <w:lang w:val="en-CA"/>
              </w:rPr>
              <w:t>y</w:t>
            </w:r>
          </w:p>
        </w:tc>
        <w:tc>
          <w:tcPr>
            <w:cnfStyle w:val="000010000000" w:firstRow="0" w:lastRow="0" w:firstColumn="0" w:lastColumn="0" w:oddVBand="1" w:evenVBand="0" w:oddHBand="0" w:evenHBand="0" w:firstRowFirstColumn="0" w:firstRowLastColumn="0" w:lastRowFirstColumn="0" w:lastRowLastColumn="0"/>
            <w:tcW w:w="3758" w:type="dxa"/>
            <w:tcBorders>
              <w:top w:val="single" w:sz="24" w:space="0" w:color="auto"/>
              <w:left w:val="single" w:sz="4" w:space="0" w:color="auto"/>
              <w:bottom w:val="single" w:sz="4" w:space="0" w:color="000000"/>
              <w:right w:val="single" w:sz="4" w:space="0" w:color="auto"/>
            </w:tcBorders>
            <w:shd w:val="clear" w:color="auto" w:fill="FFFFFF" w:themeFill="background1"/>
            <w:hideMark/>
          </w:tcPr>
          <w:p w14:paraId="17CF2DEF" w14:textId="77777777" w:rsidR="00341DC1" w:rsidRPr="00CE39A1" w:rsidRDefault="00341DC1"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Renewable energy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{"citationID":"zyNIeZOi","properties":{"formattedCitation":"(Kenworthy, 2006)","plainCitation":"(Kenworthy, 2006)","noteIndex":0},"citationItems":[{"id":460,"uris":["http://zotero.org/users/local/dNtV5PxQ/items/IB63XIQQ"],"itemData":{"id":460,"type":"article-journal","abstract":"Making existing cities and new urban development more ecologically based and liveable is an urgent priority in the global push for sustainability. This paper discusses ten critical responses to this issue and summarizes them in a simple conceptual model that places the nexus between transport and urban form at the heart of developing an eco-city. This involves compact, mixed-use urban form, well-defined higher-density, human-oriented centres, priority to the development of superior public transport systems and conditions for non-motorized modes, with minimal road capacity increases, and protection of the city's natural areas and food-producing capacity. These factors form the framework in which everything else is embedded and must operate, and if they are not addressed only marginal changes in urban sustainability can be made. Within this framework, environmental technologies need to be extensively applied. Economic growth needs to emphasize creativity and innovation and to strengthen the environmental, social and cultural amenities of the city. The public realm throughout the city needs to be of a high quality, and sustainable urban design principles need to be applied in all urban development. All these dimensions need to operate within two key processes involving vision-oriented and reformist thinking and a strong, community-oriented, democratic sustainability framework for decision-making.","container-title":"Environment and Urbanization","DOI":"10.1177/0956247806063947","ISSN":"0956-2478","issue":"1","language":"en","note":"publisher: SAGE Publications Ltd","page":"67-85","source":"SAGE Journals","title":"The eco-city: ten key transport and planning dimensions for sustainable city development","title-short":"The eco-city","volume":"18","author":[{"family":"Kenworthy","given":"Jeffrey R"}],"issued":{"date-parts":[["2006",4,1]]}}}],"schema":"https://github.com/citation-style-language/schema/raw/master/csl-citation.json"}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(Kenworthy, 2006)</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24" w:space="0" w:color="auto"/>
              <w:left w:val="single" w:sz="4" w:space="0" w:color="auto"/>
              <w:bottom w:val="single" w:sz="4" w:space="0" w:color="000000"/>
            </w:tcBorders>
            <w:noWrap/>
            <w:hideMark/>
          </w:tcPr>
          <w:p w14:paraId="0221DE0E"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68506359"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24" w:space="0" w:color="auto"/>
              <w:bottom w:val="single" w:sz="4" w:space="0" w:color="000000"/>
            </w:tcBorders>
            <w:noWrap/>
            <w:hideMark/>
          </w:tcPr>
          <w:p w14:paraId="6F004A3D"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792CEF22"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24" w:space="0" w:color="auto"/>
              <w:bottom w:val="single" w:sz="4" w:space="0" w:color="000000"/>
            </w:tcBorders>
            <w:noWrap/>
            <w:hideMark/>
          </w:tcPr>
          <w:p w14:paraId="4BDED79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000000"/>
            </w:tcBorders>
            <w:noWrap/>
            <w:hideMark/>
          </w:tcPr>
          <w:p w14:paraId="3F02DABC"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24" w:space="0" w:color="auto"/>
              <w:bottom w:val="single" w:sz="4" w:space="0" w:color="000000"/>
            </w:tcBorders>
            <w:noWrap/>
            <w:hideMark/>
          </w:tcPr>
          <w:p w14:paraId="6B8E2E5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4893D954"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24" w:space="0" w:color="auto"/>
              <w:bottom w:val="single" w:sz="4" w:space="0" w:color="000000"/>
            </w:tcBorders>
            <w:noWrap/>
            <w:hideMark/>
          </w:tcPr>
          <w:p w14:paraId="6B0547C0"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449E8198"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24" w:space="0" w:color="auto"/>
              <w:bottom w:val="single" w:sz="4" w:space="0" w:color="000000"/>
            </w:tcBorders>
            <w:noWrap/>
            <w:hideMark/>
          </w:tcPr>
          <w:p w14:paraId="0FDE6CFA"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000000"/>
            </w:tcBorders>
            <w:noWrap/>
            <w:hideMark/>
          </w:tcPr>
          <w:p w14:paraId="6307749B"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24" w:space="0" w:color="auto"/>
              <w:bottom w:val="single" w:sz="4" w:space="0" w:color="000000"/>
            </w:tcBorders>
            <w:noWrap/>
            <w:hideMark/>
          </w:tcPr>
          <w:p w14:paraId="30114A95"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000000"/>
            </w:tcBorders>
            <w:noWrap/>
            <w:hideMark/>
          </w:tcPr>
          <w:p w14:paraId="2266FBAA"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24" w:space="0" w:color="auto"/>
              <w:bottom w:val="single" w:sz="4" w:space="0" w:color="000000"/>
            </w:tcBorders>
            <w:noWrap/>
            <w:hideMark/>
          </w:tcPr>
          <w:p w14:paraId="63D171D0"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75081638"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24" w:space="0" w:color="auto"/>
              <w:bottom w:val="single" w:sz="4" w:space="0" w:color="000000"/>
            </w:tcBorders>
            <w:noWrap/>
            <w:hideMark/>
          </w:tcPr>
          <w:p w14:paraId="5249647E"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64A1233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24" w:space="0" w:color="auto"/>
              <w:bottom w:val="single" w:sz="4" w:space="0" w:color="000000"/>
            </w:tcBorders>
            <w:noWrap/>
            <w:hideMark/>
          </w:tcPr>
          <w:p w14:paraId="14D1E9D4"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000000"/>
            </w:tcBorders>
            <w:noWrap/>
            <w:hideMark/>
          </w:tcPr>
          <w:p w14:paraId="5404177F"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24" w:space="0" w:color="auto"/>
              <w:bottom w:val="single" w:sz="4" w:space="0" w:color="000000"/>
            </w:tcBorders>
            <w:noWrap/>
            <w:hideMark/>
          </w:tcPr>
          <w:p w14:paraId="3C0646CB"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57D6A38D"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24" w:space="0" w:color="auto"/>
              <w:bottom w:val="single" w:sz="4" w:space="0" w:color="000000"/>
            </w:tcBorders>
            <w:noWrap/>
            <w:hideMark/>
          </w:tcPr>
          <w:p w14:paraId="604D2ED7"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24" w:space="0" w:color="auto"/>
              <w:bottom w:val="single" w:sz="4" w:space="0" w:color="000000"/>
            </w:tcBorders>
            <w:noWrap/>
            <w:hideMark/>
          </w:tcPr>
          <w:p w14:paraId="0C0AC70D"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24" w:space="0" w:color="auto"/>
              <w:bottom w:val="single" w:sz="4" w:space="0" w:color="000000"/>
            </w:tcBorders>
          </w:tcPr>
          <w:p w14:paraId="1482E224"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24" w:space="0" w:color="auto"/>
              <w:bottom w:val="single" w:sz="4" w:space="0" w:color="000000"/>
            </w:tcBorders>
          </w:tcPr>
          <w:p w14:paraId="7C2A3D31"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24" w:space="0" w:color="auto"/>
              <w:bottom w:val="single" w:sz="4" w:space="0" w:color="000000"/>
            </w:tcBorders>
            <w:noWrap/>
            <w:hideMark/>
          </w:tcPr>
          <w:p w14:paraId="7B7A70E4"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FE41DB" w:rsidRPr="00CE39A1" w14:paraId="18EC545B" w14:textId="77777777" w:rsidTr="0076348E">
        <w:trPr>
          <w:trHeight w:val="411"/>
        </w:trPr>
        <w:tc>
          <w:tcPr>
            <w:cnfStyle w:val="001000000000" w:firstRow="0" w:lastRow="0" w:firstColumn="1" w:lastColumn="0" w:oddVBand="0" w:evenVBand="0" w:oddHBand="0" w:evenHBand="0" w:firstRowFirstColumn="0" w:firstRowLastColumn="0" w:lastRowFirstColumn="0" w:lastRowLastColumn="0"/>
            <w:tcW w:w="473" w:type="dxa"/>
            <w:vMerge/>
            <w:tcBorders>
              <w:right w:val="single" w:sz="4" w:space="0" w:color="auto"/>
            </w:tcBorders>
            <w:shd w:val="clear" w:color="auto" w:fill="BEE59F"/>
            <w:hideMark/>
          </w:tcPr>
          <w:p w14:paraId="61DDA53D"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000000"/>
              <w:left w:val="single" w:sz="4" w:space="0" w:color="auto"/>
              <w:bottom w:val="single" w:sz="4" w:space="0" w:color="000000"/>
              <w:right w:val="single" w:sz="4" w:space="0" w:color="auto"/>
            </w:tcBorders>
            <w:shd w:val="clear" w:color="auto" w:fill="FFFFFF" w:themeFill="background1"/>
            <w:hideMark/>
          </w:tcPr>
          <w:p w14:paraId="0F190CE6"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Transit access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{"citationID":"Z476WQCv","properties":{"formattedCitation":"(Housing for Health, 2023; Kenworthy, 2006)","plainCitation":"(Housing for Health, 2023; Kenworthy, 2006)","noteIndex":0},"citationItems":[{"id":78,"uris":["http://zotero.org/users/local/dNtV5PxQ/items/83773BBS"],"itemData":{"id":78,"type":"report","publisher":"University of Alberta","title":"Healthy Community Guidelines","URL":"https://www.ualberta.ca/department-of-medicine/divisions/preventive-medicine/housing-for-health/healthy-community-guidelines.html","author":[{"literal":"Housing for Health"}],"issued":{"date-parts":[["2023"]]}}},{"id":460,"uris":["http://zotero.org/users/local/dNtV5PxQ/items/IB63XIQQ"],"itemData":{"id":460,"type":"article-journal","abstract":"Making existing cities and new urban development more ecologically based and liveable is an urgent priority in the global push for sustainability. This paper discusses ten critical responses to this issue and summarizes them in a simple conceptual model that places the nexus between transport and urban form at the heart of developing an eco-city. This involves compact, mixed-use urban form, well-defined higher-density, human-oriented centres, priority to the development of superior public transport systems and conditions for non-motorized modes, with minimal road capacity increases, and protection of the city's natural areas and food-producing capacity. These factors form the framework in which everything else is embedded and must operate, and if they are not addressed only marginal changes in urban sustainability can be made. Within this framework, environmental technologies need to be extensively applied. Economic growth needs to emphasize creativity and innovation and to strengthen the environmental, social and cultural amenities of the city. The public realm throughout the city needs to be of a high quality, and sustainable urban design principles need to be applied in all urban development. All these dimensions need to operate within two key processes involving vision-oriented and reformist thinking and a strong, community-oriented, democratic sustainability framework for decision-making.","container-title":"Environment and Urbanization","DOI":"10.1177/0956247806063947","ISSN":"0956-2478","issue":"1","language":"en","note":"publisher: SAGE Publications Ltd","page":"67-85","source":"SAGE Journals","title":"The eco-city: ten key transport and planning dimensions for sustainable city development","title-short":"The eco-city","volume":"18","author":[{"family":"Kenworthy","given":"Jeffrey R"}],"issued":{"date-parts":[["2006",4,1]]}}}],"schema":"https://github.com/citation-style-language/schema/raw/master/csl-citation.json"}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(Housing for Health, 2023; Kenworthy, 2006)</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000000"/>
              <w:left w:val="single" w:sz="4" w:space="0" w:color="auto"/>
              <w:bottom w:val="single" w:sz="4" w:space="0" w:color="auto"/>
            </w:tcBorders>
            <w:noWrap/>
            <w:hideMark/>
          </w:tcPr>
          <w:p w14:paraId="4F109112"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auto"/>
            </w:tcBorders>
            <w:noWrap/>
            <w:hideMark/>
          </w:tcPr>
          <w:p w14:paraId="499A3E40"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000000"/>
              <w:bottom w:val="single" w:sz="4" w:space="0" w:color="auto"/>
            </w:tcBorders>
            <w:noWrap/>
            <w:hideMark/>
          </w:tcPr>
          <w:p w14:paraId="3D52E78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auto"/>
            </w:tcBorders>
            <w:noWrap/>
            <w:hideMark/>
          </w:tcPr>
          <w:p w14:paraId="308819E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000000"/>
              <w:bottom w:val="single" w:sz="4" w:space="0" w:color="auto"/>
            </w:tcBorders>
            <w:noWrap/>
            <w:hideMark/>
          </w:tcPr>
          <w:p w14:paraId="70577FAC"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auto"/>
            </w:tcBorders>
            <w:noWrap/>
            <w:hideMark/>
          </w:tcPr>
          <w:p w14:paraId="67C9DCDF"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000000"/>
              <w:bottom w:val="single" w:sz="4" w:space="0" w:color="auto"/>
            </w:tcBorders>
            <w:noWrap/>
            <w:hideMark/>
          </w:tcPr>
          <w:p w14:paraId="462B4CB9"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auto"/>
            </w:tcBorders>
            <w:noWrap/>
            <w:hideMark/>
          </w:tcPr>
          <w:p w14:paraId="062B3CC3"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000000"/>
              <w:bottom w:val="single" w:sz="4" w:space="0" w:color="auto"/>
            </w:tcBorders>
            <w:noWrap/>
            <w:hideMark/>
          </w:tcPr>
          <w:p w14:paraId="43C6B95D"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auto"/>
            </w:tcBorders>
            <w:noWrap/>
            <w:hideMark/>
          </w:tcPr>
          <w:p w14:paraId="39C20B4A"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auto"/>
            </w:tcBorders>
            <w:noWrap/>
            <w:hideMark/>
          </w:tcPr>
          <w:p w14:paraId="6437DBF0"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auto"/>
            </w:tcBorders>
            <w:noWrap/>
            <w:hideMark/>
          </w:tcPr>
          <w:p w14:paraId="4DFD8005"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000000"/>
              <w:bottom w:val="single" w:sz="4" w:space="0" w:color="auto"/>
            </w:tcBorders>
            <w:noWrap/>
            <w:hideMark/>
          </w:tcPr>
          <w:p w14:paraId="112526F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auto"/>
            </w:tcBorders>
            <w:noWrap/>
            <w:hideMark/>
          </w:tcPr>
          <w:p w14:paraId="5955BCAF"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000000"/>
              <w:bottom w:val="single" w:sz="4" w:space="0" w:color="auto"/>
            </w:tcBorders>
            <w:noWrap/>
            <w:hideMark/>
          </w:tcPr>
          <w:p w14:paraId="49345A5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auto"/>
            </w:tcBorders>
            <w:noWrap/>
            <w:hideMark/>
          </w:tcPr>
          <w:p w14:paraId="7879BFF8"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000000"/>
              <w:bottom w:val="single" w:sz="4" w:space="0" w:color="auto"/>
            </w:tcBorders>
            <w:noWrap/>
            <w:hideMark/>
          </w:tcPr>
          <w:p w14:paraId="71C69888"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auto"/>
            </w:tcBorders>
            <w:noWrap/>
            <w:hideMark/>
          </w:tcPr>
          <w:p w14:paraId="6AD69AF4"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000000"/>
              <w:bottom w:val="single" w:sz="4" w:space="0" w:color="auto"/>
            </w:tcBorders>
            <w:noWrap/>
            <w:hideMark/>
          </w:tcPr>
          <w:p w14:paraId="46038517"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auto"/>
            </w:tcBorders>
            <w:noWrap/>
            <w:hideMark/>
          </w:tcPr>
          <w:p w14:paraId="1015A657"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000000"/>
              <w:bottom w:val="single" w:sz="4" w:space="0" w:color="auto"/>
            </w:tcBorders>
            <w:noWrap/>
            <w:hideMark/>
          </w:tcPr>
          <w:p w14:paraId="299B090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auto"/>
            </w:tcBorders>
            <w:noWrap/>
            <w:hideMark/>
          </w:tcPr>
          <w:p w14:paraId="3BB759CB"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000000"/>
              <w:bottom w:val="single" w:sz="4" w:space="0" w:color="auto"/>
            </w:tcBorders>
            <w:noWrap/>
            <w:hideMark/>
          </w:tcPr>
          <w:p w14:paraId="03FC965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000000"/>
              <w:bottom w:val="single" w:sz="4" w:space="0" w:color="auto"/>
            </w:tcBorders>
            <w:noWrap/>
            <w:hideMark/>
          </w:tcPr>
          <w:p w14:paraId="0C1F658A"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000000"/>
              <w:bottom w:val="single" w:sz="4" w:space="0" w:color="auto"/>
            </w:tcBorders>
          </w:tcPr>
          <w:p w14:paraId="2B8716E2"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000000"/>
              <w:bottom w:val="single" w:sz="4" w:space="0" w:color="auto"/>
            </w:tcBorders>
          </w:tcPr>
          <w:p w14:paraId="788594F8"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000000"/>
              <w:bottom w:val="single" w:sz="4" w:space="0" w:color="auto"/>
            </w:tcBorders>
            <w:noWrap/>
            <w:hideMark/>
          </w:tcPr>
          <w:p w14:paraId="37B0E920"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r>
      <w:tr w:rsidR="00341DC1" w:rsidRPr="00CE39A1" w14:paraId="16832F98"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tcBorders>
              <w:right w:val="single" w:sz="4" w:space="0" w:color="auto"/>
            </w:tcBorders>
            <w:shd w:val="clear" w:color="auto" w:fill="BEE59F"/>
            <w:hideMark/>
          </w:tcPr>
          <w:p w14:paraId="3D6CF7D5"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000000"/>
              <w:left w:val="single" w:sz="4" w:space="0" w:color="auto"/>
              <w:bottom w:val="single" w:sz="4" w:space="0" w:color="000000"/>
              <w:right w:val="single" w:sz="4" w:space="0" w:color="auto"/>
            </w:tcBorders>
            <w:shd w:val="clear" w:color="auto" w:fill="FFFFFF" w:themeFill="background1"/>
            <w:hideMark/>
          </w:tcPr>
          <w:p w14:paraId="186C78E1"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Bike lanes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{"citationID":"LQOCy3k3","properties":{"formattedCitation":"(Housing for Health, 2023; Kenworthy, 2006)","plainCitation":"(Housing for Health, 2023; Kenworthy, 2006)","noteIndex":0},"citationItems":[{"id":78,"uris":["http://zotero.org/users/local/dNtV5PxQ/items/83773BBS"],"itemData":{"id":78,"type":"report","publisher":"University of Alberta","title":"Healthy Community Guidelines","URL":"https://www.ualberta.ca/department-of-medicine/divisions/preventive-medicine/housing-for-health/healthy-community-guidelines.html","author":[{"literal":"Housing for Health"}],"issued":{"date-parts":[["2023"]]}}},{"id":460,"uris":["http://zotero.org/users/local/dNtV5PxQ/items/IB63XIQQ"],"itemData":{"id":460,"type":"article-journal","abstract":"Making existing cities and new urban development more ecologically based and liveable is an urgent priority in the global push for sustainability. This paper discusses ten critical responses to this issue and summarizes them in a simple conceptual model that places the nexus between transport and urban form at the heart of developing an eco-city. This involves compact, mixed-use urban form, well-defined higher-density, human-oriented centres, priority to the development of superior public transport systems and conditions for non-motorized modes, with minimal road capacity increases, and protection of the city's natural areas and food-producing capacity. These factors form the framework in which everything else is embedded and must operate, and if they are not addressed only marginal changes in urban sustainability can be made. Within this framework, environmental technologies need to be extensively applied. Economic growth needs to emphasize creativity and innovation and to strengthen the environmental, social and cultural amenities of the city. The public realm throughout the city needs to be of a high quality, and sustainable urban design principles need to be applied in all urban development. All these dimensions need to operate within two key processes involving vision-oriented and reformist thinking and a strong, community-oriented, democratic sustainability framework for decision-making.","container-title":"Environment and Urbanization","DOI":"10.1177/0956247806063947","ISSN":"0956-2478","issue":"1","language":"en","note":"publisher: SAGE Publications Ltd","page":"67-85","source":"SAGE Journals","title":"The eco-city: ten key transport and planning dimensions for sustainable city development","title-short":"The eco-city","volume":"18","author":[{"family":"Kenworthy","given":"Jeffrey R"}],"issued":{"date-parts":[["2006",4,1]]}}}],"schema":"https://github.com/citation-style-language/schema/raw/master/csl-citation.json"}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(Housing for Health, 2023; Kenworthy, 2006)</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146602B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882078F"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noWrap/>
            <w:hideMark/>
          </w:tcPr>
          <w:p w14:paraId="1F68C8D3"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1ED1242"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4EE22C04"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55BF7E94"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2E67C789"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E5EAF74"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717DE96D"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670F735"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36C8626E"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4074D5F3"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6" w:type="dxa"/>
            <w:tcBorders>
              <w:top w:val="single" w:sz="4" w:space="0" w:color="auto"/>
              <w:bottom w:val="single" w:sz="4" w:space="0" w:color="auto"/>
            </w:tcBorders>
            <w:noWrap/>
            <w:hideMark/>
          </w:tcPr>
          <w:p w14:paraId="5D40A9C3"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4BD798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43ECFCA6"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5A551C1"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623E571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C9F0E0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4CEAF19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C4445FD"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6" w:type="dxa"/>
            <w:tcBorders>
              <w:top w:val="single" w:sz="4" w:space="0" w:color="auto"/>
              <w:bottom w:val="single" w:sz="4" w:space="0" w:color="auto"/>
            </w:tcBorders>
            <w:noWrap/>
            <w:hideMark/>
          </w:tcPr>
          <w:p w14:paraId="123DE3F6"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B5F2151"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3B8E0F2C"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3E8D071"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tcW w:w="377" w:type="dxa"/>
            <w:tcBorders>
              <w:top w:val="single" w:sz="4" w:space="0" w:color="auto"/>
              <w:bottom w:val="single" w:sz="4" w:space="0" w:color="auto"/>
            </w:tcBorders>
          </w:tcPr>
          <w:p w14:paraId="2591678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563C7B48"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c>
          <w:tcPr>
            <w:tcW w:w="377" w:type="dxa"/>
            <w:tcBorders>
              <w:top w:val="single" w:sz="4" w:space="0" w:color="auto"/>
              <w:bottom w:val="single" w:sz="4" w:space="0" w:color="auto"/>
            </w:tcBorders>
            <w:noWrap/>
            <w:hideMark/>
          </w:tcPr>
          <w:p w14:paraId="6952549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lang w:val="en-CA"/>
              </w:rPr>
              <w:t>✓</w:t>
            </w:r>
          </w:p>
        </w:tc>
      </w:tr>
      <w:tr w:rsidR="00341DC1" w:rsidRPr="00CE39A1" w14:paraId="3596A0D3"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tcBorders>
              <w:right w:val="single" w:sz="4" w:space="0" w:color="auto"/>
            </w:tcBorders>
            <w:shd w:val="clear" w:color="auto" w:fill="BEE59F"/>
            <w:hideMark/>
          </w:tcPr>
          <w:p w14:paraId="41C5A9CB"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000000"/>
              <w:left w:val="single" w:sz="4" w:space="0" w:color="auto"/>
              <w:bottom w:val="single" w:sz="4" w:space="0" w:color="000000"/>
              <w:right w:val="single" w:sz="4" w:space="0" w:color="auto"/>
            </w:tcBorders>
            <w:shd w:val="clear" w:color="auto" w:fill="FFFFFF" w:themeFill="background1"/>
            <w:hideMark/>
          </w:tcPr>
          <w:p w14:paraId="570FA6D6"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Bike / scoter share facilities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{"citationID":"Feqd9JdN","properties":{"formattedCitation":"(Housing for Health, 2023)","plainCitation":"(Housing for Health, 2023)","noteIndex":0},"citationItems":[{"id":78,"uris":["http://zotero.org/users/local/dNtV5PxQ/items/83773BBS"],"itemData":{"id":78,"type":"report","publisher":"University of Alberta","title":"Healthy Community Guidelines","URL":"https://www.ualberta.ca/department-of-medicine/divisions/preventive-medicine/housing-for-health/healthy-community-guidelines.html","author":[{"literal":"Housing for Health"}],"issued":{"date-parts":[["2023"]]}}}],"schema":"https://github.com/citation-style-language/schema/raw/master/csl-citation.json"}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(Housing for Health, 2023)</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0E8054A2"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C3B8C1D"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437B1664"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416DCDB"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5C23B84A"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161DCF3"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02664FF7"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2A16699C"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38DE45F7"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22ED95D"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1A55AD50"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3E69872"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20734B12"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213BC79"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4A3213A5"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E2888CA"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7414BB25"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5A5C6DC1"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26EB73EF"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31CB641A"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62CC0FD6"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49886F24"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121C8F39"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6CAF3AB2"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tcPr>
          <w:p w14:paraId="196BB953"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54B165F7"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34A19324"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341DC1" w:rsidRPr="00CE39A1" w14:paraId="742A772E"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tcBorders>
              <w:right w:val="single" w:sz="4" w:space="0" w:color="auto"/>
            </w:tcBorders>
            <w:shd w:val="clear" w:color="auto" w:fill="BEE59F"/>
            <w:hideMark/>
          </w:tcPr>
          <w:p w14:paraId="6EA482D6"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000000"/>
              <w:left w:val="single" w:sz="4" w:space="0" w:color="auto"/>
              <w:bottom w:val="single" w:sz="4" w:space="0" w:color="auto"/>
              <w:right w:val="single" w:sz="4" w:space="0" w:color="auto"/>
            </w:tcBorders>
            <w:shd w:val="clear" w:color="auto" w:fill="FFFFFF" w:themeFill="background1"/>
            <w:hideMark/>
          </w:tcPr>
          <w:p w14:paraId="383C30D2"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xml:space="preserve">Car share </w:t>
            </w:r>
            <w:r w:rsidRPr="00CE39A1">
              <w:rPr>
                <w:rFonts w:ascii="Times New Roman" w:eastAsia="Times New Roman" w:hAnsi="Times New Roman" w:cs="Times New Roman"/>
                <w:color w:val="000000"/>
                <w:sz w:val="24"/>
                <w:szCs w:val="24"/>
                <w:lang w:val="en-CA"/>
              </w:rPr>
              <w:fldChar w:fldCharType="begin"/>
            </w:r>
            <w:r w:rsidRPr="00CE39A1">
              <w:rPr>
                <w:rFonts w:ascii="Times New Roman" w:eastAsia="Times New Roman" w:hAnsi="Times New Roman" w:cs="Times New Roman"/>
                <w:color w:val="000000"/>
                <w:sz w:val="24"/>
                <w:szCs w:val="24"/>
                <w:lang w:val="en-CA"/>
              </w:rPr>
              <w:instrText xml:space="preserve"> ADDIN ZOTERO_ITEM CSL_CITATION {"citationID":"7yaCqJnt","properties":{"formattedCitation":"(Housing for Health, 2023)","plainCitation":"(Housing for Health, 2023)","noteIndex":0},"citationItems":[{"id":78,"uris":["http://zotero.org/users/local/dNtV5PxQ/items/83773BBS"],"itemData":{"id":78,"type":"report","publisher":"University of Alberta","title":"Healthy Community Guidelines","URL":"https://www.ualberta.ca/department-of-medicine/divisions/preventive-medicine/housing-for-health/healthy-community-guidelines.html","author":[{"literal":"Housing for Health"}],"issued":{"date-parts":[["2023"]]}}}],"schema":"https://github.com/citation-style-language/schema/raw/master/csl-citation.json"} </w:instrText>
            </w:r>
            <w:r w:rsidRPr="00CE39A1">
              <w:rPr>
                <w:rFonts w:ascii="Times New Roman" w:eastAsia="Times New Roman" w:hAnsi="Times New Roman" w:cs="Times New Roman"/>
                <w:color w:val="000000"/>
                <w:sz w:val="24"/>
                <w:szCs w:val="24"/>
                <w:lang w:val="en-CA"/>
              </w:rPr>
              <w:fldChar w:fldCharType="separate"/>
            </w:r>
            <w:r w:rsidRPr="00CE39A1">
              <w:rPr>
                <w:rFonts w:ascii="Times New Roman" w:eastAsia="Times New Roman" w:hAnsi="Times New Roman" w:cs="Times New Roman"/>
                <w:noProof/>
                <w:color w:val="000000"/>
                <w:sz w:val="24"/>
                <w:szCs w:val="24"/>
                <w:lang w:val="en-CA"/>
              </w:rPr>
              <w:t>(Housing for Health, 2023)</w:t>
            </w:r>
            <w:r w:rsidRPr="00CE39A1">
              <w:rPr>
                <w:rFonts w:ascii="Times New Roman" w:eastAsia="Times New Roman" w:hAnsi="Times New Roman" w:cs="Times New Roman"/>
                <w:color w:val="000000"/>
                <w:sz w:val="24"/>
                <w:szCs w:val="24"/>
                <w:lang w:val="en-CA"/>
              </w:rPr>
              <w:fldChar w:fldCharType="end"/>
            </w:r>
          </w:p>
        </w:tc>
        <w:tc>
          <w:tcPr>
            <w:tcW w:w="376" w:type="dxa"/>
            <w:tcBorders>
              <w:top w:val="single" w:sz="4" w:space="0" w:color="auto"/>
              <w:left w:val="single" w:sz="4" w:space="0" w:color="auto"/>
              <w:bottom w:val="single" w:sz="4" w:space="0" w:color="auto"/>
            </w:tcBorders>
            <w:noWrap/>
            <w:hideMark/>
          </w:tcPr>
          <w:p w14:paraId="7829C379"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53CFB54"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3F82C7D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173871F9"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6B791726"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1F7A07C4"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2788A087"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Segoe UI Symbol" w:eastAsia="Times New Roman" w:hAnsi="Segoe UI Symbol" w:cs="Segoe UI Symbol"/>
                <w:color w:val="000000"/>
                <w:sz w:val="24"/>
                <w:szCs w:val="24"/>
              </w:rPr>
              <w:t>✓</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F8328F8"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25C78857"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72C627B3"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36EE03C6"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6413A59C"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60C533FA"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867E3A7"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14952B61"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9ADD412"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5CAD9A58"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B06F9B7"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25A6897E"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noWrap/>
            <w:hideMark/>
          </w:tcPr>
          <w:p w14:paraId="00F58077"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6" w:type="dxa"/>
            <w:tcBorders>
              <w:top w:val="single" w:sz="4" w:space="0" w:color="auto"/>
              <w:bottom w:val="single" w:sz="4" w:space="0" w:color="auto"/>
            </w:tcBorders>
            <w:noWrap/>
            <w:hideMark/>
          </w:tcPr>
          <w:p w14:paraId="654E18F7"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00209D5E"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7E41D1B9"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4" w:space="0" w:color="auto"/>
            </w:tcBorders>
            <w:noWrap/>
            <w:hideMark/>
          </w:tcPr>
          <w:p w14:paraId="3E17975A"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tcPr>
          <w:p w14:paraId="2A162433"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4" w:space="0" w:color="auto"/>
            </w:tcBorders>
          </w:tcPr>
          <w:p w14:paraId="2E777D76" w14:textId="77777777" w:rsidR="00341DC1" w:rsidRPr="00CE39A1" w:rsidRDefault="00341DC1" w:rsidP="0076348E">
            <w:pPr>
              <w:spacing w:line="480" w:lineRule="auto"/>
              <w:jc w:val="center"/>
              <w:rPr>
                <w:rFonts w:ascii="Times New Roman" w:eastAsia="Times New Roman" w:hAnsi="Times New Roman" w:cs="Times New Roman"/>
                <w:color w:val="000000"/>
                <w:sz w:val="24"/>
                <w:szCs w:val="24"/>
                <w:lang w:val="en-CA"/>
              </w:rPr>
            </w:pPr>
          </w:p>
        </w:tc>
        <w:tc>
          <w:tcPr>
            <w:tcW w:w="377" w:type="dxa"/>
            <w:tcBorders>
              <w:top w:val="single" w:sz="4" w:space="0" w:color="auto"/>
              <w:bottom w:val="single" w:sz="4" w:space="0" w:color="auto"/>
            </w:tcBorders>
            <w:noWrap/>
            <w:hideMark/>
          </w:tcPr>
          <w:p w14:paraId="3914F5E7" w14:textId="77777777" w:rsidR="00341DC1" w:rsidRPr="00CE39A1" w:rsidRDefault="00341DC1" w:rsidP="0076348E">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r w:rsidR="00341DC1" w:rsidRPr="00CE39A1" w14:paraId="0138A90D" w14:textId="77777777" w:rsidTr="0076348E">
        <w:trPr>
          <w:trHeight w:val="333"/>
        </w:trPr>
        <w:tc>
          <w:tcPr>
            <w:cnfStyle w:val="001000000000" w:firstRow="0" w:lastRow="0" w:firstColumn="1" w:lastColumn="0" w:oddVBand="0" w:evenVBand="0" w:oddHBand="0" w:evenHBand="0" w:firstRowFirstColumn="0" w:firstRowLastColumn="0" w:lastRowFirstColumn="0" w:lastRowLastColumn="0"/>
            <w:tcW w:w="473" w:type="dxa"/>
            <w:vMerge/>
            <w:tcBorders>
              <w:bottom w:val="single" w:sz="24" w:space="0" w:color="auto"/>
              <w:right w:val="single" w:sz="4" w:space="0" w:color="auto"/>
            </w:tcBorders>
            <w:shd w:val="clear" w:color="auto" w:fill="BEE59F"/>
            <w:hideMark/>
          </w:tcPr>
          <w:p w14:paraId="1C2B1EDE"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58" w:type="dxa"/>
            <w:tcBorders>
              <w:top w:val="single" w:sz="4" w:space="0" w:color="auto"/>
              <w:left w:val="single" w:sz="4" w:space="0" w:color="auto"/>
              <w:bottom w:val="single" w:sz="24" w:space="0" w:color="auto"/>
              <w:right w:val="single" w:sz="4" w:space="0" w:color="auto"/>
            </w:tcBorders>
            <w:shd w:val="clear" w:color="auto" w:fill="FFFFFF" w:themeFill="background1"/>
            <w:hideMark/>
          </w:tcPr>
          <w:p w14:paraId="3D4BE791" w14:textId="77777777" w:rsidR="00341DC1" w:rsidRPr="00CE39A1" w:rsidRDefault="00341DC1" w:rsidP="0076348E">
            <w:pPr>
              <w:spacing w:line="480" w:lineRule="auto"/>
              <w:rPr>
                <w:rFonts w:ascii="Times New Roman" w:eastAsia="Times New Roman" w:hAnsi="Times New Roman" w:cs="Times New Roman"/>
                <w:b/>
                <w:bCs/>
                <w:color w:val="000000"/>
                <w:sz w:val="24"/>
                <w:szCs w:val="24"/>
                <w:lang w:val="en-CA"/>
              </w:rPr>
            </w:pPr>
            <w:r w:rsidRPr="00CE39A1">
              <w:rPr>
                <w:rFonts w:ascii="Times New Roman" w:eastAsia="Times New Roman" w:hAnsi="Times New Roman" w:cs="Times New Roman"/>
                <w:b/>
                <w:bCs/>
                <w:color w:val="000000"/>
                <w:sz w:val="24"/>
                <w:szCs w:val="24"/>
                <w:lang w:val="en-CA"/>
              </w:rPr>
              <w:t xml:space="preserve">Electric vehicle charging </w:t>
            </w:r>
            <w:r w:rsidRPr="00CE39A1">
              <w:rPr>
                <w:rFonts w:ascii="Times New Roman" w:eastAsia="Times New Roman" w:hAnsi="Times New Roman" w:cs="Times New Roman"/>
                <w:b/>
                <w:bCs/>
                <w:color w:val="000000"/>
                <w:sz w:val="24"/>
                <w:szCs w:val="24"/>
                <w:lang w:val="en-CA"/>
              </w:rPr>
              <w:fldChar w:fldCharType="begin"/>
            </w:r>
            <w:r w:rsidRPr="00CE39A1">
              <w:rPr>
                <w:rFonts w:ascii="Times New Roman" w:eastAsia="Times New Roman" w:hAnsi="Times New Roman" w:cs="Times New Roman"/>
                <w:b/>
                <w:bCs/>
                <w:color w:val="000000"/>
                <w:sz w:val="24"/>
                <w:szCs w:val="24"/>
                <w:lang w:val="en-CA"/>
              </w:rPr>
              <w:instrText xml:space="preserve"> ADDIN ZOTERO_ITEM CSL_CITATION {"citationID":"SWbcrvtu","properties":{"formattedCitation":"(Housing for Health, 2023)","plainCitation":"(Housing for Health, 2023)","noteIndex":0},"citationItems":[{"id":78,"uris":["http://zotero.org/users/local/dNtV5PxQ/items/83773BBS"],"itemData":{"id":78,"type":"report","publisher":"University of Alberta","title":"Healthy Community Guidelines","URL":"https://www.ualberta.ca/department-of-medicine/divisions/preventive-medicine/housing-for-health/healthy-community-guidelines.html","author":[{"literal":"Housing for Health"}],"issued":{"date-parts":[["2023"]]}}}],"schema":"https://github.com/citation-style-language/schema/raw/master/csl-citation.json"} </w:instrText>
            </w:r>
            <w:r w:rsidRPr="00CE39A1">
              <w:rPr>
                <w:rFonts w:ascii="Times New Roman" w:eastAsia="Times New Roman" w:hAnsi="Times New Roman" w:cs="Times New Roman"/>
                <w:b/>
                <w:bCs/>
                <w:color w:val="000000"/>
                <w:sz w:val="24"/>
                <w:szCs w:val="24"/>
                <w:lang w:val="en-CA"/>
              </w:rPr>
              <w:fldChar w:fldCharType="separate"/>
            </w:r>
            <w:r w:rsidRPr="00CE39A1">
              <w:rPr>
                <w:rFonts w:ascii="Times New Roman" w:eastAsia="Times New Roman" w:hAnsi="Times New Roman" w:cs="Times New Roman"/>
                <w:b/>
                <w:bCs/>
                <w:noProof/>
                <w:color w:val="000000"/>
                <w:sz w:val="24"/>
                <w:szCs w:val="24"/>
                <w:lang w:val="en-CA"/>
              </w:rPr>
              <w:t>(Housing for Health, 2023)</w:t>
            </w:r>
            <w:r w:rsidRPr="00CE39A1">
              <w:rPr>
                <w:rFonts w:ascii="Times New Roman" w:eastAsia="Times New Roman" w:hAnsi="Times New Roman" w:cs="Times New Roman"/>
                <w:b/>
                <w:bCs/>
                <w:color w:val="000000"/>
                <w:sz w:val="24"/>
                <w:szCs w:val="24"/>
                <w:lang w:val="en-CA"/>
              </w:rPr>
              <w:fldChar w:fldCharType="end"/>
            </w:r>
          </w:p>
        </w:tc>
        <w:tc>
          <w:tcPr>
            <w:tcW w:w="376" w:type="dxa"/>
            <w:tcBorders>
              <w:top w:val="single" w:sz="4" w:space="0" w:color="auto"/>
              <w:left w:val="single" w:sz="4" w:space="0" w:color="auto"/>
              <w:bottom w:val="single" w:sz="24" w:space="0" w:color="auto"/>
            </w:tcBorders>
            <w:noWrap/>
            <w:hideMark/>
          </w:tcPr>
          <w:p w14:paraId="23FF7301"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19EBB23A"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24" w:space="0" w:color="auto"/>
            </w:tcBorders>
            <w:noWrap/>
            <w:hideMark/>
          </w:tcPr>
          <w:p w14:paraId="02210BC7"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48CD8751"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24" w:space="0" w:color="auto"/>
            </w:tcBorders>
            <w:noWrap/>
            <w:hideMark/>
          </w:tcPr>
          <w:p w14:paraId="0FCD06D9"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24" w:space="0" w:color="auto"/>
            </w:tcBorders>
            <w:noWrap/>
            <w:hideMark/>
          </w:tcPr>
          <w:p w14:paraId="478C63D6"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24" w:space="0" w:color="auto"/>
            </w:tcBorders>
            <w:noWrap/>
            <w:hideMark/>
          </w:tcPr>
          <w:p w14:paraId="6FDEDAA3"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53768D82"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24" w:space="0" w:color="auto"/>
            </w:tcBorders>
            <w:noWrap/>
            <w:hideMark/>
          </w:tcPr>
          <w:p w14:paraId="061F9C75"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05C1DB05"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24" w:space="0" w:color="auto"/>
            </w:tcBorders>
            <w:noWrap/>
            <w:hideMark/>
          </w:tcPr>
          <w:p w14:paraId="78FC103A"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24" w:space="0" w:color="auto"/>
            </w:tcBorders>
            <w:noWrap/>
            <w:hideMark/>
          </w:tcPr>
          <w:p w14:paraId="790770DC"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24" w:space="0" w:color="auto"/>
            </w:tcBorders>
            <w:noWrap/>
            <w:hideMark/>
          </w:tcPr>
          <w:p w14:paraId="2D81A86D"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24" w:space="0" w:color="auto"/>
            </w:tcBorders>
            <w:noWrap/>
            <w:hideMark/>
          </w:tcPr>
          <w:p w14:paraId="622724DA"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24" w:space="0" w:color="auto"/>
            </w:tcBorders>
            <w:noWrap/>
            <w:hideMark/>
          </w:tcPr>
          <w:p w14:paraId="12BDB56F"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12E62EEE"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24" w:space="0" w:color="auto"/>
            </w:tcBorders>
            <w:noWrap/>
            <w:hideMark/>
          </w:tcPr>
          <w:p w14:paraId="23A31E81"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43D5FDA0"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24" w:space="0" w:color="auto"/>
            </w:tcBorders>
            <w:noWrap/>
            <w:hideMark/>
          </w:tcPr>
          <w:p w14:paraId="036FB6E6"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24" w:space="0" w:color="auto"/>
            </w:tcBorders>
            <w:noWrap/>
            <w:hideMark/>
          </w:tcPr>
          <w:p w14:paraId="6FC84BE0"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6" w:type="dxa"/>
            <w:tcBorders>
              <w:top w:val="single" w:sz="4" w:space="0" w:color="auto"/>
              <w:bottom w:val="single" w:sz="24" w:space="0" w:color="auto"/>
            </w:tcBorders>
            <w:noWrap/>
            <w:hideMark/>
          </w:tcPr>
          <w:p w14:paraId="7213C4A9"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7B6C83FF"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24" w:space="0" w:color="auto"/>
            </w:tcBorders>
            <w:noWrap/>
            <w:hideMark/>
          </w:tcPr>
          <w:p w14:paraId="0D10D08A"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cnfStyle w:val="000010000000" w:firstRow="0" w:lastRow="0" w:firstColumn="0" w:lastColumn="0" w:oddVBand="1" w:evenVBand="0" w:oddHBand="0" w:evenHBand="0" w:firstRowFirstColumn="0" w:firstRowLastColumn="0" w:lastRowFirstColumn="0" w:lastRowLastColumn="0"/>
            <w:tcW w:w="376" w:type="dxa"/>
            <w:tcBorders>
              <w:top w:val="single" w:sz="4" w:space="0" w:color="auto"/>
              <w:bottom w:val="single" w:sz="24" w:space="0" w:color="auto"/>
            </w:tcBorders>
            <w:noWrap/>
            <w:hideMark/>
          </w:tcPr>
          <w:p w14:paraId="591CFE32"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r w:rsidRPr="00CE39A1">
              <w:rPr>
                <w:rFonts w:ascii="Times New Roman" w:eastAsia="Times New Roman" w:hAnsi="Times New Roman" w:cs="Times New Roman"/>
                <w:color w:val="000000"/>
                <w:sz w:val="24"/>
                <w:szCs w:val="24"/>
                <w:lang w:val="en-CA"/>
              </w:rPr>
              <w:t> </w:t>
            </w:r>
          </w:p>
        </w:tc>
        <w:tc>
          <w:tcPr>
            <w:tcW w:w="377" w:type="dxa"/>
            <w:tcBorders>
              <w:top w:val="single" w:sz="4" w:space="0" w:color="auto"/>
              <w:bottom w:val="single" w:sz="24" w:space="0" w:color="auto"/>
            </w:tcBorders>
          </w:tcPr>
          <w:p w14:paraId="4850A99E"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c>
          <w:tcPr>
            <w:cnfStyle w:val="000010000000" w:firstRow="0" w:lastRow="0" w:firstColumn="0" w:lastColumn="0" w:oddVBand="1" w:evenVBand="0" w:oddHBand="0" w:evenHBand="0" w:firstRowFirstColumn="0" w:firstRowLastColumn="0" w:lastRowFirstColumn="0" w:lastRowLastColumn="0"/>
            <w:tcW w:w="377" w:type="dxa"/>
            <w:tcBorders>
              <w:top w:val="single" w:sz="4" w:space="0" w:color="auto"/>
              <w:bottom w:val="single" w:sz="24" w:space="0" w:color="auto"/>
            </w:tcBorders>
          </w:tcPr>
          <w:p w14:paraId="5987E9FD" w14:textId="77777777" w:rsidR="00341DC1" w:rsidRPr="00CE39A1" w:rsidRDefault="00341DC1" w:rsidP="0076348E">
            <w:pPr>
              <w:spacing w:line="480" w:lineRule="auto"/>
              <w:rPr>
                <w:rFonts w:ascii="Times New Roman" w:eastAsia="Times New Roman" w:hAnsi="Times New Roman" w:cs="Times New Roman"/>
                <w:color w:val="000000"/>
                <w:sz w:val="24"/>
                <w:szCs w:val="24"/>
                <w:lang w:val="en-CA"/>
              </w:rPr>
            </w:pPr>
          </w:p>
        </w:tc>
        <w:tc>
          <w:tcPr>
            <w:tcW w:w="377" w:type="dxa"/>
            <w:tcBorders>
              <w:top w:val="single" w:sz="4" w:space="0" w:color="auto"/>
              <w:bottom w:val="single" w:sz="24" w:space="0" w:color="auto"/>
            </w:tcBorders>
            <w:noWrap/>
            <w:hideMark/>
          </w:tcPr>
          <w:p w14:paraId="4E2875B6" w14:textId="77777777" w:rsidR="00341DC1" w:rsidRPr="00CE39A1" w:rsidRDefault="00341DC1" w:rsidP="0076348E">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lang w:val="en-CA"/>
              </w:rPr>
            </w:pPr>
          </w:p>
        </w:tc>
      </w:tr>
    </w:tbl>
    <w:p w14:paraId="75BA1AB5" w14:textId="77777777" w:rsidR="00341DC1" w:rsidRPr="00CE39A1" w:rsidRDefault="00341DC1" w:rsidP="00341DC1">
      <w:pPr>
        <w:spacing w:line="480" w:lineRule="auto"/>
        <w:rPr>
          <w:rFonts w:ascii="Times New Roman" w:eastAsia="Times New Roman" w:hAnsi="Times New Roman" w:cs="Times New Roman"/>
          <w:sz w:val="24"/>
          <w:szCs w:val="24"/>
        </w:rPr>
      </w:pPr>
      <w:r w:rsidRPr="00CE39A1">
        <w:rPr>
          <w:rFonts w:ascii="Times New Roman" w:eastAsia="Times New Roman" w:hAnsi="Times New Roman" w:cs="Times New Roman"/>
          <w:sz w:val="24"/>
          <w:szCs w:val="24"/>
        </w:rPr>
        <w:t>* Item is also important for mitigating the impact of precipitation</w:t>
      </w:r>
    </w:p>
    <w:p w14:paraId="7F9F7A6D" w14:textId="77777777" w:rsidR="00341DC1" w:rsidRPr="00CE39A1" w:rsidRDefault="00341DC1" w:rsidP="00341DC1">
      <w:pPr>
        <w:spacing w:line="480" w:lineRule="auto"/>
        <w:rPr>
          <w:rFonts w:ascii="Times New Roman" w:eastAsia="Times New Roman" w:hAnsi="Times New Roman" w:cs="Times New Roman"/>
          <w:sz w:val="24"/>
          <w:szCs w:val="24"/>
        </w:rPr>
      </w:pPr>
    </w:p>
    <w:p w14:paraId="2428A9E6" w14:textId="77777777" w:rsidR="00341DC1" w:rsidRPr="00CE39A1" w:rsidRDefault="00341DC1" w:rsidP="00341DC1">
      <w:pPr>
        <w:rPr>
          <w:rFonts w:ascii="Times New Roman" w:hAnsi="Times New Roman" w:cs="Times New Roman"/>
          <w:sz w:val="24"/>
          <w:szCs w:val="24"/>
        </w:rPr>
      </w:pPr>
    </w:p>
    <w:p w14:paraId="3D54FDF1" w14:textId="77777777" w:rsidR="00D8765C" w:rsidRDefault="00D8765C"/>
    <w:sectPr w:rsidR="00D8765C" w:rsidSect="003D4776">
      <w:pgSz w:w="15840" w:h="12240" w:orient="landscape"/>
      <w:pgMar w:top="1440" w:right="1440" w:bottom="811" w:left="14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254CF"/>
    <w:multiLevelType w:val="hybridMultilevel"/>
    <w:tmpl w:val="62165D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5E66AA"/>
    <w:multiLevelType w:val="hybridMultilevel"/>
    <w:tmpl w:val="6A500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963786"/>
    <w:multiLevelType w:val="hybridMultilevel"/>
    <w:tmpl w:val="36D8537E"/>
    <w:lvl w:ilvl="0" w:tplc="03E814B2">
      <w:start w:val="3"/>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4E4B71"/>
    <w:multiLevelType w:val="hybridMultilevel"/>
    <w:tmpl w:val="F2AA191C"/>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717F62"/>
    <w:multiLevelType w:val="hybridMultilevel"/>
    <w:tmpl w:val="195AF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A0407B"/>
    <w:multiLevelType w:val="hybridMultilevel"/>
    <w:tmpl w:val="A60CB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4739D0"/>
    <w:multiLevelType w:val="hybridMultilevel"/>
    <w:tmpl w:val="CC8815A4"/>
    <w:lvl w:ilvl="0" w:tplc="2034D46C">
      <w:start w:val="4"/>
      <w:numFmt w:val="bullet"/>
      <w:lvlText w:val="-"/>
      <w:lvlJc w:val="left"/>
      <w:pPr>
        <w:ind w:left="720" w:hanging="360"/>
      </w:pPr>
      <w:rPr>
        <w:rFonts w:ascii="Times New Roman" w:eastAsia="Arial"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AD40A3"/>
    <w:multiLevelType w:val="hybridMultilevel"/>
    <w:tmpl w:val="DFC054F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E5652FA"/>
    <w:multiLevelType w:val="hybridMultilevel"/>
    <w:tmpl w:val="4CA61520"/>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4415E74"/>
    <w:multiLevelType w:val="hybridMultilevel"/>
    <w:tmpl w:val="346EE040"/>
    <w:lvl w:ilvl="0" w:tplc="04090001">
      <w:start w:val="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4B54785"/>
    <w:multiLevelType w:val="hybridMultilevel"/>
    <w:tmpl w:val="10C264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6074F7"/>
    <w:multiLevelType w:val="hybridMultilevel"/>
    <w:tmpl w:val="767621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8436AB1"/>
    <w:multiLevelType w:val="hybridMultilevel"/>
    <w:tmpl w:val="4FCA8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E74A4A"/>
    <w:multiLevelType w:val="hybridMultilevel"/>
    <w:tmpl w:val="465A548C"/>
    <w:lvl w:ilvl="0" w:tplc="F1828E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C5A5939"/>
    <w:multiLevelType w:val="hybridMultilevel"/>
    <w:tmpl w:val="3B7A3F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0277FB"/>
    <w:multiLevelType w:val="hybridMultilevel"/>
    <w:tmpl w:val="4C4A2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B82C40"/>
    <w:multiLevelType w:val="hybridMultilevel"/>
    <w:tmpl w:val="31224A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AAE56A9"/>
    <w:multiLevelType w:val="hybridMultilevel"/>
    <w:tmpl w:val="F7CCDE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973489"/>
    <w:multiLevelType w:val="hybridMultilevel"/>
    <w:tmpl w:val="9FFAB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1837772">
    <w:abstractNumId w:val="11"/>
  </w:num>
  <w:num w:numId="2" w16cid:durableId="44455435">
    <w:abstractNumId w:val="5"/>
  </w:num>
  <w:num w:numId="3" w16cid:durableId="1046414965">
    <w:abstractNumId w:val="13"/>
  </w:num>
  <w:num w:numId="4" w16cid:durableId="1827428533">
    <w:abstractNumId w:val="10"/>
  </w:num>
  <w:num w:numId="5" w16cid:durableId="1687974162">
    <w:abstractNumId w:val="2"/>
  </w:num>
  <w:num w:numId="6" w16cid:durableId="2113276577">
    <w:abstractNumId w:val="6"/>
  </w:num>
  <w:num w:numId="7" w16cid:durableId="2130080393">
    <w:abstractNumId w:val="17"/>
  </w:num>
  <w:num w:numId="8" w16cid:durableId="1278219495">
    <w:abstractNumId w:val="9"/>
  </w:num>
  <w:num w:numId="9" w16cid:durableId="604843215">
    <w:abstractNumId w:val="3"/>
  </w:num>
  <w:num w:numId="10" w16cid:durableId="1219248202">
    <w:abstractNumId w:val="8"/>
  </w:num>
  <w:num w:numId="11" w16cid:durableId="89401226">
    <w:abstractNumId w:val="0"/>
  </w:num>
  <w:num w:numId="12" w16cid:durableId="128476159">
    <w:abstractNumId w:val="12"/>
  </w:num>
  <w:num w:numId="13" w16cid:durableId="127550088">
    <w:abstractNumId w:val="14"/>
  </w:num>
  <w:num w:numId="14" w16cid:durableId="466239012">
    <w:abstractNumId w:val="7"/>
  </w:num>
  <w:num w:numId="15" w16cid:durableId="739212840">
    <w:abstractNumId w:val="15"/>
  </w:num>
  <w:num w:numId="16" w16cid:durableId="446586127">
    <w:abstractNumId w:val="1"/>
  </w:num>
  <w:num w:numId="17" w16cid:durableId="1215652807">
    <w:abstractNumId w:val="18"/>
  </w:num>
  <w:num w:numId="18" w16cid:durableId="505366411">
    <w:abstractNumId w:val="16"/>
  </w:num>
  <w:num w:numId="19" w16cid:durableId="18162224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024"/>
    <w:rsid w:val="00271A70"/>
    <w:rsid w:val="00341DC1"/>
    <w:rsid w:val="00AB1E01"/>
    <w:rsid w:val="00C46A6C"/>
    <w:rsid w:val="00D04AA0"/>
    <w:rsid w:val="00D8765C"/>
    <w:rsid w:val="00DB5B43"/>
    <w:rsid w:val="00E32024"/>
    <w:rsid w:val="00F226A3"/>
    <w:rsid w:val="00FC474E"/>
    <w:rsid w:val="00FE41D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8839FF9"/>
  <w15:chartTrackingRefBased/>
  <w15:docId w15:val="{0F445B8B-D5A9-0845-BC59-EF5151C2B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1DC1"/>
    <w:pPr>
      <w:spacing w:line="276" w:lineRule="auto"/>
    </w:pPr>
    <w:rPr>
      <w:rFonts w:ascii="Arial" w:eastAsia="Arial" w:hAnsi="Arial" w:cs="Arial"/>
      <w:sz w:val="22"/>
      <w:szCs w:val="22"/>
      <w:lang w:val="en"/>
    </w:rPr>
  </w:style>
  <w:style w:type="paragraph" w:styleId="Heading1">
    <w:name w:val="heading 1"/>
    <w:basedOn w:val="Normal"/>
    <w:next w:val="Normal"/>
    <w:link w:val="Heading1Char"/>
    <w:uiPriority w:val="9"/>
    <w:qFormat/>
    <w:rsid w:val="00341DC1"/>
    <w:pPr>
      <w:keepNext/>
      <w:keepLines/>
      <w:spacing w:before="400" w:after="120"/>
      <w:outlineLvl w:val="0"/>
    </w:pPr>
    <w:rPr>
      <w:sz w:val="40"/>
      <w:szCs w:val="40"/>
    </w:rPr>
  </w:style>
  <w:style w:type="paragraph" w:styleId="Heading2">
    <w:name w:val="heading 2"/>
    <w:basedOn w:val="Normal"/>
    <w:next w:val="Normal"/>
    <w:link w:val="Heading2Char"/>
    <w:uiPriority w:val="9"/>
    <w:semiHidden/>
    <w:unhideWhenUsed/>
    <w:qFormat/>
    <w:rsid w:val="00341DC1"/>
    <w:pPr>
      <w:keepNext/>
      <w:keepLines/>
      <w:spacing w:before="360" w:after="120"/>
      <w:outlineLvl w:val="1"/>
    </w:pPr>
    <w:rPr>
      <w:sz w:val="32"/>
      <w:szCs w:val="32"/>
    </w:rPr>
  </w:style>
  <w:style w:type="paragraph" w:styleId="Heading3">
    <w:name w:val="heading 3"/>
    <w:basedOn w:val="Normal"/>
    <w:next w:val="Normal"/>
    <w:link w:val="Heading3Char"/>
    <w:uiPriority w:val="9"/>
    <w:semiHidden/>
    <w:unhideWhenUsed/>
    <w:qFormat/>
    <w:rsid w:val="00341DC1"/>
    <w:pPr>
      <w:keepNext/>
      <w:keepLines/>
      <w:spacing w:before="320" w:after="80"/>
      <w:outlineLvl w:val="2"/>
    </w:pPr>
    <w:rPr>
      <w:color w:val="434343"/>
      <w:sz w:val="28"/>
      <w:szCs w:val="28"/>
    </w:rPr>
  </w:style>
  <w:style w:type="paragraph" w:styleId="Heading4">
    <w:name w:val="heading 4"/>
    <w:basedOn w:val="Normal"/>
    <w:next w:val="Normal"/>
    <w:link w:val="Heading4Char"/>
    <w:uiPriority w:val="9"/>
    <w:semiHidden/>
    <w:unhideWhenUsed/>
    <w:qFormat/>
    <w:rsid w:val="00341DC1"/>
    <w:pPr>
      <w:keepNext/>
      <w:keepLines/>
      <w:spacing w:before="280" w:after="80"/>
      <w:outlineLvl w:val="3"/>
    </w:pPr>
    <w:rPr>
      <w:color w:val="666666"/>
      <w:sz w:val="24"/>
      <w:szCs w:val="24"/>
    </w:rPr>
  </w:style>
  <w:style w:type="paragraph" w:styleId="Heading5">
    <w:name w:val="heading 5"/>
    <w:basedOn w:val="Normal"/>
    <w:next w:val="Normal"/>
    <w:link w:val="Heading5Char"/>
    <w:uiPriority w:val="9"/>
    <w:semiHidden/>
    <w:unhideWhenUsed/>
    <w:qFormat/>
    <w:rsid w:val="00341DC1"/>
    <w:pPr>
      <w:keepNext/>
      <w:keepLines/>
      <w:spacing w:before="240" w:after="80"/>
      <w:outlineLvl w:val="4"/>
    </w:pPr>
    <w:rPr>
      <w:color w:val="666666"/>
    </w:rPr>
  </w:style>
  <w:style w:type="paragraph" w:styleId="Heading6">
    <w:name w:val="heading 6"/>
    <w:basedOn w:val="Normal"/>
    <w:next w:val="Normal"/>
    <w:link w:val="Heading6Char"/>
    <w:uiPriority w:val="9"/>
    <w:semiHidden/>
    <w:unhideWhenUsed/>
    <w:qFormat/>
    <w:rsid w:val="00341DC1"/>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1DC1"/>
    <w:rPr>
      <w:rFonts w:ascii="Arial" w:eastAsia="Arial" w:hAnsi="Arial" w:cs="Arial"/>
      <w:sz w:val="40"/>
      <w:szCs w:val="40"/>
      <w:lang w:val="en"/>
    </w:rPr>
  </w:style>
  <w:style w:type="character" w:customStyle="1" w:styleId="Heading2Char">
    <w:name w:val="Heading 2 Char"/>
    <w:basedOn w:val="DefaultParagraphFont"/>
    <w:link w:val="Heading2"/>
    <w:uiPriority w:val="9"/>
    <w:semiHidden/>
    <w:rsid w:val="00341DC1"/>
    <w:rPr>
      <w:rFonts w:ascii="Arial" w:eastAsia="Arial" w:hAnsi="Arial" w:cs="Arial"/>
      <w:sz w:val="32"/>
      <w:szCs w:val="32"/>
      <w:lang w:val="en"/>
    </w:rPr>
  </w:style>
  <w:style w:type="character" w:customStyle="1" w:styleId="Heading3Char">
    <w:name w:val="Heading 3 Char"/>
    <w:basedOn w:val="DefaultParagraphFont"/>
    <w:link w:val="Heading3"/>
    <w:uiPriority w:val="9"/>
    <w:semiHidden/>
    <w:rsid w:val="00341DC1"/>
    <w:rPr>
      <w:rFonts w:ascii="Arial" w:eastAsia="Arial" w:hAnsi="Arial" w:cs="Arial"/>
      <w:color w:val="434343"/>
      <w:sz w:val="28"/>
      <w:szCs w:val="28"/>
      <w:lang w:val="en"/>
    </w:rPr>
  </w:style>
  <w:style w:type="character" w:customStyle="1" w:styleId="Heading4Char">
    <w:name w:val="Heading 4 Char"/>
    <w:basedOn w:val="DefaultParagraphFont"/>
    <w:link w:val="Heading4"/>
    <w:uiPriority w:val="9"/>
    <w:semiHidden/>
    <w:rsid w:val="00341DC1"/>
    <w:rPr>
      <w:rFonts w:ascii="Arial" w:eastAsia="Arial" w:hAnsi="Arial" w:cs="Arial"/>
      <w:color w:val="666666"/>
      <w:lang w:val="en"/>
    </w:rPr>
  </w:style>
  <w:style w:type="character" w:customStyle="1" w:styleId="Heading5Char">
    <w:name w:val="Heading 5 Char"/>
    <w:basedOn w:val="DefaultParagraphFont"/>
    <w:link w:val="Heading5"/>
    <w:uiPriority w:val="9"/>
    <w:semiHidden/>
    <w:rsid w:val="00341DC1"/>
    <w:rPr>
      <w:rFonts w:ascii="Arial" w:eastAsia="Arial" w:hAnsi="Arial" w:cs="Arial"/>
      <w:color w:val="666666"/>
      <w:sz w:val="22"/>
      <w:szCs w:val="22"/>
      <w:lang w:val="en"/>
    </w:rPr>
  </w:style>
  <w:style w:type="character" w:customStyle="1" w:styleId="Heading6Char">
    <w:name w:val="Heading 6 Char"/>
    <w:basedOn w:val="DefaultParagraphFont"/>
    <w:link w:val="Heading6"/>
    <w:uiPriority w:val="9"/>
    <w:semiHidden/>
    <w:rsid w:val="00341DC1"/>
    <w:rPr>
      <w:rFonts w:ascii="Arial" w:eastAsia="Arial" w:hAnsi="Arial" w:cs="Arial"/>
      <w:i/>
      <w:color w:val="666666"/>
      <w:sz w:val="22"/>
      <w:szCs w:val="22"/>
      <w:lang w:val="en"/>
    </w:rPr>
  </w:style>
  <w:style w:type="paragraph" w:styleId="Title">
    <w:name w:val="Title"/>
    <w:basedOn w:val="Normal"/>
    <w:next w:val="Normal"/>
    <w:link w:val="TitleChar"/>
    <w:uiPriority w:val="10"/>
    <w:qFormat/>
    <w:rsid w:val="00341DC1"/>
    <w:pPr>
      <w:keepNext/>
      <w:keepLines/>
      <w:spacing w:after="60"/>
    </w:pPr>
    <w:rPr>
      <w:sz w:val="52"/>
      <w:szCs w:val="52"/>
    </w:rPr>
  </w:style>
  <w:style w:type="character" w:customStyle="1" w:styleId="TitleChar">
    <w:name w:val="Title Char"/>
    <w:basedOn w:val="DefaultParagraphFont"/>
    <w:link w:val="Title"/>
    <w:uiPriority w:val="10"/>
    <w:rsid w:val="00341DC1"/>
    <w:rPr>
      <w:rFonts w:ascii="Arial" w:eastAsia="Arial" w:hAnsi="Arial" w:cs="Arial"/>
      <w:sz w:val="52"/>
      <w:szCs w:val="52"/>
      <w:lang w:val="en"/>
    </w:rPr>
  </w:style>
  <w:style w:type="paragraph" w:styleId="Subtitle">
    <w:name w:val="Subtitle"/>
    <w:basedOn w:val="Normal"/>
    <w:next w:val="Normal"/>
    <w:link w:val="SubtitleChar"/>
    <w:uiPriority w:val="11"/>
    <w:qFormat/>
    <w:rsid w:val="00341DC1"/>
    <w:pPr>
      <w:keepNext/>
      <w:keepLines/>
      <w:spacing w:after="320"/>
    </w:pPr>
    <w:rPr>
      <w:color w:val="666666"/>
      <w:sz w:val="30"/>
      <w:szCs w:val="30"/>
    </w:rPr>
  </w:style>
  <w:style w:type="character" w:customStyle="1" w:styleId="SubtitleChar">
    <w:name w:val="Subtitle Char"/>
    <w:basedOn w:val="DefaultParagraphFont"/>
    <w:link w:val="Subtitle"/>
    <w:uiPriority w:val="11"/>
    <w:rsid w:val="00341DC1"/>
    <w:rPr>
      <w:rFonts w:ascii="Arial" w:eastAsia="Arial" w:hAnsi="Arial" w:cs="Arial"/>
      <w:color w:val="666666"/>
      <w:sz w:val="30"/>
      <w:szCs w:val="30"/>
      <w:lang w:val="en"/>
    </w:rPr>
  </w:style>
  <w:style w:type="table" w:customStyle="1" w:styleId="9">
    <w:name w:val="9"/>
    <w:basedOn w:val="TableNormal"/>
    <w:rsid w:val="00341DC1"/>
    <w:pPr>
      <w:spacing w:line="276" w:lineRule="auto"/>
    </w:pPr>
    <w:rPr>
      <w:rFonts w:ascii="Arial" w:eastAsia="Arial" w:hAnsi="Arial" w:cs="Arial"/>
      <w:sz w:val="22"/>
      <w:szCs w:val="22"/>
      <w:lang w:val="en"/>
    </w:rPr>
    <w:tblPr>
      <w:tblStyleRowBandSize w:val="1"/>
      <w:tblStyleColBandSize w:val="1"/>
      <w:tblCellMar>
        <w:top w:w="100" w:type="dxa"/>
        <w:left w:w="100" w:type="dxa"/>
        <w:bottom w:w="100" w:type="dxa"/>
        <w:right w:w="100" w:type="dxa"/>
      </w:tblCellMar>
    </w:tblPr>
  </w:style>
  <w:style w:type="table" w:customStyle="1" w:styleId="8">
    <w:name w:val="8"/>
    <w:basedOn w:val="TableNormal"/>
    <w:rsid w:val="00341DC1"/>
    <w:pPr>
      <w:spacing w:line="276" w:lineRule="auto"/>
    </w:pPr>
    <w:rPr>
      <w:rFonts w:ascii="Arial" w:eastAsia="Arial" w:hAnsi="Arial" w:cs="Arial"/>
      <w:sz w:val="22"/>
      <w:szCs w:val="22"/>
      <w:lang w:val="en"/>
    </w:rPr>
    <w:tblPr>
      <w:tblStyleRowBandSize w:val="1"/>
      <w:tblStyleColBandSize w:val="1"/>
      <w:tblCellMar>
        <w:top w:w="100" w:type="dxa"/>
        <w:left w:w="100" w:type="dxa"/>
        <w:bottom w:w="100" w:type="dxa"/>
        <w:right w:w="100" w:type="dxa"/>
      </w:tblCellMar>
    </w:tblPr>
  </w:style>
  <w:style w:type="table" w:customStyle="1" w:styleId="7">
    <w:name w:val="7"/>
    <w:basedOn w:val="TableNormal"/>
    <w:rsid w:val="00341DC1"/>
    <w:pPr>
      <w:spacing w:line="276" w:lineRule="auto"/>
    </w:pPr>
    <w:rPr>
      <w:rFonts w:ascii="Arial" w:eastAsia="Arial" w:hAnsi="Arial" w:cs="Arial"/>
      <w:sz w:val="22"/>
      <w:szCs w:val="22"/>
      <w:lang w:val="en"/>
    </w:rPr>
    <w:tblPr>
      <w:tblStyleRowBandSize w:val="1"/>
      <w:tblStyleColBandSize w:val="1"/>
      <w:tblCellMar>
        <w:left w:w="115" w:type="dxa"/>
        <w:right w:w="115" w:type="dxa"/>
      </w:tblCellMar>
    </w:tblPr>
    <w:tcPr>
      <w:shd w:val="clear" w:color="auto" w:fill="FFFFFF"/>
    </w:tcPr>
  </w:style>
  <w:style w:type="paragraph" w:styleId="CommentText">
    <w:name w:val="annotation text"/>
    <w:basedOn w:val="Normal"/>
    <w:link w:val="CommentTextChar"/>
    <w:uiPriority w:val="99"/>
    <w:unhideWhenUsed/>
    <w:rsid w:val="00341DC1"/>
    <w:pPr>
      <w:spacing w:line="240" w:lineRule="auto"/>
    </w:pPr>
    <w:rPr>
      <w:sz w:val="20"/>
      <w:szCs w:val="20"/>
    </w:rPr>
  </w:style>
  <w:style w:type="character" w:customStyle="1" w:styleId="CommentTextChar">
    <w:name w:val="Comment Text Char"/>
    <w:basedOn w:val="DefaultParagraphFont"/>
    <w:link w:val="CommentText"/>
    <w:uiPriority w:val="99"/>
    <w:rsid w:val="00341DC1"/>
    <w:rPr>
      <w:rFonts w:ascii="Arial" w:eastAsia="Arial" w:hAnsi="Arial" w:cs="Arial"/>
      <w:sz w:val="20"/>
      <w:szCs w:val="20"/>
      <w:lang w:val="en"/>
    </w:rPr>
  </w:style>
  <w:style w:type="character" w:styleId="CommentReference">
    <w:name w:val="annotation reference"/>
    <w:basedOn w:val="DefaultParagraphFont"/>
    <w:uiPriority w:val="99"/>
    <w:semiHidden/>
    <w:unhideWhenUsed/>
    <w:rsid w:val="00341DC1"/>
    <w:rPr>
      <w:sz w:val="16"/>
      <w:szCs w:val="16"/>
    </w:rPr>
  </w:style>
  <w:style w:type="character" w:styleId="Hyperlink">
    <w:name w:val="Hyperlink"/>
    <w:basedOn w:val="DefaultParagraphFont"/>
    <w:uiPriority w:val="99"/>
    <w:unhideWhenUsed/>
    <w:rsid w:val="00341DC1"/>
    <w:rPr>
      <w:color w:val="0563C1"/>
      <w:u w:val="single"/>
    </w:rPr>
  </w:style>
  <w:style w:type="character" w:styleId="FollowedHyperlink">
    <w:name w:val="FollowedHyperlink"/>
    <w:basedOn w:val="DefaultParagraphFont"/>
    <w:uiPriority w:val="99"/>
    <w:semiHidden/>
    <w:unhideWhenUsed/>
    <w:rsid w:val="00341DC1"/>
    <w:rPr>
      <w:color w:val="954F72"/>
      <w:u w:val="single"/>
    </w:rPr>
  </w:style>
  <w:style w:type="paragraph" w:customStyle="1" w:styleId="msonormal0">
    <w:name w:val="msonormal"/>
    <w:basedOn w:val="Normal"/>
    <w:rsid w:val="00341DC1"/>
    <w:pP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font5">
    <w:name w:val="font5"/>
    <w:basedOn w:val="Normal"/>
    <w:rsid w:val="00341DC1"/>
    <w:pPr>
      <w:spacing w:before="100" w:beforeAutospacing="1" w:after="100" w:afterAutospacing="1" w:line="240" w:lineRule="auto"/>
    </w:pPr>
    <w:rPr>
      <w:rFonts w:eastAsia="Times New Roman"/>
      <w:color w:val="000000"/>
      <w:sz w:val="16"/>
      <w:szCs w:val="16"/>
      <w:lang w:val="en-CA"/>
    </w:rPr>
  </w:style>
  <w:style w:type="paragraph" w:customStyle="1" w:styleId="font6">
    <w:name w:val="font6"/>
    <w:basedOn w:val="Normal"/>
    <w:rsid w:val="00341DC1"/>
    <w:pPr>
      <w:spacing w:before="100" w:beforeAutospacing="1" w:after="100" w:afterAutospacing="1" w:line="240" w:lineRule="auto"/>
    </w:pPr>
    <w:rPr>
      <w:rFonts w:eastAsia="Times New Roman"/>
      <w:color w:val="000000"/>
      <w:sz w:val="16"/>
      <w:szCs w:val="16"/>
      <w:lang w:val="en-CA"/>
    </w:rPr>
  </w:style>
  <w:style w:type="paragraph" w:customStyle="1" w:styleId="xl65">
    <w:name w:val="xl65"/>
    <w:basedOn w:val="Normal"/>
    <w:rsid w:val="0034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egoe UI Symbol" w:eastAsia="Times New Roman" w:hAnsi="Segoe UI Symbol" w:cs="Times New Roman"/>
      <w:color w:val="000000"/>
      <w:lang w:val="en-CA"/>
    </w:rPr>
  </w:style>
  <w:style w:type="paragraph" w:customStyle="1" w:styleId="xl66">
    <w:name w:val="xl66"/>
    <w:basedOn w:val="Normal"/>
    <w:rsid w:val="0034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egoe UI Symbol" w:eastAsia="Times New Roman" w:hAnsi="Segoe UI Symbol" w:cs="Times New Roman"/>
      <w:sz w:val="24"/>
      <w:szCs w:val="24"/>
      <w:lang w:val="en-CA"/>
    </w:rPr>
  </w:style>
  <w:style w:type="paragraph" w:customStyle="1" w:styleId="xl67">
    <w:name w:val="xl67"/>
    <w:basedOn w:val="Normal"/>
    <w:rsid w:val="0034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CA"/>
    </w:rPr>
  </w:style>
  <w:style w:type="paragraph" w:customStyle="1" w:styleId="xl68">
    <w:name w:val="xl68"/>
    <w:basedOn w:val="Normal"/>
    <w:rsid w:val="0034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egoe UI Symbol" w:eastAsia="Times New Roman" w:hAnsi="Segoe UI Symbol" w:cs="Times New Roman"/>
      <w:color w:val="000000"/>
      <w:sz w:val="24"/>
      <w:szCs w:val="24"/>
      <w:lang w:val="en-CA"/>
    </w:rPr>
  </w:style>
  <w:style w:type="paragraph" w:customStyle="1" w:styleId="xl69">
    <w:name w:val="xl69"/>
    <w:basedOn w:val="Normal"/>
    <w:rsid w:val="0034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val="en-CA"/>
    </w:rPr>
  </w:style>
  <w:style w:type="paragraph" w:customStyle="1" w:styleId="xl70">
    <w:name w:val="xl70"/>
    <w:basedOn w:val="Normal"/>
    <w:rsid w:val="0034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val="en-CA"/>
    </w:rPr>
  </w:style>
  <w:style w:type="paragraph" w:customStyle="1" w:styleId="xl71">
    <w:name w:val="xl71"/>
    <w:basedOn w:val="Normal"/>
    <w:rsid w:val="00341DC1"/>
    <w:pPr>
      <w:pBdr>
        <w:top w:val="single" w:sz="4" w:space="0" w:color="auto"/>
        <w:left w:val="single" w:sz="4" w:space="0" w:color="auto"/>
        <w:bottom w:val="single" w:sz="4" w:space="0" w:color="auto"/>
        <w:right w:val="single" w:sz="4" w:space="0" w:color="auto"/>
      </w:pBdr>
      <w:shd w:val="clear" w:color="000000" w:fill="E7E6E6"/>
      <w:spacing w:before="100" w:beforeAutospacing="1" w:after="100" w:afterAutospacing="1" w:line="240" w:lineRule="auto"/>
      <w:textAlignment w:val="center"/>
    </w:pPr>
    <w:rPr>
      <w:rFonts w:ascii="Times New Roman" w:eastAsia="Times New Roman" w:hAnsi="Times New Roman" w:cs="Times New Roman"/>
      <w:b/>
      <w:bCs/>
      <w:color w:val="000000"/>
      <w:lang w:val="en-CA"/>
    </w:rPr>
  </w:style>
  <w:style w:type="paragraph" w:customStyle="1" w:styleId="xl72">
    <w:name w:val="xl72"/>
    <w:basedOn w:val="Normal"/>
    <w:rsid w:val="0034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val="en-CA"/>
    </w:rPr>
  </w:style>
  <w:style w:type="paragraph" w:customStyle="1" w:styleId="xl73">
    <w:name w:val="xl73"/>
    <w:basedOn w:val="Normal"/>
    <w:rsid w:val="0034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CA"/>
    </w:rPr>
  </w:style>
  <w:style w:type="paragraph" w:customStyle="1" w:styleId="xl74">
    <w:name w:val="xl74"/>
    <w:basedOn w:val="Normal"/>
    <w:rsid w:val="0034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Segoe UI Symbol" w:eastAsia="Times New Roman" w:hAnsi="Segoe UI Symbol" w:cs="Times New Roman"/>
      <w:lang w:val="en-CA"/>
    </w:rPr>
  </w:style>
  <w:style w:type="paragraph" w:customStyle="1" w:styleId="xl75">
    <w:name w:val="xl75"/>
    <w:basedOn w:val="Normal"/>
    <w:rsid w:val="0034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val="en-CA"/>
    </w:rPr>
  </w:style>
  <w:style w:type="paragraph" w:customStyle="1" w:styleId="xl76">
    <w:name w:val="xl76"/>
    <w:basedOn w:val="Normal"/>
    <w:rsid w:val="00341DC1"/>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center"/>
    </w:pPr>
    <w:rPr>
      <w:rFonts w:ascii="Times New Roman" w:eastAsia="Times New Roman" w:hAnsi="Times New Roman" w:cs="Times New Roman"/>
      <w:b/>
      <w:bCs/>
      <w:color w:val="000000"/>
      <w:lang w:val="en-CA"/>
    </w:rPr>
  </w:style>
  <w:style w:type="paragraph" w:customStyle="1" w:styleId="xl77">
    <w:name w:val="xl77"/>
    <w:basedOn w:val="Normal"/>
    <w:rsid w:val="00341DC1"/>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line="240" w:lineRule="auto"/>
      <w:textAlignment w:val="center"/>
    </w:pPr>
    <w:rPr>
      <w:rFonts w:ascii="Times New Roman" w:eastAsia="Times New Roman" w:hAnsi="Times New Roman" w:cs="Times New Roman"/>
      <w:b/>
      <w:bCs/>
      <w:color w:val="000000"/>
      <w:lang w:val="en-CA"/>
    </w:rPr>
  </w:style>
  <w:style w:type="paragraph" w:customStyle="1" w:styleId="xl78">
    <w:name w:val="xl78"/>
    <w:basedOn w:val="Normal"/>
    <w:rsid w:val="00341DC1"/>
    <w:pPr>
      <w:pBdr>
        <w:top w:val="single" w:sz="4" w:space="0" w:color="auto"/>
        <w:left w:val="single" w:sz="4" w:space="0" w:color="auto"/>
        <w:bottom w:val="single" w:sz="4" w:space="0" w:color="auto"/>
        <w:right w:val="single" w:sz="4" w:space="0" w:color="auto"/>
      </w:pBdr>
      <w:shd w:val="clear" w:color="000000" w:fill="8EA9DB"/>
      <w:spacing w:before="100" w:beforeAutospacing="1" w:after="100" w:afterAutospacing="1" w:line="240" w:lineRule="auto"/>
      <w:textAlignment w:val="center"/>
    </w:pPr>
    <w:rPr>
      <w:rFonts w:ascii="Times New Roman" w:eastAsia="Times New Roman" w:hAnsi="Times New Roman" w:cs="Times New Roman"/>
      <w:b/>
      <w:bCs/>
      <w:color w:val="000000"/>
      <w:lang w:val="en-CA"/>
    </w:rPr>
  </w:style>
  <w:style w:type="paragraph" w:customStyle="1" w:styleId="xl79">
    <w:name w:val="xl79"/>
    <w:basedOn w:val="Normal"/>
    <w:rsid w:val="0034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lang w:val="en-CA"/>
    </w:rPr>
  </w:style>
  <w:style w:type="paragraph" w:customStyle="1" w:styleId="xl80">
    <w:name w:val="xl80"/>
    <w:basedOn w:val="Normal"/>
    <w:rsid w:val="00341DC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Times New Roman" w:eastAsia="Times New Roman" w:hAnsi="Times New Roman" w:cs="Times New Roman"/>
      <w:b/>
      <w:bCs/>
      <w:color w:val="000000"/>
      <w:lang w:val="en-CA"/>
    </w:rPr>
  </w:style>
  <w:style w:type="paragraph" w:customStyle="1" w:styleId="xl81">
    <w:name w:val="xl81"/>
    <w:basedOn w:val="Normal"/>
    <w:rsid w:val="00341DC1"/>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line="240" w:lineRule="auto"/>
      <w:textAlignment w:val="center"/>
    </w:pPr>
    <w:rPr>
      <w:rFonts w:ascii="Times New Roman" w:eastAsia="Times New Roman" w:hAnsi="Times New Roman" w:cs="Times New Roman"/>
      <w:lang w:val="en-CA"/>
    </w:rPr>
  </w:style>
  <w:style w:type="paragraph" w:customStyle="1" w:styleId="xl82">
    <w:name w:val="xl82"/>
    <w:basedOn w:val="Normal"/>
    <w:rsid w:val="00341DC1"/>
    <w:pPr>
      <w:pBdr>
        <w:top w:val="single" w:sz="4" w:space="0" w:color="auto"/>
        <w:left w:val="single" w:sz="4" w:space="0" w:color="auto"/>
        <w:bottom w:val="single" w:sz="4" w:space="0" w:color="auto"/>
        <w:right w:val="single" w:sz="4" w:space="0" w:color="auto"/>
      </w:pBdr>
      <w:shd w:val="clear" w:color="000000" w:fill="DDEBF7"/>
      <w:spacing w:before="100" w:beforeAutospacing="1" w:after="100" w:afterAutospacing="1" w:line="240" w:lineRule="auto"/>
      <w:textAlignment w:val="center"/>
    </w:pPr>
    <w:rPr>
      <w:rFonts w:ascii="Times New Roman" w:eastAsia="Times New Roman" w:hAnsi="Times New Roman" w:cs="Times New Roman"/>
      <w:b/>
      <w:bCs/>
      <w:color w:val="000000"/>
      <w:lang w:val="en-CA"/>
    </w:rPr>
  </w:style>
  <w:style w:type="paragraph" w:customStyle="1" w:styleId="xl83">
    <w:name w:val="xl83"/>
    <w:basedOn w:val="Normal"/>
    <w:rsid w:val="00341DC1"/>
    <w:pPr>
      <w:pBdr>
        <w:top w:val="single" w:sz="4" w:space="0" w:color="auto"/>
        <w:left w:val="single" w:sz="4" w:space="0" w:color="auto"/>
        <w:bottom w:val="single" w:sz="4" w:space="0" w:color="auto"/>
        <w:right w:val="single" w:sz="4" w:space="0" w:color="auto"/>
      </w:pBdr>
      <w:shd w:val="clear" w:color="000000" w:fill="FFE699"/>
      <w:spacing w:before="100" w:beforeAutospacing="1" w:after="100" w:afterAutospacing="1" w:line="240" w:lineRule="auto"/>
      <w:textAlignment w:val="center"/>
    </w:pPr>
    <w:rPr>
      <w:rFonts w:ascii="Times New Roman" w:eastAsia="Times New Roman" w:hAnsi="Times New Roman" w:cs="Times New Roman"/>
      <w:b/>
      <w:bCs/>
      <w:color w:val="000000"/>
      <w:lang w:val="en-CA"/>
    </w:rPr>
  </w:style>
  <w:style w:type="paragraph" w:customStyle="1" w:styleId="xl84">
    <w:name w:val="xl84"/>
    <w:basedOn w:val="Normal"/>
    <w:rsid w:val="0034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lang w:val="en-CA"/>
    </w:rPr>
  </w:style>
  <w:style w:type="paragraph" w:customStyle="1" w:styleId="xl85">
    <w:name w:val="xl85"/>
    <w:basedOn w:val="Normal"/>
    <w:rsid w:val="00341DC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val="en-CA"/>
    </w:rPr>
  </w:style>
  <w:style w:type="table" w:customStyle="1" w:styleId="6">
    <w:name w:val="6"/>
    <w:basedOn w:val="TableNormal"/>
    <w:rsid w:val="00341DC1"/>
    <w:pPr>
      <w:spacing w:line="276" w:lineRule="auto"/>
    </w:pPr>
    <w:rPr>
      <w:rFonts w:ascii="Arial" w:eastAsia="Arial" w:hAnsi="Arial" w:cs="Arial"/>
      <w:sz w:val="22"/>
      <w:szCs w:val="22"/>
      <w:lang w:val="en"/>
    </w:rPr>
    <w:tblPr>
      <w:tblStyleRowBandSize w:val="1"/>
      <w:tblStyleColBandSize w:val="1"/>
      <w:tblCellMar>
        <w:left w:w="115" w:type="dxa"/>
        <w:right w:w="115" w:type="dxa"/>
      </w:tblCellMar>
    </w:tblPr>
    <w:tcPr>
      <w:shd w:val="clear" w:color="auto" w:fill="FFFFFF"/>
    </w:tcPr>
  </w:style>
  <w:style w:type="table" w:customStyle="1" w:styleId="5">
    <w:name w:val="5"/>
    <w:basedOn w:val="TableNormal"/>
    <w:rsid w:val="00341DC1"/>
    <w:pPr>
      <w:spacing w:line="276" w:lineRule="auto"/>
    </w:pPr>
    <w:rPr>
      <w:rFonts w:ascii="Arial" w:eastAsia="Arial" w:hAnsi="Arial" w:cs="Arial"/>
      <w:sz w:val="22"/>
      <w:szCs w:val="22"/>
      <w:lang w:val="en"/>
    </w:rPr>
    <w:tblPr>
      <w:tblStyleRowBandSize w:val="1"/>
      <w:tblStyleColBandSize w:val="1"/>
      <w:tblCellMar>
        <w:left w:w="115" w:type="dxa"/>
        <w:right w:w="115" w:type="dxa"/>
      </w:tblCellMar>
    </w:tblPr>
    <w:tcPr>
      <w:shd w:val="clear" w:color="auto" w:fill="FFFFFF"/>
    </w:tcPr>
  </w:style>
  <w:style w:type="table" w:customStyle="1" w:styleId="4">
    <w:name w:val="4"/>
    <w:basedOn w:val="TableNormal"/>
    <w:rsid w:val="00341DC1"/>
    <w:pPr>
      <w:spacing w:line="276" w:lineRule="auto"/>
    </w:pPr>
    <w:rPr>
      <w:rFonts w:ascii="Arial" w:eastAsia="Arial" w:hAnsi="Arial" w:cs="Arial"/>
      <w:sz w:val="22"/>
      <w:szCs w:val="22"/>
      <w:lang w:val="en"/>
    </w:rPr>
    <w:tblPr>
      <w:tblStyleRowBandSize w:val="1"/>
      <w:tblStyleColBandSize w:val="1"/>
      <w:tblCellMar>
        <w:left w:w="115" w:type="dxa"/>
        <w:right w:w="115" w:type="dxa"/>
      </w:tblCellMar>
    </w:tblPr>
  </w:style>
  <w:style w:type="table" w:customStyle="1" w:styleId="3">
    <w:name w:val="3"/>
    <w:basedOn w:val="TableNormal"/>
    <w:rsid w:val="00341DC1"/>
    <w:pPr>
      <w:spacing w:line="276" w:lineRule="auto"/>
    </w:pPr>
    <w:rPr>
      <w:rFonts w:ascii="Arial" w:eastAsia="Arial" w:hAnsi="Arial" w:cs="Arial"/>
      <w:sz w:val="22"/>
      <w:szCs w:val="22"/>
      <w:lang w:val="en"/>
    </w:rPr>
    <w:tblPr>
      <w:tblStyleRowBandSize w:val="1"/>
      <w:tblStyleColBandSize w:val="1"/>
      <w:tblCellMar>
        <w:left w:w="115" w:type="dxa"/>
        <w:right w:w="115" w:type="dxa"/>
      </w:tblCellMar>
    </w:tblPr>
    <w:tcPr>
      <w:shd w:val="clear" w:color="auto" w:fill="FFFFFF"/>
    </w:tcPr>
  </w:style>
  <w:style w:type="table" w:customStyle="1" w:styleId="2">
    <w:name w:val="2"/>
    <w:basedOn w:val="TableNormal"/>
    <w:rsid w:val="00341DC1"/>
    <w:pPr>
      <w:spacing w:line="276" w:lineRule="auto"/>
    </w:pPr>
    <w:rPr>
      <w:rFonts w:ascii="Arial" w:eastAsia="Arial" w:hAnsi="Arial" w:cs="Arial"/>
      <w:sz w:val="22"/>
      <w:szCs w:val="22"/>
      <w:lang w:val="en"/>
    </w:rPr>
    <w:tblPr>
      <w:tblStyleRowBandSize w:val="1"/>
      <w:tblStyleColBandSize w:val="1"/>
      <w:tblCellMar>
        <w:left w:w="115" w:type="dxa"/>
        <w:right w:w="115" w:type="dxa"/>
      </w:tblCellMar>
    </w:tblPr>
    <w:tcPr>
      <w:shd w:val="clear" w:color="auto" w:fill="FFFFFF"/>
    </w:tcPr>
  </w:style>
  <w:style w:type="table" w:customStyle="1" w:styleId="1">
    <w:name w:val="1"/>
    <w:basedOn w:val="TableNormal"/>
    <w:rsid w:val="00341DC1"/>
    <w:pPr>
      <w:spacing w:line="276" w:lineRule="auto"/>
    </w:pPr>
    <w:rPr>
      <w:rFonts w:ascii="Arial" w:eastAsia="Arial" w:hAnsi="Arial" w:cs="Arial"/>
      <w:sz w:val="22"/>
      <w:szCs w:val="22"/>
      <w:lang w:val="en"/>
    </w:rPr>
    <w:tblPr>
      <w:tblStyleRowBandSize w:val="1"/>
      <w:tblStyleColBandSize w:val="1"/>
      <w:tblCellMar>
        <w:left w:w="115" w:type="dxa"/>
        <w:right w:w="115" w:type="dxa"/>
      </w:tblCellMar>
    </w:tblPr>
    <w:tcPr>
      <w:shd w:val="clear" w:color="auto" w:fill="FFFFFF"/>
    </w:tcPr>
  </w:style>
  <w:style w:type="paragraph" w:styleId="NormalWeb">
    <w:name w:val="Normal (Web)"/>
    <w:basedOn w:val="Normal"/>
    <w:uiPriority w:val="99"/>
    <w:semiHidden/>
    <w:unhideWhenUsed/>
    <w:rsid w:val="00341DC1"/>
    <w:pPr>
      <w:spacing w:before="100" w:beforeAutospacing="1" w:after="100" w:afterAutospacing="1" w:line="240" w:lineRule="auto"/>
    </w:pPr>
    <w:rPr>
      <w:rFonts w:ascii="Times New Roman" w:eastAsia="Times New Roman" w:hAnsi="Times New Roman" w:cs="Times New Roman"/>
      <w:sz w:val="24"/>
      <w:szCs w:val="24"/>
      <w:lang w:val="en-CA"/>
    </w:rPr>
  </w:style>
  <w:style w:type="paragraph" w:styleId="ListParagraph">
    <w:name w:val="List Paragraph"/>
    <w:basedOn w:val="Normal"/>
    <w:uiPriority w:val="34"/>
    <w:qFormat/>
    <w:rsid w:val="00341DC1"/>
    <w:pPr>
      <w:ind w:left="720"/>
      <w:contextualSpacing/>
    </w:pPr>
  </w:style>
  <w:style w:type="paragraph" w:styleId="Footer">
    <w:name w:val="footer"/>
    <w:basedOn w:val="Normal"/>
    <w:link w:val="FooterChar"/>
    <w:uiPriority w:val="99"/>
    <w:unhideWhenUsed/>
    <w:rsid w:val="00341DC1"/>
    <w:pPr>
      <w:tabs>
        <w:tab w:val="center" w:pos="4680"/>
        <w:tab w:val="right" w:pos="9360"/>
      </w:tabs>
      <w:spacing w:line="240" w:lineRule="auto"/>
    </w:pPr>
  </w:style>
  <w:style w:type="character" w:customStyle="1" w:styleId="FooterChar">
    <w:name w:val="Footer Char"/>
    <w:basedOn w:val="DefaultParagraphFont"/>
    <w:link w:val="Footer"/>
    <w:uiPriority w:val="99"/>
    <w:rsid w:val="00341DC1"/>
    <w:rPr>
      <w:rFonts w:ascii="Arial" w:eastAsia="Arial" w:hAnsi="Arial" w:cs="Arial"/>
      <w:sz w:val="22"/>
      <w:szCs w:val="22"/>
      <w:lang w:val="en"/>
    </w:rPr>
  </w:style>
  <w:style w:type="character" w:styleId="PageNumber">
    <w:name w:val="page number"/>
    <w:basedOn w:val="DefaultParagraphFont"/>
    <w:uiPriority w:val="99"/>
    <w:semiHidden/>
    <w:unhideWhenUsed/>
    <w:rsid w:val="00341DC1"/>
  </w:style>
  <w:style w:type="paragraph" w:styleId="Bibliography">
    <w:name w:val="Bibliography"/>
    <w:basedOn w:val="Normal"/>
    <w:next w:val="Normal"/>
    <w:uiPriority w:val="37"/>
    <w:unhideWhenUsed/>
    <w:rsid w:val="00341DC1"/>
    <w:pPr>
      <w:spacing w:line="480" w:lineRule="auto"/>
      <w:ind w:left="720" w:hanging="720"/>
    </w:pPr>
  </w:style>
  <w:style w:type="paragraph" w:styleId="CommentSubject">
    <w:name w:val="annotation subject"/>
    <w:basedOn w:val="CommentText"/>
    <w:next w:val="CommentText"/>
    <w:link w:val="CommentSubjectChar"/>
    <w:uiPriority w:val="99"/>
    <w:semiHidden/>
    <w:unhideWhenUsed/>
    <w:rsid w:val="00341DC1"/>
    <w:rPr>
      <w:b/>
      <w:bCs/>
    </w:rPr>
  </w:style>
  <w:style w:type="character" w:customStyle="1" w:styleId="CommentSubjectChar">
    <w:name w:val="Comment Subject Char"/>
    <w:basedOn w:val="CommentTextChar"/>
    <w:link w:val="CommentSubject"/>
    <w:uiPriority w:val="99"/>
    <w:semiHidden/>
    <w:rsid w:val="00341DC1"/>
    <w:rPr>
      <w:rFonts w:ascii="Arial" w:eastAsia="Arial" w:hAnsi="Arial" w:cs="Arial"/>
      <w:b/>
      <w:bCs/>
      <w:sz w:val="20"/>
      <w:szCs w:val="20"/>
      <w:lang w:val="en"/>
    </w:rPr>
  </w:style>
  <w:style w:type="table" w:styleId="PlainTable3">
    <w:name w:val="Plain Table 3"/>
    <w:basedOn w:val="TableNormal"/>
    <w:uiPriority w:val="43"/>
    <w:rsid w:val="00341DC1"/>
    <w:rPr>
      <w:rFonts w:ascii="Arial" w:eastAsia="Arial" w:hAnsi="Arial" w:cs="Arial"/>
      <w:sz w:val="22"/>
      <w:szCs w:val="22"/>
      <w:lang w:val="en"/>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given-name">
    <w:name w:val="given-name"/>
    <w:basedOn w:val="DefaultParagraphFont"/>
    <w:rsid w:val="00341DC1"/>
  </w:style>
  <w:style w:type="character" w:customStyle="1" w:styleId="text">
    <w:name w:val="text"/>
    <w:basedOn w:val="DefaultParagraphFont"/>
    <w:rsid w:val="00341DC1"/>
  </w:style>
  <w:style w:type="paragraph" w:customStyle="1" w:styleId="xl63">
    <w:name w:val="xl63"/>
    <w:basedOn w:val="Normal"/>
    <w:rsid w:val="00341DC1"/>
    <w:pPr>
      <w:shd w:val="clear" w:color="000000" w:fill="FFDAB9"/>
      <w:spacing w:before="100" w:beforeAutospacing="1" w:after="100" w:afterAutospacing="1" w:line="240" w:lineRule="auto"/>
      <w:jc w:val="center"/>
      <w:textAlignment w:val="center"/>
    </w:pPr>
    <w:rPr>
      <w:rFonts w:ascii="Times New Roman" w:eastAsia="Times New Roman" w:hAnsi="Times New Roman" w:cs="Times New Roman"/>
      <w:sz w:val="24"/>
      <w:szCs w:val="24"/>
      <w:lang w:val="en-CA"/>
    </w:rPr>
  </w:style>
  <w:style w:type="paragraph" w:customStyle="1" w:styleId="xl64">
    <w:name w:val="xl64"/>
    <w:basedOn w:val="Normal"/>
    <w:rsid w:val="00341DC1"/>
    <w:pPr>
      <w:pBdr>
        <w:top w:val="single" w:sz="4" w:space="0" w:color="auto"/>
      </w:pBdr>
      <w:shd w:val="clear" w:color="000000" w:fill="87CEEB"/>
      <w:spacing w:before="100" w:beforeAutospacing="1" w:after="100" w:afterAutospacing="1" w:line="240" w:lineRule="auto"/>
      <w:jc w:val="center"/>
      <w:textAlignment w:val="center"/>
    </w:pPr>
    <w:rPr>
      <w:rFonts w:ascii="Times New Roman" w:eastAsia="Times New Roman" w:hAnsi="Times New Roman" w:cs="Times New Roman"/>
      <w:sz w:val="24"/>
      <w:szCs w:val="24"/>
      <w:lang w:val="en-CA"/>
    </w:rPr>
  </w:style>
  <w:style w:type="table" w:styleId="PlainTable2">
    <w:name w:val="Plain Table 2"/>
    <w:basedOn w:val="TableNormal"/>
    <w:uiPriority w:val="42"/>
    <w:rsid w:val="00341DC1"/>
    <w:rPr>
      <w:rFonts w:ascii="Arial" w:eastAsia="Arial" w:hAnsi="Arial" w:cs="Arial"/>
      <w:sz w:val="22"/>
      <w:szCs w:val="22"/>
      <w:lang w:val="e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4">
    <w:name w:val="Plain Table 4"/>
    <w:basedOn w:val="TableNormal"/>
    <w:uiPriority w:val="44"/>
    <w:rsid w:val="00341DC1"/>
    <w:rPr>
      <w:rFonts w:ascii="Arial" w:eastAsia="Arial" w:hAnsi="Arial" w:cs="Arial"/>
      <w:sz w:val="22"/>
      <w:szCs w:val="22"/>
      <w:lang w:val="e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341DC1"/>
    <w:rPr>
      <w:rFonts w:ascii="Arial" w:eastAsia="Arial" w:hAnsi="Arial" w:cs="Arial"/>
      <w:sz w:val="22"/>
      <w:szCs w:val="22"/>
      <w:lang w:val="en"/>
    </w:rPr>
  </w:style>
  <w:style w:type="table" w:styleId="PlainTable5">
    <w:name w:val="Plain Table 5"/>
    <w:basedOn w:val="TableNormal"/>
    <w:uiPriority w:val="45"/>
    <w:rsid w:val="00341DC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Header">
    <w:name w:val="header"/>
    <w:basedOn w:val="Normal"/>
    <w:link w:val="HeaderChar"/>
    <w:uiPriority w:val="99"/>
    <w:unhideWhenUsed/>
    <w:rsid w:val="00341DC1"/>
    <w:pPr>
      <w:tabs>
        <w:tab w:val="center" w:pos="4680"/>
        <w:tab w:val="right" w:pos="9360"/>
      </w:tabs>
      <w:spacing w:line="240" w:lineRule="auto"/>
    </w:pPr>
  </w:style>
  <w:style w:type="character" w:customStyle="1" w:styleId="HeaderChar">
    <w:name w:val="Header Char"/>
    <w:basedOn w:val="DefaultParagraphFont"/>
    <w:link w:val="Header"/>
    <w:uiPriority w:val="99"/>
    <w:rsid w:val="00341DC1"/>
    <w:rPr>
      <w:rFonts w:ascii="Arial" w:eastAsia="Arial" w:hAnsi="Arial" w:cs="Arial"/>
      <w:sz w:val="22"/>
      <w:szCs w:val="22"/>
      <w:lang w:val="en"/>
    </w:rPr>
  </w:style>
  <w:style w:type="character" w:customStyle="1" w:styleId="UnresolvedMention1">
    <w:name w:val="Unresolved Mention1"/>
    <w:basedOn w:val="DefaultParagraphFont"/>
    <w:uiPriority w:val="99"/>
    <w:semiHidden/>
    <w:unhideWhenUsed/>
    <w:rsid w:val="00341DC1"/>
    <w:rPr>
      <w:color w:val="605E5C"/>
      <w:shd w:val="clear" w:color="auto" w:fill="E1DFDD"/>
    </w:rPr>
  </w:style>
  <w:style w:type="paragraph" w:styleId="BalloonText">
    <w:name w:val="Balloon Text"/>
    <w:basedOn w:val="Normal"/>
    <w:link w:val="BalloonTextChar"/>
    <w:uiPriority w:val="99"/>
    <w:semiHidden/>
    <w:unhideWhenUsed/>
    <w:rsid w:val="00341DC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1DC1"/>
    <w:rPr>
      <w:rFonts w:ascii="Segoe UI" w:eastAsia="Arial" w:hAnsi="Segoe UI" w:cs="Segoe UI"/>
      <w:sz w:val="18"/>
      <w:szCs w:val="18"/>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33390</Words>
  <Characters>190327</Characters>
  <Application>Microsoft Office Word</Application>
  <DocSecurity>0</DocSecurity>
  <Lines>1586</Lines>
  <Paragraphs>446</Paragraphs>
  <ScaleCrop>false</ScaleCrop>
  <Company/>
  <LinksUpToDate>false</LinksUpToDate>
  <CharactersWithSpaces>223271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patrick@whitefamily.ca</dc:creator>
  <cp:keywords/>
  <dc:description/>
  <cp:lastModifiedBy>patrick@whitefamily.ca</cp:lastModifiedBy>
  <cp:revision>6</cp:revision>
  <dcterms:created xsi:type="dcterms:W3CDTF">2023-12-21T21:14:00Z</dcterms:created>
  <dcterms:modified xsi:type="dcterms:W3CDTF">2023-12-21T21:22:00Z</dcterms:modified>
</cp:coreProperties>
</file>