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D2804F" w14:textId="77777777" w:rsidR="008E0AA8" w:rsidRPr="00F549CE" w:rsidRDefault="008E0AA8" w:rsidP="008E0AA8">
      <w:pPr>
        <w:pStyle w:val="NoSpacing"/>
        <w:jc w:val="both"/>
        <w:rPr>
          <w:rFonts w:asciiTheme="majorBidi" w:hAnsiTheme="majorBidi" w:cstheme="majorBidi"/>
          <w:b/>
          <w:bCs/>
          <w:lang w:val="en-US" w:bidi="fa-IR"/>
        </w:rPr>
      </w:pPr>
      <w:r w:rsidRPr="00F549CE">
        <w:rPr>
          <w:rFonts w:asciiTheme="majorBidi" w:hAnsiTheme="majorBidi" w:cstheme="majorBidi"/>
          <w:b/>
          <w:bCs/>
          <w:lang w:val="en-US" w:bidi="fa-IR"/>
        </w:rPr>
        <w:t xml:space="preserve">Supplemental Figures </w:t>
      </w:r>
    </w:p>
    <w:p w14:paraId="00912827" w14:textId="77777777" w:rsidR="008E0AA8" w:rsidRDefault="008E0AA8" w:rsidP="008E0AA8">
      <w:pPr>
        <w:pStyle w:val="NoSpacing"/>
        <w:jc w:val="both"/>
        <w:rPr>
          <w:rFonts w:asciiTheme="majorBidi" w:hAnsiTheme="majorBidi" w:cstheme="majorBidi"/>
          <w:lang w:val="en-US" w:bidi="fa-IR"/>
        </w:rPr>
      </w:pPr>
    </w:p>
    <w:p w14:paraId="5BBDFE4A" w14:textId="77777777" w:rsidR="008E0AA8" w:rsidRDefault="008E0AA8" w:rsidP="008E0AA8">
      <w:pPr>
        <w:pStyle w:val="NoSpacing"/>
        <w:jc w:val="both"/>
        <w:rPr>
          <w:rFonts w:asciiTheme="majorBidi" w:hAnsiTheme="majorBidi" w:cstheme="majorBidi"/>
          <w:lang w:val="en-US" w:bidi="fa-IR"/>
        </w:rPr>
      </w:pPr>
      <w:r w:rsidRPr="00987B1D">
        <w:rPr>
          <w:rFonts w:asciiTheme="majorBidi" w:hAnsiTheme="majorBidi" w:cstheme="majorBidi"/>
          <w:noProof/>
          <w:lang w:val="en-US" w:bidi="fa-IR"/>
        </w:rPr>
        <w:drawing>
          <wp:inline distT="0" distB="0" distL="0" distR="0" wp14:anchorId="06156797" wp14:editId="7E33C074">
            <wp:extent cx="5943600" cy="4336415"/>
            <wp:effectExtent l="0" t="0" r="0" b="0"/>
            <wp:docPr id="1895370667" name="Picture 1" descr="A collage of different colored ba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5370667" name="Picture 1" descr="A collage of different colored bars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3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D13779" w14:textId="77777777" w:rsidR="008E0AA8" w:rsidRDefault="008E0AA8" w:rsidP="008E0AA8">
      <w:pPr>
        <w:pStyle w:val="NoSpacing"/>
        <w:jc w:val="both"/>
        <w:rPr>
          <w:rFonts w:asciiTheme="majorBidi" w:hAnsiTheme="majorBidi" w:cstheme="majorBidi"/>
          <w:lang w:val="en-US" w:bidi="fa-IR"/>
        </w:rPr>
      </w:pPr>
      <w:r w:rsidRPr="00D67FC3">
        <w:rPr>
          <w:rFonts w:asciiTheme="majorBidi" w:hAnsiTheme="majorBidi" w:cstheme="majorBidi"/>
          <w:b/>
          <w:bCs/>
          <w:lang w:val="en-US" w:bidi="fa-IR"/>
        </w:rPr>
        <w:t>Figure S1 Clinical features of identified clones</w:t>
      </w:r>
      <w:r>
        <w:rPr>
          <w:rFonts w:asciiTheme="majorBidi" w:hAnsiTheme="majorBidi" w:cstheme="majorBidi"/>
          <w:lang w:val="en-US" w:bidi="fa-IR"/>
        </w:rPr>
        <w:t xml:space="preserve"> for community mode of acquisition A), site of infection </w:t>
      </w:r>
      <w:proofErr w:type="gramStart"/>
      <w:r>
        <w:rPr>
          <w:rFonts w:asciiTheme="majorBidi" w:hAnsiTheme="majorBidi" w:cstheme="majorBidi"/>
          <w:lang w:val="en-US" w:bidi="fa-IR"/>
        </w:rPr>
        <w:t>B)  and</w:t>
      </w:r>
      <w:proofErr w:type="gramEnd"/>
      <w:r>
        <w:rPr>
          <w:rFonts w:asciiTheme="majorBidi" w:hAnsiTheme="majorBidi" w:cstheme="majorBidi"/>
          <w:lang w:val="en-US" w:bidi="fa-IR"/>
        </w:rPr>
        <w:t xml:space="preserve"> age of the patients C) hospitalization period D). </w:t>
      </w:r>
    </w:p>
    <w:p w14:paraId="4F49F30D" w14:textId="77777777" w:rsidR="008E0AA8" w:rsidRDefault="008E0AA8" w:rsidP="008E0AA8">
      <w:pPr>
        <w:pStyle w:val="NoSpacing"/>
        <w:jc w:val="both"/>
        <w:rPr>
          <w:rFonts w:asciiTheme="majorBidi" w:hAnsiTheme="majorBidi" w:cstheme="majorBidi"/>
          <w:b/>
          <w:bCs/>
          <w:lang w:val="en-US"/>
        </w:rPr>
      </w:pPr>
      <w:r w:rsidRPr="00BD737B">
        <w:rPr>
          <w:rFonts w:asciiTheme="majorBidi" w:hAnsiTheme="majorBidi" w:cstheme="majorBidi"/>
          <w:noProof/>
          <w:lang w:val="en-US" w:bidi="fa-IR"/>
        </w:rPr>
        <w:lastRenderedPageBreak/>
        <w:drawing>
          <wp:inline distT="0" distB="0" distL="0" distR="0" wp14:anchorId="226B0F9D" wp14:editId="0042BC0D">
            <wp:extent cx="5943600" cy="5893435"/>
            <wp:effectExtent l="0" t="0" r="0" b="0"/>
            <wp:docPr id="1566877552" name="Picture 1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877552" name="Picture 1" descr="A close-up of a graph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893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FE083F" w14:textId="77777777" w:rsidR="008E0AA8" w:rsidRPr="00471B35" w:rsidRDefault="008E0AA8" w:rsidP="008E0AA8">
      <w:pPr>
        <w:pStyle w:val="NoSpacing"/>
        <w:jc w:val="both"/>
        <w:rPr>
          <w:rFonts w:asciiTheme="majorBidi" w:hAnsiTheme="majorBidi" w:cstheme="majorBidi"/>
          <w:lang w:val="en-US" w:bidi="fa-IR"/>
        </w:rPr>
      </w:pPr>
      <w:r w:rsidRPr="00471B35">
        <w:rPr>
          <w:rFonts w:asciiTheme="majorBidi" w:hAnsiTheme="majorBidi" w:cstheme="majorBidi"/>
          <w:b/>
          <w:bCs/>
          <w:lang w:val="en-US"/>
        </w:rPr>
        <w:t xml:space="preserve">Figure S2: The phylogenetic distribution of </w:t>
      </w:r>
      <w:proofErr w:type="spellStart"/>
      <w:r w:rsidRPr="00471B35">
        <w:rPr>
          <w:rFonts w:asciiTheme="majorBidi" w:hAnsiTheme="majorBidi" w:cstheme="majorBidi"/>
          <w:b/>
          <w:bCs/>
          <w:lang w:val="en-US"/>
        </w:rPr>
        <w:t>SCCmec</w:t>
      </w:r>
      <w:proofErr w:type="spellEnd"/>
      <w:r w:rsidRPr="00471B35">
        <w:rPr>
          <w:rFonts w:asciiTheme="majorBidi" w:hAnsiTheme="majorBidi" w:cstheme="majorBidi"/>
          <w:b/>
          <w:bCs/>
          <w:lang w:val="en-US"/>
        </w:rPr>
        <w:t xml:space="preserve"> elements. </w:t>
      </w:r>
      <w:r w:rsidRPr="00471B35">
        <w:rPr>
          <w:rFonts w:asciiTheme="majorBidi" w:hAnsiTheme="majorBidi" w:cstheme="majorBidi"/>
          <w:lang w:val="en-US"/>
        </w:rPr>
        <w:t xml:space="preserve">Color intensity corresponds to the similarity level as measured by the Hamming distance between the identified </w:t>
      </w:r>
      <w:proofErr w:type="spellStart"/>
      <w:r w:rsidRPr="00471B35">
        <w:rPr>
          <w:rFonts w:asciiTheme="majorBidi" w:hAnsiTheme="majorBidi" w:cstheme="majorBidi"/>
          <w:lang w:val="en-US"/>
        </w:rPr>
        <w:t>SCCmec</w:t>
      </w:r>
      <w:proofErr w:type="spellEnd"/>
      <w:r w:rsidRPr="00471B35">
        <w:rPr>
          <w:rFonts w:asciiTheme="majorBidi" w:hAnsiTheme="majorBidi" w:cstheme="majorBidi"/>
          <w:lang w:val="en-US"/>
        </w:rPr>
        <w:t xml:space="preserve"> element and the known elements in the </w:t>
      </w:r>
      <w:proofErr w:type="spellStart"/>
      <w:r w:rsidRPr="00471B35">
        <w:rPr>
          <w:rFonts w:asciiTheme="majorBidi" w:hAnsiTheme="majorBidi" w:cstheme="majorBidi"/>
          <w:lang w:val="en-US"/>
        </w:rPr>
        <w:t>Staphoria</w:t>
      </w:r>
      <w:proofErr w:type="spellEnd"/>
      <w:r w:rsidRPr="00471B35">
        <w:rPr>
          <w:rFonts w:asciiTheme="majorBidi" w:hAnsiTheme="majorBidi" w:cstheme="majorBidi"/>
          <w:lang w:val="en-US"/>
        </w:rPr>
        <w:t xml:space="preserve"> database. The first column shows the distance between the </w:t>
      </w:r>
      <w:proofErr w:type="spellStart"/>
      <w:r w:rsidRPr="00471B35">
        <w:rPr>
          <w:rFonts w:asciiTheme="majorBidi" w:hAnsiTheme="majorBidi" w:cstheme="majorBidi"/>
          <w:lang w:val="en-US"/>
        </w:rPr>
        <w:t>mecA</w:t>
      </w:r>
      <w:proofErr w:type="spellEnd"/>
      <w:r w:rsidRPr="00471B35">
        <w:rPr>
          <w:rFonts w:asciiTheme="majorBidi" w:hAnsiTheme="majorBidi" w:cstheme="majorBidi"/>
          <w:lang w:val="en-US"/>
        </w:rPr>
        <w:t xml:space="preserve"> element and the </w:t>
      </w:r>
      <w:proofErr w:type="spellStart"/>
      <w:r w:rsidRPr="00471B35">
        <w:rPr>
          <w:rFonts w:asciiTheme="majorBidi" w:hAnsiTheme="majorBidi" w:cstheme="majorBidi"/>
          <w:lang w:val="en-US"/>
        </w:rPr>
        <w:t>mec</w:t>
      </w:r>
      <w:proofErr w:type="spellEnd"/>
      <w:r w:rsidRPr="00471B35">
        <w:rPr>
          <w:rFonts w:asciiTheme="majorBidi" w:hAnsiTheme="majorBidi" w:cstheme="majorBidi"/>
          <w:lang w:val="en-US"/>
        </w:rPr>
        <w:t xml:space="preserve">(A) gene in the database of known </w:t>
      </w:r>
      <w:proofErr w:type="spellStart"/>
      <w:r w:rsidRPr="00471B35">
        <w:rPr>
          <w:rFonts w:asciiTheme="majorBidi" w:hAnsiTheme="majorBidi" w:cstheme="majorBidi"/>
          <w:lang w:val="en-US"/>
        </w:rPr>
        <w:t>SCCmec</w:t>
      </w:r>
      <w:proofErr w:type="spellEnd"/>
      <w:r w:rsidRPr="00471B35">
        <w:rPr>
          <w:rFonts w:asciiTheme="majorBidi" w:hAnsiTheme="majorBidi" w:cstheme="majorBidi"/>
          <w:lang w:val="en-US"/>
        </w:rPr>
        <w:t xml:space="preserve"> elements.</w:t>
      </w:r>
    </w:p>
    <w:p w14:paraId="468F4083" w14:textId="77777777" w:rsidR="008E0AA8" w:rsidRDefault="008E0AA8" w:rsidP="008E0AA8">
      <w:pPr>
        <w:pStyle w:val="NoSpacing"/>
        <w:jc w:val="both"/>
        <w:rPr>
          <w:rFonts w:asciiTheme="majorBidi" w:hAnsiTheme="majorBidi" w:cstheme="majorBidi"/>
          <w:lang w:val="en-US" w:bidi="fa-IR"/>
        </w:rPr>
      </w:pPr>
    </w:p>
    <w:p w14:paraId="00AAC373" w14:textId="77777777" w:rsidR="008E0AA8" w:rsidRDefault="008E0AA8" w:rsidP="008E0AA8">
      <w:pPr>
        <w:pStyle w:val="NoSpacing"/>
        <w:jc w:val="both"/>
        <w:rPr>
          <w:rFonts w:asciiTheme="majorBidi" w:hAnsiTheme="majorBidi" w:cstheme="majorBidi"/>
          <w:lang w:val="en-US" w:bidi="fa-IR"/>
        </w:rPr>
      </w:pPr>
    </w:p>
    <w:p w14:paraId="3218CECC" w14:textId="77777777" w:rsidR="008E0AA8" w:rsidRDefault="008E0AA8" w:rsidP="008E0AA8">
      <w:pPr>
        <w:pStyle w:val="NoSpacing"/>
        <w:jc w:val="both"/>
        <w:rPr>
          <w:rFonts w:asciiTheme="majorBidi" w:hAnsiTheme="majorBidi" w:cstheme="majorBidi"/>
          <w:lang w:val="en-US" w:bidi="fa-IR"/>
        </w:rPr>
      </w:pPr>
    </w:p>
    <w:p w14:paraId="7CC22E8A" w14:textId="77777777" w:rsidR="008E0AA8" w:rsidRDefault="008E0AA8" w:rsidP="008E0AA8">
      <w:pPr>
        <w:pStyle w:val="NoSpacing"/>
        <w:jc w:val="both"/>
        <w:rPr>
          <w:rFonts w:asciiTheme="majorBidi" w:hAnsiTheme="majorBidi" w:cstheme="majorBidi"/>
          <w:lang w:val="en-US" w:bidi="fa-IR"/>
        </w:rPr>
      </w:pPr>
    </w:p>
    <w:p w14:paraId="408065F2" w14:textId="77777777" w:rsidR="008E0AA8" w:rsidRDefault="008E0AA8" w:rsidP="008E0AA8">
      <w:pPr>
        <w:pStyle w:val="NoSpacing"/>
        <w:jc w:val="both"/>
        <w:rPr>
          <w:rFonts w:asciiTheme="majorBidi" w:hAnsiTheme="majorBidi" w:cstheme="majorBidi"/>
          <w:lang w:val="en-US" w:bidi="fa-IR"/>
        </w:rPr>
      </w:pPr>
    </w:p>
    <w:p w14:paraId="18D3D640" w14:textId="77777777" w:rsidR="008E0AA8" w:rsidRDefault="008E0AA8" w:rsidP="008E0AA8">
      <w:pPr>
        <w:pStyle w:val="NoSpacing"/>
        <w:jc w:val="both"/>
        <w:rPr>
          <w:rFonts w:asciiTheme="majorBidi" w:hAnsiTheme="majorBidi" w:cstheme="majorBidi"/>
          <w:b/>
          <w:bCs/>
          <w:lang w:val="en-US"/>
        </w:rPr>
      </w:pPr>
    </w:p>
    <w:p w14:paraId="11CF06DB" w14:textId="77777777" w:rsidR="008E0AA8" w:rsidRDefault="008E0AA8" w:rsidP="008E0AA8">
      <w:pPr>
        <w:pStyle w:val="NoSpacing"/>
        <w:jc w:val="both"/>
        <w:rPr>
          <w:rFonts w:asciiTheme="majorBidi" w:hAnsiTheme="majorBidi" w:cstheme="majorBidi"/>
          <w:b/>
          <w:bCs/>
          <w:lang w:val="en-US"/>
        </w:rPr>
      </w:pPr>
    </w:p>
    <w:p w14:paraId="4E46BC7A" w14:textId="77777777" w:rsidR="008E0AA8" w:rsidRDefault="008E0AA8" w:rsidP="008E0AA8">
      <w:pPr>
        <w:pStyle w:val="NoSpacing"/>
        <w:jc w:val="both"/>
        <w:rPr>
          <w:rFonts w:asciiTheme="majorBidi" w:hAnsiTheme="majorBidi" w:cstheme="majorBidi"/>
          <w:b/>
          <w:bCs/>
          <w:lang w:val="en-US"/>
        </w:rPr>
      </w:pPr>
      <w:r w:rsidRPr="004D5A0E">
        <w:rPr>
          <w:rFonts w:asciiTheme="majorBidi" w:hAnsiTheme="majorBidi" w:cstheme="majorBidi"/>
          <w:b/>
          <w:bCs/>
          <w:noProof/>
          <w:lang w:val="en-US"/>
        </w:rPr>
        <w:lastRenderedPageBreak/>
        <w:drawing>
          <wp:inline distT="0" distB="0" distL="0" distR="0" wp14:anchorId="1B34F32D" wp14:editId="5961BE85">
            <wp:extent cx="5943600" cy="5131435"/>
            <wp:effectExtent l="0" t="0" r="0" b="0"/>
            <wp:docPr id="1789816434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9816434" name="Picture 1" descr="A screenshot of a graph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3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B961A6" w14:textId="77777777" w:rsidR="008E0AA8" w:rsidRDefault="008E0AA8" w:rsidP="008E0AA8">
      <w:pPr>
        <w:pStyle w:val="NoSpacing"/>
        <w:jc w:val="both"/>
        <w:rPr>
          <w:rFonts w:asciiTheme="majorBidi" w:hAnsiTheme="majorBidi" w:cstheme="majorBidi"/>
          <w:lang w:val="en-US" w:bidi="fa-IR"/>
        </w:rPr>
      </w:pPr>
      <w:r>
        <w:rPr>
          <w:rFonts w:asciiTheme="majorBidi" w:hAnsiTheme="majorBidi" w:cstheme="majorBidi"/>
          <w:b/>
          <w:bCs/>
          <w:lang w:val="en-US"/>
        </w:rPr>
        <w:t>Figure S</w:t>
      </w:r>
      <w:r>
        <w:rPr>
          <w:rFonts w:asciiTheme="majorBidi" w:hAnsiTheme="majorBidi" w:cstheme="majorBidi"/>
          <w:b/>
          <w:bCs/>
          <w:lang w:val="en-US" w:bidi="fa-IR"/>
        </w:rPr>
        <w:t xml:space="preserve">3 </w:t>
      </w:r>
      <w:proofErr w:type="gramStart"/>
      <w:r>
        <w:rPr>
          <w:rFonts w:asciiTheme="majorBidi" w:hAnsiTheme="majorBidi" w:cstheme="majorBidi"/>
          <w:b/>
          <w:bCs/>
          <w:lang w:val="en-US" w:bidi="fa-IR"/>
        </w:rPr>
        <w:t>The</w:t>
      </w:r>
      <w:proofErr w:type="gramEnd"/>
      <w:r>
        <w:rPr>
          <w:rFonts w:asciiTheme="majorBidi" w:hAnsiTheme="majorBidi" w:cstheme="majorBidi"/>
          <w:b/>
          <w:bCs/>
          <w:lang w:val="en-US" w:bidi="fa-IR"/>
        </w:rPr>
        <w:t xml:space="preserve"> association of the colonization by the clones and their links with in-hospital mortality</w:t>
      </w:r>
      <w:r w:rsidRPr="004D5A0E">
        <w:rPr>
          <w:rFonts w:asciiTheme="majorBidi" w:hAnsiTheme="majorBidi" w:cstheme="majorBidi"/>
          <w:lang w:val="en-US" w:bidi="fa-IR"/>
        </w:rPr>
        <w:t>. A)</w:t>
      </w:r>
      <w:r w:rsidRPr="004D5A0E">
        <w:rPr>
          <w:rFonts w:ascii="Times New Roman" w:eastAsia="Times New Roman" w:hAnsi="Times New Roman" w:cs="Times New Roman"/>
          <w:kern w:val="0"/>
          <w:lang/>
          <w14:ligatures w14:val="none"/>
        </w:rPr>
        <w:t xml:space="preserve"> </w:t>
      </w:r>
      <w:r w:rsidRPr="004D5A0E">
        <w:rPr>
          <w:rFonts w:asciiTheme="majorBidi" w:hAnsiTheme="majorBidi" w:cstheme="majorBidi"/>
          <w:lang w:bidi="fa-IR"/>
        </w:rPr>
        <w:t>Cox regression model</w:t>
      </w:r>
      <w:r>
        <w:rPr>
          <w:rFonts w:asciiTheme="majorBidi" w:hAnsiTheme="majorBidi" w:cstheme="majorBidi"/>
          <w:lang w:val="en-US" w:bidi="fa-IR"/>
        </w:rPr>
        <w:t xml:space="preserve">. The HR values greater and smaller than one correspond to the increased and decreased hazard of death. B) Odd-ratio values computed for major clones and other clones collectively. The dotted line show odds-ratio of one indicating no effect. C) Coefficients from logistic regression after accounting for the impact of age and infection source. The bars in B) and C) represent 95% confidence interval.  </w:t>
      </w:r>
    </w:p>
    <w:p w14:paraId="04E3E22B" w14:textId="77777777" w:rsidR="008E0AA8" w:rsidRDefault="008E0AA8" w:rsidP="008E0AA8">
      <w:pPr>
        <w:pStyle w:val="NoSpacing"/>
        <w:jc w:val="both"/>
        <w:rPr>
          <w:rFonts w:asciiTheme="majorBidi" w:hAnsiTheme="majorBidi" w:cstheme="majorBidi"/>
          <w:lang w:val="en-US" w:bidi="fa-IR"/>
        </w:rPr>
      </w:pPr>
    </w:p>
    <w:p w14:paraId="35683C53" w14:textId="77777777" w:rsidR="008E0AA8" w:rsidRDefault="008E0AA8" w:rsidP="008E0AA8">
      <w:pPr>
        <w:pStyle w:val="NoSpacing"/>
        <w:jc w:val="both"/>
        <w:rPr>
          <w:rFonts w:asciiTheme="majorBidi" w:hAnsiTheme="majorBidi" w:cstheme="majorBidi"/>
          <w:lang w:val="en-US" w:bidi="fa-IR"/>
        </w:rPr>
      </w:pPr>
      <w:r w:rsidRPr="00FF5759">
        <w:rPr>
          <w:rFonts w:asciiTheme="majorBidi" w:hAnsiTheme="majorBidi" w:cstheme="majorBidi"/>
          <w:noProof/>
          <w:lang w:val="en-US" w:bidi="fa-IR"/>
        </w:rPr>
        <w:lastRenderedPageBreak/>
        <w:drawing>
          <wp:inline distT="0" distB="0" distL="0" distR="0" wp14:anchorId="15D6CCE2" wp14:editId="6C7EC866">
            <wp:extent cx="5943600" cy="4034155"/>
            <wp:effectExtent l="0" t="0" r="0" b="4445"/>
            <wp:docPr id="500981402" name="Picture 1" descr="A collage of different colored ba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981402" name="Picture 1" descr="A collage of different colored bars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34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DF1889" w14:textId="77777777" w:rsidR="008E0AA8" w:rsidRPr="00E06A67" w:rsidRDefault="008E0AA8" w:rsidP="008E0AA8">
      <w:pPr>
        <w:pStyle w:val="NoSpacing"/>
        <w:jc w:val="both"/>
        <w:rPr>
          <w:rFonts w:asciiTheme="majorBidi" w:hAnsiTheme="majorBidi" w:cstheme="majorBidi"/>
          <w:lang w:val="en-US" w:bidi="fa-IR"/>
        </w:rPr>
      </w:pPr>
      <w:r w:rsidRPr="00FF5759">
        <w:rPr>
          <w:rFonts w:asciiTheme="majorBidi" w:hAnsiTheme="majorBidi" w:cstheme="majorBidi"/>
          <w:b/>
          <w:bCs/>
          <w:lang w:val="en-US" w:bidi="fa-IR"/>
        </w:rPr>
        <w:t xml:space="preserve">Figure </w:t>
      </w:r>
      <w:r>
        <w:rPr>
          <w:rFonts w:asciiTheme="majorBidi" w:hAnsiTheme="majorBidi" w:cstheme="majorBidi"/>
          <w:b/>
          <w:bCs/>
          <w:lang w:val="en-US" w:bidi="fa-IR"/>
        </w:rPr>
        <w:t>S5</w:t>
      </w:r>
      <w:r w:rsidRPr="00FF5759">
        <w:rPr>
          <w:rFonts w:asciiTheme="majorBidi" w:hAnsiTheme="majorBidi" w:cstheme="majorBidi"/>
          <w:b/>
          <w:bCs/>
          <w:lang w:val="en-US" w:bidi="fa-IR"/>
        </w:rPr>
        <w:t xml:space="preserve"> Importance of diagnostic terms in the corpus of </w:t>
      </w:r>
      <w:proofErr w:type="gramStart"/>
      <w:r w:rsidRPr="00FF5759">
        <w:rPr>
          <w:rFonts w:asciiTheme="majorBidi" w:hAnsiTheme="majorBidi" w:cstheme="majorBidi"/>
          <w:b/>
          <w:bCs/>
          <w:lang w:val="en-US" w:bidi="fa-IR"/>
        </w:rPr>
        <w:t>patients’</w:t>
      </w:r>
      <w:proofErr w:type="gramEnd"/>
      <w:r w:rsidRPr="00FF5759">
        <w:rPr>
          <w:rFonts w:asciiTheme="majorBidi" w:hAnsiTheme="majorBidi" w:cstheme="majorBidi"/>
          <w:b/>
          <w:bCs/>
          <w:lang w:val="en-US" w:bidi="fa-IR"/>
        </w:rPr>
        <w:t xml:space="preserve"> diagnosed with the strains from different BAPS groups.</w:t>
      </w:r>
      <w:r>
        <w:rPr>
          <w:rFonts w:asciiTheme="majorBidi" w:hAnsiTheme="majorBidi" w:cstheme="majorBidi"/>
          <w:lang w:val="en-US" w:bidi="fa-IR"/>
        </w:rPr>
        <w:t xml:space="preserve"> </w:t>
      </w:r>
      <w:proofErr w:type="spellStart"/>
      <w:r>
        <w:rPr>
          <w:rFonts w:asciiTheme="majorBidi" w:hAnsiTheme="majorBidi" w:cstheme="majorBidi"/>
          <w:lang w:val="en-US" w:bidi="fa-IR"/>
        </w:rPr>
        <w:t>Tf</w:t>
      </w:r>
      <w:proofErr w:type="spellEnd"/>
      <w:r>
        <w:rPr>
          <w:rFonts w:asciiTheme="majorBidi" w:hAnsiTheme="majorBidi" w:cstheme="majorBidi"/>
          <w:lang w:val="en-US" w:bidi="fa-IR"/>
        </w:rPr>
        <w:t xml:space="preserve">-IDF </w:t>
      </w:r>
      <w:r w:rsidRPr="00FF5759">
        <w:rPr>
          <w:rFonts w:asciiTheme="majorBidi" w:hAnsiTheme="majorBidi" w:cstheme="majorBidi"/>
          <w:lang w:bidi="fa-IR"/>
        </w:rPr>
        <w:t>(Term Frequency - Inverse Document Frequency)</w:t>
      </w:r>
      <w:r>
        <w:rPr>
          <w:rFonts w:asciiTheme="majorBidi" w:hAnsiTheme="majorBidi" w:cstheme="majorBidi"/>
          <w:lang w:val="en-US" w:bidi="fa-IR"/>
        </w:rPr>
        <w:t xml:space="preserve"> values stands corresponds to how</w:t>
      </w:r>
      <w:r w:rsidRPr="00FF5759">
        <w:rPr>
          <w:rFonts w:asciiTheme="majorBidi" w:hAnsiTheme="majorBidi" w:cstheme="majorBidi"/>
          <w:lang w:bidi="fa-IR"/>
        </w:rPr>
        <w:t xml:space="preserve"> relevant th</w:t>
      </w:r>
      <w:r>
        <w:rPr>
          <w:rFonts w:asciiTheme="majorBidi" w:hAnsiTheme="majorBidi" w:cstheme="majorBidi"/>
          <w:lang w:val="en-US" w:bidi="fa-IR"/>
        </w:rPr>
        <w:t>e</w:t>
      </w:r>
      <w:r w:rsidRPr="00FF5759">
        <w:rPr>
          <w:rFonts w:asciiTheme="majorBidi" w:hAnsiTheme="majorBidi" w:cstheme="majorBidi"/>
          <w:lang w:bidi="fa-IR"/>
        </w:rPr>
        <w:t xml:space="preserve"> word </w:t>
      </w:r>
      <w:r>
        <w:rPr>
          <w:rFonts w:asciiTheme="majorBidi" w:hAnsiTheme="majorBidi" w:cstheme="majorBidi"/>
          <w:lang w:val="en-US" w:bidi="fa-IR"/>
        </w:rPr>
        <w:t>is</w:t>
      </w:r>
      <w:r w:rsidRPr="00FF5759">
        <w:rPr>
          <w:rFonts w:asciiTheme="majorBidi" w:hAnsiTheme="majorBidi" w:cstheme="majorBidi"/>
          <w:lang w:bidi="fa-IR"/>
        </w:rPr>
        <w:t xml:space="preserve"> to a given </w:t>
      </w:r>
      <w:r>
        <w:rPr>
          <w:rFonts w:asciiTheme="majorBidi" w:hAnsiTheme="majorBidi" w:cstheme="majorBidi"/>
          <w:lang w:val="en-US" w:bidi="fa-IR"/>
        </w:rPr>
        <w:t>corpus of the patients colonized by each BAPS strain</w:t>
      </w:r>
      <w:r w:rsidRPr="00FF5759">
        <w:rPr>
          <w:rFonts w:asciiTheme="majorBidi" w:hAnsiTheme="majorBidi" w:cstheme="majorBidi"/>
          <w:lang w:bidi="fa-IR"/>
        </w:rPr>
        <w:t>.</w:t>
      </w:r>
    </w:p>
    <w:p w14:paraId="5BBD3E8C" w14:textId="77777777" w:rsidR="008E0AA8" w:rsidRPr="004D5A0E" w:rsidRDefault="008E0AA8" w:rsidP="008E0AA8">
      <w:pPr>
        <w:pStyle w:val="NoSpacing"/>
        <w:jc w:val="both"/>
        <w:rPr>
          <w:rFonts w:asciiTheme="majorBidi" w:hAnsiTheme="majorBidi" w:cstheme="majorBidi"/>
          <w:b/>
          <w:bCs/>
          <w:lang w:val="en-US" w:bidi="fa-IR"/>
        </w:rPr>
      </w:pPr>
    </w:p>
    <w:p w14:paraId="766E878B" w14:textId="77777777" w:rsidR="00BF22EE" w:rsidRDefault="00BF22EE">
      <w:bookmarkStart w:id="0" w:name="_GoBack"/>
      <w:bookmarkEnd w:id="0"/>
    </w:p>
    <w:sectPr w:rsidR="00BF22EE" w:rsidSect="00904E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AA8"/>
    <w:rsid w:val="008E0AA8"/>
    <w:rsid w:val="00904EEA"/>
    <w:rsid w:val="00BF2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995C27"/>
  <w15:chartTrackingRefBased/>
  <w15:docId w15:val="{4FC09C05-4FD7-6A42-9099-4E9456F93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E0AA8"/>
    <w:rPr>
      <w:rFonts w:eastAsiaTheme="minorHAnsi"/>
      <w:kern w:val="2"/>
      <w:lang w:val="en-GB"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207</Words>
  <Characters>1183</Characters>
  <Application>Microsoft Office Word</Application>
  <DocSecurity>0</DocSecurity>
  <Lines>9</Lines>
  <Paragraphs>2</Paragraphs>
  <ScaleCrop>false</ScaleCrop>
  <Company/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2024-01-05T19:55:00Z</dcterms:created>
  <dcterms:modified xsi:type="dcterms:W3CDTF">2024-01-05T19:55:00Z</dcterms:modified>
</cp:coreProperties>
</file>