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B6DE3" w14:textId="77777777" w:rsidR="00CD6677" w:rsidRDefault="00CD6677" w:rsidP="00CD6677">
      <w:pPr>
        <w:pStyle w:val="Heading1"/>
        <w:rPr>
          <w:lang w:val="en-GB"/>
        </w:rPr>
      </w:pPr>
      <w:r>
        <w:rPr>
          <w:lang w:val="en-GB"/>
        </w:rPr>
        <w:t>Supplementary materials</w:t>
      </w:r>
    </w:p>
    <w:p w14:paraId="1A037B21" w14:textId="6EF4D9A7" w:rsidR="00CD6677" w:rsidRDefault="00CD6677" w:rsidP="00CD6677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F4BFE96" wp14:editId="55F9E5E1">
            <wp:extent cx="5734050" cy="3181350"/>
            <wp:effectExtent l="0" t="0" r="0" b="0"/>
            <wp:docPr id="1023560828" name="Picture 5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art, rad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0" b="15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566A" w14:textId="240AADD3" w:rsidR="00CD6677" w:rsidRDefault="00CD6677" w:rsidP="00CD6677">
      <w:pPr>
        <w:keepNext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172AF9D" wp14:editId="4A9DD53F">
            <wp:extent cx="5734050" cy="3228975"/>
            <wp:effectExtent l="0" t="0" r="0" b="9525"/>
            <wp:docPr id="406260437" name="Picture 4" descr="Chart, radar 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rt, radar 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9" b="15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AE78A" w14:textId="77777777" w:rsidR="00CD6677" w:rsidRDefault="00CD6677" w:rsidP="00CD6677">
      <w:pPr>
        <w:pStyle w:val="Caption"/>
        <w:spacing w:line="256" w:lineRule="auto"/>
        <w:jc w:val="both"/>
        <w:rPr>
          <w:i w:val="0"/>
          <w:iCs w:val="0"/>
          <w:lang w:val="en-GB"/>
        </w:rPr>
      </w:pPr>
      <w:bookmarkStart w:id="0" w:name="_Ref122338482"/>
      <w:proofErr w:type="spellStart"/>
      <w:proofErr w:type="gramStart"/>
      <w:r>
        <w:rPr>
          <w:lang w:val="en-GB"/>
        </w:rPr>
        <w:t>S.Figure</w:t>
      </w:r>
      <w:proofErr w:type="spellEnd"/>
      <w:proofErr w:type="gramEnd"/>
      <w:r>
        <w:rPr>
          <w:lang w:val="en-GB"/>
        </w:rPr>
        <w:t xml:space="preserve"> </w:t>
      </w:r>
      <w:r>
        <w:fldChar w:fldCharType="begin"/>
      </w:r>
      <w:r>
        <w:rPr>
          <w:lang w:val="en-GB"/>
        </w:rPr>
        <w:instrText xml:space="preserve"> SEQ S.Figure \* ARABIC </w:instrText>
      </w:r>
      <w:r>
        <w:fldChar w:fldCharType="separate"/>
      </w:r>
      <w:r>
        <w:rPr>
          <w:noProof/>
          <w:lang w:val="en-GB"/>
        </w:rPr>
        <w:t>1</w:t>
      </w:r>
      <w:r>
        <w:fldChar w:fldCharType="end"/>
      </w:r>
      <w:bookmarkEnd w:id="0"/>
      <w:r>
        <w:rPr>
          <w:i w:val="0"/>
          <w:iCs w:val="0"/>
          <w:lang w:val="en-GB"/>
        </w:rPr>
        <w:t xml:space="preserve">: Study treatment does not confer microbiota toxicity. No significant changes in the gut alpha diversity, at genus level, were detected in patients who experienced a clinical benefit (CB) (A). Those patients who did not experience a CB showed a trend towards increasing gut alpha diversity, though not significant. This trend was not observed in the oral alpha diversity, also at genus level (B). </w:t>
      </w:r>
    </w:p>
    <w:p w14:paraId="32F17A77" w14:textId="02D24949" w:rsidR="00CD6677" w:rsidRDefault="00CD6677" w:rsidP="00CD6677">
      <w:pPr>
        <w:pStyle w:val="Caption"/>
        <w:spacing w:line="256" w:lineRule="auto"/>
        <w:jc w:val="both"/>
        <w:rPr>
          <w:i w:val="0"/>
          <w:iCs w:val="0"/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17C7DBD3" wp14:editId="305332D8">
            <wp:extent cx="4800600" cy="4800600"/>
            <wp:effectExtent l="0" t="0" r="0" b="0"/>
            <wp:docPr id="6252376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3FF32" w14:textId="77777777" w:rsidR="00CD6677" w:rsidRDefault="00CD6677" w:rsidP="00CD6677">
      <w:pPr>
        <w:pStyle w:val="Caption"/>
        <w:jc w:val="both"/>
        <w:rPr>
          <w:i w:val="0"/>
          <w:iCs w:val="0"/>
          <w:lang w:val="en-GB"/>
        </w:rPr>
      </w:pPr>
      <w:bookmarkStart w:id="1" w:name="_Ref122338466"/>
      <w:proofErr w:type="spellStart"/>
      <w:proofErr w:type="gramStart"/>
      <w:r>
        <w:rPr>
          <w:i w:val="0"/>
          <w:iCs w:val="0"/>
          <w:lang w:val="en-GB"/>
        </w:rPr>
        <w:t>S.Figure</w:t>
      </w:r>
      <w:proofErr w:type="spellEnd"/>
      <w:proofErr w:type="gramEnd"/>
      <w:r>
        <w:rPr>
          <w:i w:val="0"/>
          <w:iCs w:val="0"/>
          <w:lang w:val="en-GB"/>
        </w:rPr>
        <w:t xml:space="preserve"> </w:t>
      </w:r>
      <w:r>
        <w:fldChar w:fldCharType="begin"/>
      </w:r>
      <w:r>
        <w:rPr>
          <w:i w:val="0"/>
          <w:iCs w:val="0"/>
          <w:lang w:val="en-GB"/>
        </w:rPr>
        <w:instrText xml:space="preserve"> SEQ S.Figure \* ARABIC </w:instrText>
      </w:r>
      <w:r>
        <w:fldChar w:fldCharType="separate"/>
      </w:r>
      <w:r>
        <w:rPr>
          <w:i w:val="0"/>
          <w:iCs w:val="0"/>
          <w:noProof/>
          <w:lang w:val="en-GB"/>
        </w:rPr>
        <w:t>2</w:t>
      </w:r>
      <w:r>
        <w:fldChar w:fldCharType="end"/>
      </w:r>
      <w:bookmarkEnd w:id="1"/>
      <w:r>
        <w:rPr>
          <w:i w:val="0"/>
          <w:iCs w:val="0"/>
          <w:lang w:val="en-GB"/>
        </w:rPr>
        <w:t xml:space="preserve">: Number of hits of Cytochrome P450 genes within each CALADRIO metagenome, stratified by clinical parameters: CB (clinical benefit), NLR (neutrophil-to-lymphocyte-ratio), PDL1 (programmed cell-death ligand 1). </w:t>
      </w:r>
    </w:p>
    <w:p w14:paraId="4F920472" w14:textId="77777777" w:rsidR="00CD6677" w:rsidRDefault="00CD6677" w:rsidP="00CD6677">
      <w:pPr>
        <w:rPr>
          <w:lang w:val="en-GB"/>
        </w:rPr>
      </w:pPr>
    </w:p>
    <w:tbl>
      <w:tblPr>
        <w:tblStyle w:val="TableGrid"/>
        <w:tblW w:w="8743" w:type="dxa"/>
        <w:tblInd w:w="0" w:type="dxa"/>
        <w:tblLook w:val="04A0" w:firstRow="1" w:lastRow="0" w:firstColumn="1" w:lastColumn="0" w:noHBand="0" w:noVBand="1"/>
      </w:tblPr>
      <w:tblGrid>
        <w:gridCol w:w="2904"/>
        <w:gridCol w:w="2924"/>
        <w:gridCol w:w="2915"/>
      </w:tblGrid>
      <w:tr w:rsidR="00CD6677" w14:paraId="1195F237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56D1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Acidovorax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5BC1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Desulfovibrio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CE0E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Methylobacterium</w:t>
            </w:r>
            <w:proofErr w:type="spellEnd"/>
          </w:p>
        </w:tc>
      </w:tr>
      <w:tr w:rsidR="00CD6677" w14:paraId="565CDFE8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D6A9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Acinetobacter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F174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Enterobacter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C3BC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Mobiluncus</w:t>
            </w:r>
            <w:proofErr w:type="spellEnd"/>
          </w:p>
        </w:tc>
      </w:tr>
      <w:tr w:rsidR="00CD6677" w14:paraId="723D0DEC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B49A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Actinomyces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524F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Enterococcus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7CC8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Mogibacterium</w:t>
            </w:r>
            <w:proofErr w:type="spellEnd"/>
          </w:p>
        </w:tc>
      </w:tr>
      <w:tr w:rsidR="00CD6677" w14:paraId="2AE5FFD9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0DF2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Aggregatibacter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D675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Faecalibacterium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FC4E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Mycoplasma</w:t>
            </w:r>
          </w:p>
        </w:tc>
      </w:tr>
      <w:tr w:rsidR="00CD6677" w14:paraId="15FDD0A1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F48F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Agrobacterium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EBC9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Filifactor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760D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Neisseria</w:t>
            </w:r>
          </w:p>
        </w:tc>
      </w:tr>
      <w:tr w:rsidR="00CD6677" w14:paraId="68842DE9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665D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Bacillus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C844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Flavobacterium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A14F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Odoribacter</w:t>
            </w:r>
            <w:proofErr w:type="spellEnd"/>
          </w:p>
        </w:tc>
      </w:tr>
      <w:tr w:rsidR="00CD6677" w14:paraId="29F43735" w14:textId="77777777" w:rsidTr="00CD6677">
        <w:trPr>
          <w:trHeight w:val="38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3829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Bacteroides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41AE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Fusobacterium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804F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Paenibacillus</w:t>
            </w:r>
            <w:proofErr w:type="spellEnd"/>
          </w:p>
        </w:tc>
      </w:tr>
      <w:tr w:rsidR="00CD6677" w14:paraId="34625534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C44C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Bifidobacterium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5B7E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Gemella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E058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Paracoccus</w:t>
            </w:r>
            <w:proofErr w:type="spellEnd"/>
          </w:p>
        </w:tc>
      </w:tr>
      <w:tr w:rsidR="00CD6677" w14:paraId="67D79F38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7F70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Blautia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4B379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Geobacillus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DCE3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Porphyromonas</w:t>
            </w:r>
            <w:proofErr w:type="spellEnd"/>
          </w:p>
        </w:tc>
      </w:tr>
      <w:tr w:rsidR="00CD6677" w14:paraId="17621D48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0E5E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Brevibacillus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22FB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Haemophilus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FA88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Prevotella</w:t>
            </w:r>
            <w:proofErr w:type="spellEnd"/>
          </w:p>
        </w:tc>
      </w:tr>
      <w:tr w:rsidR="00CD6677" w14:paraId="67D5D14C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1FF6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lastRenderedPageBreak/>
              <w:t>Bulleidia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DACF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Klebsiella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2B1C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Pseudomonas</w:t>
            </w:r>
          </w:p>
        </w:tc>
      </w:tr>
      <w:tr w:rsidR="00CD6677" w14:paraId="4919A71C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B41D4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Butyrivibrio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2719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Lachnospira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D60E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Ruminococcus</w:t>
            </w:r>
            <w:proofErr w:type="spellEnd"/>
          </w:p>
        </w:tc>
      </w:tr>
      <w:tr w:rsidR="00CD6677" w14:paraId="0C54A598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B6B5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Campylobacter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4047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Lactobacillus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CDD2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Shewanella</w:t>
            </w:r>
            <w:proofErr w:type="spellEnd"/>
          </w:p>
        </w:tc>
      </w:tr>
      <w:tr w:rsidR="00CD6677" w14:paraId="6322EFC6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6374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Capnocytophaga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2B91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Lactococcus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05A8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Sphingomonas</w:t>
            </w:r>
            <w:proofErr w:type="spellEnd"/>
          </w:p>
        </w:tc>
      </w:tr>
      <w:tr w:rsidR="00CD6677" w14:paraId="2309927E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59E4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Chryseobacterium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6D4D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Lautropia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E4E8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Staphylococcus</w:t>
            </w:r>
          </w:p>
        </w:tc>
      </w:tr>
      <w:tr w:rsidR="00CD6677" w14:paraId="72C06269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A911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Clostridium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BAFB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Leptotrichia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05CC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Stenotrophomonas</w:t>
            </w:r>
          </w:p>
        </w:tc>
      </w:tr>
      <w:tr w:rsidR="00CD6677" w14:paraId="6B6334D3" w14:textId="77777777" w:rsidTr="00CD6677">
        <w:trPr>
          <w:trHeight w:val="382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475C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Coprococcus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7FF1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Leuconostoc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337E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Streptococcus</w:t>
            </w:r>
          </w:p>
        </w:tc>
      </w:tr>
      <w:tr w:rsidR="00CD6677" w14:paraId="2F3CE3E9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6A80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Desulfobulbus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A769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Macrococcus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4B19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r>
              <w:rPr>
                <w:rFonts w:cs="Times New Roman"/>
                <w:i/>
                <w:iCs/>
                <w:lang w:val="en-GB"/>
              </w:rPr>
              <w:t>Treponema</w:t>
            </w:r>
          </w:p>
        </w:tc>
      </w:tr>
      <w:tr w:rsidR="00CD6677" w14:paraId="63E72568" w14:textId="77777777" w:rsidTr="00CD6677">
        <w:trPr>
          <w:trHeight w:val="39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35B7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Desulfomicrobium</w:t>
            </w:r>
            <w:proofErr w:type="spellEnd"/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7FAC" w14:textId="77777777" w:rsidR="00CD6677" w:rsidRDefault="00CD6677">
            <w:pPr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Methanobrevibacter</w:t>
            </w:r>
            <w:proofErr w:type="spellEnd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F3A6" w14:textId="77777777" w:rsidR="00CD6677" w:rsidRDefault="00CD6677">
            <w:pPr>
              <w:keepNext/>
              <w:rPr>
                <w:rFonts w:cs="Times New Roman"/>
                <w:i/>
                <w:iCs/>
                <w:lang w:val="en-GB"/>
              </w:rPr>
            </w:pPr>
            <w:proofErr w:type="spellStart"/>
            <w:r>
              <w:rPr>
                <w:rFonts w:cs="Times New Roman"/>
                <w:i/>
                <w:iCs/>
                <w:lang w:val="en-GB"/>
              </w:rPr>
              <w:t>Weissella</w:t>
            </w:r>
            <w:proofErr w:type="spellEnd"/>
          </w:p>
        </w:tc>
      </w:tr>
    </w:tbl>
    <w:p w14:paraId="3592FB85" w14:textId="77777777" w:rsidR="00CD6677" w:rsidRDefault="00CD6677" w:rsidP="00CD6677">
      <w:pPr>
        <w:pStyle w:val="Caption"/>
        <w:rPr>
          <w:i w:val="0"/>
          <w:iCs w:val="0"/>
          <w:lang w:val="en-GB"/>
        </w:rPr>
      </w:pPr>
      <w:bookmarkStart w:id="2" w:name="_Ref122366416"/>
      <w:r>
        <w:rPr>
          <w:i w:val="0"/>
          <w:iCs w:val="0"/>
          <w:lang w:val="en-GB"/>
        </w:rPr>
        <w:t xml:space="preserve">S. Table </w:t>
      </w:r>
      <w:r>
        <w:fldChar w:fldCharType="begin"/>
      </w:r>
      <w:r>
        <w:rPr>
          <w:i w:val="0"/>
          <w:iCs w:val="0"/>
          <w:lang w:val="en-GB"/>
        </w:rPr>
        <w:instrText xml:space="preserve"> SEQ S._Table \* ARABIC </w:instrText>
      </w:r>
      <w:r>
        <w:fldChar w:fldCharType="separate"/>
      </w:r>
      <w:r>
        <w:rPr>
          <w:i w:val="0"/>
          <w:iCs w:val="0"/>
          <w:noProof/>
          <w:lang w:val="en-GB"/>
        </w:rPr>
        <w:t>1</w:t>
      </w:r>
      <w:r>
        <w:fldChar w:fldCharType="end"/>
      </w:r>
      <w:bookmarkEnd w:id="2"/>
      <w:r>
        <w:rPr>
          <w:i w:val="0"/>
          <w:iCs w:val="0"/>
          <w:lang w:val="en-GB"/>
        </w:rPr>
        <w:t>:  57 common genera between the oral and gut microbiota.</w:t>
      </w:r>
    </w:p>
    <w:p w14:paraId="62C7F701" w14:textId="77777777" w:rsidR="00CD6677" w:rsidRDefault="00CD6677" w:rsidP="00CD6677">
      <w:pPr>
        <w:rPr>
          <w:lang w:val="en-GB"/>
        </w:rPr>
      </w:pPr>
      <w:r>
        <w:rPr>
          <w:lang w:val="en-GB"/>
        </w:rPr>
        <w:t>(A)</w:t>
      </w:r>
    </w:p>
    <w:p w14:paraId="2C5BCB77" w14:textId="609CE8F4" w:rsidR="00CD6677" w:rsidRDefault="00CD6677" w:rsidP="00CD6677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6948F38F" wp14:editId="048E4294">
            <wp:extent cx="5743575" cy="3267075"/>
            <wp:effectExtent l="0" t="0" r="9525" b="9525"/>
            <wp:docPr id="1254738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94F7F" w14:textId="77777777" w:rsidR="00CD6677" w:rsidRDefault="00CD6677" w:rsidP="00CD6677">
      <w:pPr>
        <w:rPr>
          <w:lang w:val="en-GB"/>
        </w:rPr>
      </w:pPr>
      <w:r>
        <w:rPr>
          <w:lang w:val="en-GB"/>
        </w:rPr>
        <w:t>(B)</w:t>
      </w:r>
    </w:p>
    <w:p w14:paraId="0C8BAEFB" w14:textId="399BF03B" w:rsidR="00CD6677" w:rsidRDefault="00CD6677" w:rsidP="00CD6677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2EB4A0D9" wp14:editId="41822A42">
            <wp:extent cx="5724525" cy="3276600"/>
            <wp:effectExtent l="0" t="0" r="9525" b="0"/>
            <wp:docPr id="555984127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47F9D" w14:textId="77777777" w:rsidR="00CD6677" w:rsidRDefault="00CD6677" w:rsidP="00CD6677">
      <w:pPr>
        <w:pStyle w:val="Caption"/>
        <w:rPr>
          <w:lang w:val="en-GB"/>
        </w:rPr>
      </w:pPr>
      <w:proofErr w:type="spellStart"/>
      <w:proofErr w:type="gramStart"/>
      <w:r>
        <w:rPr>
          <w:lang w:val="en-GB"/>
        </w:rPr>
        <w:t>S.Figure</w:t>
      </w:r>
      <w:proofErr w:type="spellEnd"/>
      <w:proofErr w:type="gramEnd"/>
      <w:r>
        <w:rPr>
          <w:lang w:val="en-GB"/>
        </w:rPr>
        <w:t xml:space="preserve"> 3: Differential features determined by </w:t>
      </w:r>
      <w:proofErr w:type="spellStart"/>
      <w:r>
        <w:rPr>
          <w:lang w:val="en-GB"/>
        </w:rPr>
        <w:t>LEfSe</w:t>
      </w:r>
      <w:proofErr w:type="spellEnd"/>
      <w:r>
        <w:rPr>
          <w:lang w:val="en-GB"/>
        </w:rPr>
        <w:t xml:space="preserve"> for (A) gut and (B) oral microbiota. </w:t>
      </w:r>
    </w:p>
    <w:p w14:paraId="3E609F39" w14:textId="77777777" w:rsidR="00CD6677" w:rsidRDefault="00CD6677" w:rsidP="00CD6677">
      <w:pPr>
        <w:rPr>
          <w:i/>
          <w:iCs/>
          <w:color w:val="44546A" w:themeColor="text2"/>
          <w:sz w:val="18"/>
          <w:szCs w:val="18"/>
          <w:lang w:val="en-GB"/>
        </w:rPr>
      </w:pPr>
    </w:p>
    <w:p w14:paraId="3DB6128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77"/>
    <w:rsid w:val="005374DE"/>
    <w:rsid w:val="00AD1398"/>
    <w:rsid w:val="00C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0B39B"/>
  <w15:chartTrackingRefBased/>
  <w15:docId w15:val="{5DEBC4CA-3A10-414B-9A00-7DA23C00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677"/>
    <w:pPr>
      <w:spacing w:after="0" w:line="240" w:lineRule="auto"/>
    </w:pPr>
    <w:rPr>
      <w:kern w:val="0"/>
      <w:sz w:val="24"/>
      <w:szCs w:val="24"/>
      <w:lang w:val="en-S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6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67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SG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D6677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CD6677"/>
    <w:pPr>
      <w:spacing w:after="0" w:line="240" w:lineRule="auto"/>
    </w:pPr>
    <w:rPr>
      <w:kern w:val="0"/>
      <w:sz w:val="24"/>
      <w:szCs w:val="24"/>
      <w:lang w:val="en-SG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</Words>
  <Characters>1419</Characters>
  <Application>Microsoft Office Word</Application>
  <DocSecurity>0</DocSecurity>
  <Lines>11</Lines>
  <Paragraphs>3</Paragraphs>
  <ScaleCrop>false</ScaleCrop>
  <Company>Springer Nature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2024-01-09T08:31:00Z</dcterms:created>
  <dcterms:modified xsi:type="dcterms:W3CDTF">2024-01-09T08:32:00Z</dcterms:modified>
</cp:coreProperties>
</file>