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876CAD" w14:textId="528D581A" w:rsidR="00D53B71" w:rsidRPr="00D51920" w:rsidRDefault="003940E9">
      <w:pPr>
        <w:rPr>
          <w:b/>
          <w:bCs/>
          <w:sz w:val="28"/>
          <w:szCs w:val="28"/>
          <w:lang w:val="en-US"/>
        </w:rPr>
      </w:pPr>
      <w:bookmarkStart w:id="0" w:name="_Hlk151629341"/>
      <w:bookmarkEnd w:id="0"/>
      <w:r w:rsidRPr="00D51920">
        <w:rPr>
          <w:b/>
          <w:bCs/>
          <w:sz w:val="28"/>
          <w:szCs w:val="28"/>
          <w:lang w:val="en-US"/>
        </w:rPr>
        <w:t xml:space="preserve">Supplementary Figure 1 </w:t>
      </w:r>
    </w:p>
    <w:p w14:paraId="678BCC75" w14:textId="77777777" w:rsidR="00225FDD" w:rsidRDefault="003940E9" w:rsidP="00225FDD">
      <w:pPr>
        <w:keepNext/>
        <w:spacing w:after="0"/>
      </w:pPr>
      <w:r>
        <w:rPr>
          <w:noProof/>
        </w:rPr>
        <w:drawing>
          <wp:inline distT="0" distB="0" distL="0" distR="0" wp14:anchorId="369EAC41" wp14:editId="40CB1A5D">
            <wp:extent cx="5746987" cy="2107423"/>
            <wp:effectExtent l="0" t="0" r="6350" b="762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93" b="65891"/>
                    <a:stretch/>
                  </pic:blipFill>
                  <pic:spPr bwMode="auto">
                    <a:xfrm>
                      <a:off x="0" y="0"/>
                      <a:ext cx="5747385" cy="2107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B23A23" w14:textId="08CF50B8" w:rsidR="003940E9" w:rsidRPr="007E2E65" w:rsidRDefault="00225FDD" w:rsidP="00225FDD">
      <w:pPr>
        <w:pStyle w:val="Beschriftung"/>
        <w:jc w:val="both"/>
        <w:rPr>
          <w:rFonts w:ascii="Arial" w:hAnsi="Arial" w:cs="Arial"/>
          <w:b/>
          <w:bCs/>
          <w:color w:val="auto"/>
          <w:sz w:val="20"/>
          <w:szCs w:val="20"/>
          <w:lang w:val="en-US"/>
        </w:rPr>
      </w:pPr>
      <w:r w:rsidRPr="007E2E6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  <w:t xml:space="preserve">Supplementary figure </w:t>
      </w:r>
      <w:r w:rsidRPr="007E2E6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7E2E6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  <w:instrText xml:space="preserve"> SEQ Supplementary_figure \* ARABIC </w:instrText>
      </w:r>
      <w:r w:rsidRPr="007E2E6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Pr="007E2E65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  <w:lang w:val="en-US"/>
        </w:rPr>
        <w:t>1</w:t>
      </w:r>
      <w:r w:rsidRPr="007E2E6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7E2E65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 xml:space="preserve">. </w:t>
      </w:r>
      <w:r w:rsidRPr="007E2E6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GB"/>
        </w:rPr>
        <w:t>Flow cytometric gating strategy for the analysis of CD4+ T cells.</w:t>
      </w:r>
      <w:r w:rsidRPr="007E2E65">
        <w:rPr>
          <w:rFonts w:ascii="Arial" w:hAnsi="Arial" w:cs="Arial"/>
          <w:i w:val="0"/>
          <w:iCs w:val="0"/>
          <w:color w:val="auto"/>
          <w:sz w:val="20"/>
          <w:szCs w:val="20"/>
          <w:lang w:val="en-GB"/>
        </w:rPr>
        <w:t xml:space="preserve"> </w:t>
      </w:r>
      <w:r w:rsidRPr="007E2E65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>Gating strategy to identify CD4</w:t>
      </w:r>
      <w:r w:rsidRPr="007E2E65">
        <w:rPr>
          <w:rFonts w:ascii="Arial" w:hAnsi="Arial" w:cs="Arial"/>
          <w:i w:val="0"/>
          <w:iCs w:val="0"/>
          <w:color w:val="auto"/>
          <w:sz w:val="20"/>
          <w:szCs w:val="20"/>
          <w:vertAlign w:val="superscript"/>
          <w:lang w:val="en-US"/>
        </w:rPr>
        <w:t>+</w:t>
      </w:r>
      <w:r w:rsidRPr="007E2E65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>T-cells and regulatory T cells (CD25</w:t>
      </w:r>
      <w:r w:rsidRPr="007E2E65">
        <w:rPr>
          <w:rFonts w:ascii="Arial" w:hAnsi="Arial" w:cs="Arial"/>
          <w:i w:val="0"/>
          <w:iCs w:val="0"/>
          <w:color w:val="auto"/>
          <w:sz w:val="20"/>
          <w:szCs w:val="20"/>
          <w:vertAlign w:val="superscript"/>
          <w:lang w:val="en-US"/>
        </w:rPr>
        <w:t>+</w:t>
      </w:r>
      <w:r w:rsidRPr="007E2E65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 xml:space="preserve"> Foxp3</w:t>
      </w:r>
      <w:r w:rsidRPr="007E2E65">
        <w:rPr>
          <w:rFonts w:ascii="Arial" w:hAnsi="Arial" w:cs="Arial"/>
          <w:i w:val="0"/>
          <w:iCs w:val="0"/>
          <w:color w:val="auto"/>
          <w:sz w:val="20"/>
          <w:szCs w:val="20"/>
          <w:vertAlign w:val="superscript"/>
          <w:lang w:val="en-US"/>
        </w:rPr>
        <w:t>+</w:t>
      </w:r>
      <w:r w:rsidRPr="007E2E65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>). Different surface receptors (CD25, ST2, GITR and KLRG1) and transcription factors (Fox</w:t>
      </w:r>
      <w:r w:rsidR="007E2E65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>P</w:t>
      </w:r>
      <w:r w:rsidRPr="007E2E65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>3 and GATA3) were analyzed on these subsets. Color dot plot of a representative subject. Approximately 20.000 events on CD4</w:t>
      </w:r>
      <w:r w:rsidRPr="007E2E65">
        <w:rPr>
          <w:rFonts w:ascii="Arial" w:hAnsi="Arial" w:cs="Arial"/>
          <w:i w:val="0"/>
          <w:iCs w:val="0"/>
          <w:color w:val="auto"/>
          <w:sz w:val="20"/>
          <w:szCs w:val="20"/>
          <w:vertAlign w:val="superscript"/>
          <w:lang w:val="en-US"/>
        </w:rPr>
        <w:t>+</w:t>
      </w:r>
      <w:r w:rsidRPr="007E2E65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 xml:space="preserve"> T cells were measured for each sample. </w:t>
      </w:r>
    </w:p>
    <w:p w14:paraId="6A30CB47" w14:textId="3C3D15F7" w:rsidR="003940E9" w:rsidRPr="00D51920" w:rsidRDefault="003940E9">
      <w:pPr>
        <w:rPr>
          <w:b/>
          <w:bCs/>
          <w:sz w:val="28"/>
          <w:szCs w:val="28"/>
          <w:lang w:val="en-US"/>
        </w:rPr>
      </w:pPr>
      <w:r w:rsidRPr="00D51920">
        <w:rPr>
          <w:b/>
          <w:bCs/>
          <w:sz w:val="28"/>
          <w:szCs w:val="28"/>
          <w:lang w:val="en-US"/>
        </w:rPr>
        <w:t xml:space="preserve">Supplementary Figure 2 </w:t>
      </w:r>
    </w:p>
    <w:p w14:paraId="14103B6D" w14:textId="77777777" w:rsidR="00225FDD" w:rsidRDefault="00AE2A57" w:rsidP="00225FDD">
      <w:pPr>
        <w:keepNext/>
        <w:spacing w:after="0"/>
      </w:pPr>
      <w:r>
        <w:rPr>
          <w:noProof/>
        </w:rPr>
        <w:drawing>
          <wp:inline distT="0" distB="0" distL="0" distR="0" wp14:anchorId="755B33A2" wp14:editId="302AD6B6">
            <wp:extent cx="5746404" cy="2030681"/>
            <wp:effectExtent l="0" t="0" r="6985" b="8255"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955" b="19528"/>
                    <a:stretch/>
                  </pic:blipFill>
                  <pic:spPr bwMode="auto">
                    <a:xfrm>
                      <a:off x="0" y="0"/>
                      <a:ext cx="5747385" cy="2031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E049F2" w14:textId="145865E8" w:rsidR="0084634B" w:rsidRDefault="00225FDD" w:rsidP="00225FDD">
      <w:pPr>
        <w:pStyle w:val="Beschriftung"/>
        <w:jc w:val="both"/>
        <w:rPr>
          <w:rFonts w:ascii="Arial" w:hAnsi="Arial" w:cs="Arial"/>
          <w:bCs/>
          <w:i w:val="0"/>
          <w:iCs w:val="0"/>
          <w:color w:val="auto"/>
          <w:sz w:val="20"/>
          <w:szCs w:val="20"/>
          <w:lang w:val="en-US"/>
        </w:rPr>
      </w:pPr>
      <w:r w:rsidRPr="007E2E6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  <w:t xml:space="preserve">Supplementary figure </w:t>
      </w:r>
      <w:r w:rsidRPr="007E2E6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7E2E6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  <w:instrText xml:space="preserve"> SEQ Supplementary_figure \* ARABIC </w:instrText>
      </w:r>
      <w:r w:rsidRPr="007E2E6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Pr="007E2E65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  <w:lang w:val="en-US"/>
        </w:rPr>
        <w:t>2</w:t>
      </w:r>
      <w:r w:rsidRPr="007E2E6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7E2E6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  <w:t>.</w:t>
      </w:r>
      <w:r w:rsidRPr="007E2E65">
        <w:rPr>
          <w:rFonts w:ascii="Arial" w:eastAsia="Calibri" w:hAnsi="Arial" w:cs="Arial"/>
          <w:b/>
          <w:bCs/>
          <w:i w:val="0"/>
          <w:iCs w:val="0"/>
          <w:color w:val="auto"/>
          <w:kern w:val="24"/>
          <w:sz w:val="20"/>
          <w:szCs w:val="20"/>
          <w:lang w:val="en-GB" w:eastAsia="de-DE"/>
        </w:rPr>
        <w:t xml:space="preserve"> </w:t>
      </w:r>
      <w:r w:rsidR="007E2E65" w:rsidRPr="007E2E65">
        <w:rPr>
          <w:rFonts w:ascii="Arial" w:hAnsi="Arial" w:cs="Arial"/>
          <w:b/>
          <w:i w:val="0"/>
          <w:iCs w:val="0"/>
          <w:color w:val="auto"/>
          <w:sz w:val="20"/>
          <w:szCs w:val="20"/>
          <w:lang w:val="en-US"/>
        </w:rPr>
        <w:t xml:space="preserve">CD83cKO mice show a higher activation status and an impaired non-lymphoid-tissue (NLT) function. </w:t>
      </w:r>
      <w:r w:rsidR="007E2E65" w:rsidRPr="007E2E65">
        <w:rPr>
          <w:rFonts w:ascii="Arial" w:hAnsi="Arial" w:cs="Arial"/>
          <w:bCs/>
          <w:i w:val="0"/>
          <w:iCs w:val="0"/>
          <w:color w:val="auto"/>
          <w:sz w:val="20"/>
          <w:szCs w:val="20"/>
          <w:lang w:val="en-US"/>
        </w:rPr>
        <w:t>FACS analysis of Tregs from spleen (SPL) mesenteric lymph node- (</w:t>
      </w:r>
      <w:proofErr w:type="spellStart"/>
      <w:r w:rsidR="007E2E65" w:rsidRPr="007E2E65">
        <w:rPr>
          <w:rFonts w:ascii="Arial" w:hAnsi="Arial" w:cs="Arial"/>
          <w:bCs/>
          <w:i w:val="0"/>
          <w:iCs w:val="0"/>
          <w:color w:val="auto"/>
          <w:sz w:val="20"/>
          <w:szCs w:val="20"/>
          <w:lang w:val="en-US"/>
        </w:rPr>
        <w:t>mLN</w:t>
      </w:r>
      <w:proofErr w:type="spellEnd"/>
      <w:r w:rsidR="007E2E65" w:rsidRPr="007E2E65">
        <w:rPr>
          <w:rFonts w:ascii="Arial" w:hAnsi="Arial" w:cs="Arial"/>
          <w:bCs/>
          <w:i w:val="0"/>
          <w:iCs w:val="0"/>
          <w:color w:val="auto"/>
          <w:sz w:val="20"/>
          <w:szCs w:val="20"/>
          <w:lang w:val="en-US"/>
        </w:rPr>
        <w:t>), and lungs of 8–12-week-old mice</w:t>
      </w:r>
      <w:r w:rsidRPr="007E2E65">
        <w:rPr>
          <w:rFonts w:ascii="Arial" w:hAnsi="Arial" w:cs="Arial"/>
          <w:i w:val="0"/>
          <w:iCs w:val="0"/>
          <w:color w:val="auto"/>
          <w:sz w:val="20"/>
          <w:szCs w:val="20"/>
          <w:lang w:val="en-GB"/>
        </w:rPr>
        <w:t xml:space="preserve">: </w:t>
      </w:r>
      <w:r w:rsidR="007E2E65" w:rsidRPr="007E2E6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GB"/>
        </w:rPr>
        <w:t xml:space="preserve">a </w:t>
      </w:r>
      <w:r w:rsidRPr="007E2E65">
        <w:rPr>
          <w:rFonts w:ascii="Arial" w:hAnsi="Arial" w:cs="Arial"/>
          <w:i w:val="0"/>
          <w:iCs w:val="0"/>
          <w:color w:val="auto"/>
          <w:sz w:val="20"/>
          <w:szCs w:val="20"/>
          <w:lang w:val="en-GB"/>
        </w:rPr>
        <w:t xml:space="preserve">surface receptor expression of </w:t>
      </w:r>
      <w:r w:rsidRPr="007E2E65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 xml:space="preserve">ICOS and </w:t>
      </w:r>
      <w:r w:rsidR="007E2E65" w:rsidRPr="007E2E6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  <w:t>b</w:t>
      </w:r>
      <w:r w:rsidR="007E2E65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 xml:space="preserve"> </w:t>
      </w:r>
      <w:r w:rsidRPr="007E2E65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>CD25 on Tregs</w:t>
      </w:r>
      <w:r w:rsidRPr="007E2E65">
        <w:rPr>
          <w:rFonts w:ascii="Arial" w:hAnsi="Arial" w:cs="Arial"/>
          <w:i w:val="0"/>
          <w:iCs w:val="0"/>
          <w:color w:val="auto"/>
          <w:sz w:val="20"/>
          <w:szCs w:val="20"/>
          <w:lang w:val="en-GB"/>
        </w:rPr>
        <w:t xml:space="preserve">. </w:t>
      </w:r>
      <w:r w:rsidR="007E2E65" w:rsidRPr="007E2E65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 xml:space="preserve">(Ctrl n=4-10, CD83cKO n=4-10, </w:t>
      </w:r>
      <w:bookmarkStart w:id="1" w:name="OLE_LINK2"/>
      <w:r w:rsidR="007E2E65" w:rsidRPr="007E2E65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>pool of 3 independent experiments</w:t>
      </w:r>
      <w:bookmarkEnd w:id="1"/>
      <w:r w:rsidR="007E2E65" w:rsidRPr="007E2E65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>)</w:t>
      </w:r>
      <w:r w:rsidR="007E2E65" w:rsidRPr="007E2E65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 xml:space="preserve">. </w:t>
      </w:r>
      <w:r w:rsidR="007E2E65" w:rsidRPr="007E2E65">
        <w:rPr>
          <w:rFonts w:ascii="Arial" w:hAnsi="Arial" w:cs="Arial"/>
          <w:bCs/>
          <w:i w:val="0"/>
          <w:iCs w:val="0"/>
          <w:color w:val="auto"/>
          <w:sz w:val="20"/>
          <w:szCs w:val="20"/>
          <w:lang w:val="en-US"/>
        </w:rPr>
        <w:t>In all graphs, data are represented as mean ± SEM and two-tailed Mann–Whitney U-test was used to analyze the data.</w:t>
      </w:r>
    </w:p>
    <w:p w14:paraId="1E4A3E90" w14:textId="214EE684" w:rsidR="007E2E65" w:rsidRDefault="007E2E65">
      <w:pPr>
        <w:rPr>
          <w:lang w:val="en-US"/>
        </w:rPr>
      </w:pPr>
      <w:r>
        <w:rPr>
          <w:lang w:val="en-US"/>
        </w:rPr>
        <w:br w:type="page"/>
      </w:r>
    </w:p>
    <w:p w14:paraId="6FE996B6" w14:textId="74B80464" w:rsidR="003940E9" w:rsidRPr="00D51920" w:rsidRDefault="003940E9" w:rsidP="003940E9">
      <w:pPr>
        <w:rPr>
          <w:b/>
          <w:bCs/>
          <w:sz w:val="28"/>
          <w:szCs w:val="28"/>
          <w:lang w:val="en-US"/>
        </w:rPr>
      </w:pPr>
      <w:r w:rsidRPr="00D51920">
        <w:rPr>
          <w:b/>
          <w:bCs/>
          <w:sz w:val="28"/>
          <w:szCs w:val="28"/>
          <w:lang w:val="en-US"/>
        </w:rPr>
        <w:lastRenderedPageBreak/>
        <w:t xml:space="preserve">Supplementary Figure 3 </w:t>
      </w:r>
    </w:p>
    <w:p w14:paraId="04D1A118" w14:textId="77777777" w:rsidR="00225FDD" w:rsidRDefault="0084634B" w:rsidP="00225FDD">
      <w:pPr>
        <w:keepNext/>
        <w:spacing w:after="0"/>
      </w:pPr>
      <w:r>
        <w:rPr>
          <w:noProof/>
        </w:rPr>
        <w:drawing>
          <wp:inline distT="0" distB="0" distL="0" distR="0" wp14:anchorId="66D4872C" wp14:editId="0ACAC9DA">
            <wp:extent cx="2897505" cy="1674017"/>
            <wp:effectExtent l="0" t="0" r="0" b="254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234" r="49577" b="67906"/>
                    <a:stretch/>
                  </pic:blipFill>
                  <pic:spPr bwMode="auto">
                    <a:xfrm>
                      <a:off x="0" y="0"/>
                      <a:ext cx="2898014" cy="1674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BC0FC9" w14:textId="61AF8B89" w:rsidR="0084634B" w:rsidRPr="007E2E65" w:rsidRDefault="00225FDD" w:rsidP="007E2E65">
      <w:pPr>
        <w:pStyle w:val="Beschriftung"/>
        <w:jc w:val="both"/>
        <w:rPr>
          <w:lang w:val="en-US"/>
        </w:rPr>
      </w:pPr>
      <w:r w:rsidRPr="007E2E6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  <w:t xml:space="preserve">Supplementary figure </w:t>
      </w:r>
      <w:r w:rsidRPr="007E2E6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7E2E6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  <w:instrText xml:space="preserve"> SEQ Supplementary_figure \* ARABIC </w:instrText>
      </w:r>
      <w:r w:rsidRPr="007E2E6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Pr="007E2E65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  <w:lang w:val="en-US"/>
        </w:rPr>
        <w:t>3</w:t>
      </w:r>
      <w:r w:rsidRPr="007E2E6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7E2E6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GB"/>
        </w:rPr>
        <w:t xml:space="preserve">. </w:t>
      </w:r>
      <w:bookmarkStart w:id="2" w:name="_Hlk149817105"/>
      <w:r w:rsidR="007E2E65" w:rsidRPr="007E2E65">
        <w:rPr>
          <w:rFonts w:ascii="Arial" w:hAnsi="Arial" w:cs="Arial"/>
          <w:b/>
          <w:i w:val="0"/>
          <w:color w:val="auto"/>
          <w:sz w:val="20"/>
          <w:szCs w:val="20"/>
          <w:lang w:val="en-US"/>
        </w:rPr>
        <w:t xml:space="preserve">Lung resident lymphocytes of CD83cKO mice show escalating cytokine responses. </w:t>
      </w:r>
      <w:bookmarkEnd w:id="2"/>
      <w:r w:rsidR="007E2E65" w:rsidRPr="007E2E65">
        <w:rPr>
          <w:rFonts w:ascii="Arial" w:hAnsi="Arial" w:cs="Arial"/>
          <w:bCs/>
          <w:i w:val="0"/>
          <w:color w:val="auto"/>
          <w:sz w:val="20"/>
          <w:szCs w:val="20"/>
          <w:lang w:val="en-US"/>
        </w:rPr>
        <w:t>Lung and cervical lymph node (</w:t>
      </w:r>
      <w:proofErr w:type="spellStart"/>
      <w:r w:rsidR="007E2E65" w:rsidRPr="007E2E65">
        <w:rPr>
          <w:rFonts w:ascii="Arial" w:hAnsi="Arial" w:cs="Arial"/>
          <w:bCs/>
          <w:i w:val="0"/>
          <w:color w:val="auto"/>
          <w:sz w:val="20"/>
          <w:szCs w:val="20"/>
          <w:lang w:val="en-US"/>
        </w:rPr>
        <w:t>cLNs</w:t>
      </w:r>
      <w:proofErr w:type="spellEnd"/>
      <w:r w:rsidR="007E2E65" w:rsidRPr="007E2E65">
        <w:rPr>
          <w:rFonts w:ascii="Arial" w:hAnsi="Arial" w:cs="Arial"/>
          <w:bCs/>
          <w:i w:val="0"/>
          <w:color w:val="auto"/>
          <w:sz w:val="20"/>
          <w:szCs w:val="20"/>
          <w:lang w:val="en-US"/>
        </w:rPr>
        <w:t>) derived lymphocytes were stimulated for 48 h with anti-CD3/anti-CD28. Supernatant cytokine</w:t>
      </w:r>
      <w:r w:rsidR="007E2E65" w:rsidRPr="007E2E65">
        <w:rPr>
          <w:lang w:val="en-US"/>
        </w:rPr>
        <w:t xml:space="preserve"> </w:t>
      </w:r>
      <w:r w:rsidR="007E2E65" w:rsidRPr="007E2E65">
        <w:rPr>
          <w:rFonts w:ascii="Arial" w:hAnsi="Arial" w:cs="Arial"/>
          <w:bCs/>
          <w:i w:val="0"/>
          <w:color w:val="auto"/>
          <w:sz w:val="20"/>
          <w:szCs w:val="20"/>
          <w:lang w:val="en-US"/>
        </w:rPr>
        <w:t xml:space="preserve">analysis of stimulated lung and </w:t>
      </w:r>
      <w:proofErr w:type="spellStart"/>
      <w:r w:rsidR="007E2E65" w:rsidRPr="007E2E65">
        <w:rPr>
          <w:rFonts w:ascii="Arial" w:hAnsi="Arial" w:cs="Arial"/>
          <w:bCs/>
          <w:i w:val="0"/>
          <w:color w:val="auto"/>
          <w:sz w:val="20"/>
          <w:szCs w:val="20"/>
          <w:lang w:val="en-US"/>
        </w:rPr>
        <w:t>cLN</w:t>
      </w:r>
      <w:proofErr w:type="spellEnd"/>
      <w:r w:rsidR="007E2E65" w:rsidRPr="007E2E65">
        <w:rPr>
          <w:rFonts w:ascii="Arial" w:hAnsi="Arial" w:cs="Arial"/>
          <w:bCs/>
          <w:i w:val="0"/>
          <w:color w:val="auto"/>
          <w:sz w:val="20"/>
          <w:szCs w:val="20"/>
          <w:lang w:val="en-US"/>
        </w:rPr>
        <w:t xml:space="preserve"> lymphocytes from 8–12-week-old mice. (Ctrl n=20-21, CD83cKO n= 20-21, pool of 6 independent experiments). In all graphs, data are represented as mean ± SEM and two-tailed Mann–Whitney U-test was used to analyze the data.</w:t>
      </w:r>
    </w:p>
    <w:p w14:paraId="19B79556" w14:textId="2698FEA5" w:rsidR="00AE2A57" w:rsidRPr="00D51920" w:rsidRDefault="003940E9">
      <w:pPr>
        <w:rPr>
          <w:b/>
          <w:bCs/>
          <w:sz w:val="28"/>
          <w:szCs w:val="28"/>
          <w:lang w:val="en-US"/>
        </w:rPr>
      </w:pPr>
      <w:r w:rsidRPr="00D51920">
        <w:rPr>
          <w:b/>
          <w:bCs/>
          <w:sz w:val="28"/>
          <w:szCs w:val="28"/>
          <w:lang w:val="en-US"/>
        </w:rPr>
        <w:t xml:space="preserve">Supplementary Figure </w:t>
      </w:r>
      <w:r w:rsidR="008B77F5" w:rsidRPr="00D51920">
        <w:rPr>
          <w:b/>
          <w:bCs/>
          <w:sz w:val="28"/>
          <w:szCs w:val="28"/>
          <w:lang w:val="en-US"/>
        </w:rPr>
        <w:t>4</w:t>
      </w:r>
      <w:r w:rsidRPr="00D51920">
        <w:rPr>
          <w:b/>
          <w:bCs/>
          <w:sz w:val="28"/>
          <w:szCs w:val="28"/>
          <w:lang w:val="en-US"/>
        </w:rPr>
        <w:t xml:space="preserve"> </w:t>
      </w:r>
    </w:p>
    <w:p w14:paraId="1426FAE9" w14:textId="4A7AF71C" w:rsidR="00225FDD" w:rsidRDefault="008A6768" w:rsidP="00225FDD">
      <w:pPr>
        <w:keepNext/>
      </w:pPr>
      <w:r>
        <w:rPr>
          <w:noProof/>
        </w:rPr>
        <w:drawing>
          <wp:inline distT="0" distB="0" distL="0" distR="0" wp14:anchorId="6FDE4FBB" wp14:editId="432FF690">
            <wp:extent cx="5746235" cy="1970817"/>
            <wp:effectExtent l="0" t="0" r="6985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48" b="68216"/>
                    <a:stretch/>
                  </pic:blipFill>
                  <pic:spPr bwMode="auto">
                    <a:xfrm>
                      <a:off x="0" y="0"/>
                      <a:ext cx="5747385" cy="1971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B821D3" w14:textId="4647C842" w:rsidR="003940E9" w:rsidRPr="007E2E65" w:rsidRDefault="00225FDD" w:rsidP="008B77F5">
      <w:pPr>
        <w:pStyle w:val="Beschriftung"/>
        <w:jc w:val="both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</w:pPr>
      <w:r w:rsidRPr="007E2E6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  <w:t xml:space="preserve">Supplementary figure </w:t>
      </w:r>
      <w:r w:rsidRPr="007E2E6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7E2E6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  <w:instrText xml:space="preserve"> SEQ Supplementary_figure \* ARABIC </w:instrText>
      </w:r>
      <w:r w:rsidRPr="007E2E6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Pr="007E2E65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  <w:lang w:val="en-US"/>
        </w:rPr>
        <w:t>4</w:t>
      </w:r>
      <w:r w:rsidRPr="007E2E6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="008B77F5" w:rsidRPr="007E2E6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GB"/>
        </w:rPr>
        <w:t xml:space="preserve">. </w:t>
      </w:r>
      <w:r w:rsidR="008B77F5" w:rsidRPr="007E2E6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  <w:t>CD83cKO mice developed an exacerbated AHR in allergic asthma.</w:t>
      </w:r>
      <w:r w:rsidR="007E2E65">
        <w:rPr>
          <w:rFonts w:ascii="Arial" w:hAnsi="Arial" w:cs="Arial"/>
          <w:i w:val="0"/>
          <w:iCs w:val="0"/>
          <w:color w:val="auto"/>
          <w:sz w:val="20"/>
          <w:szCs w:val="20"/>
          <w:lang w:val="en-GB"/>
        </w:rPr>
        <w:t xml:space="preserve"> </w:t>
      </w:r>
      <w:r w:rsidR="007E2E65" w:rsidRPr="007E2E65">
        <w:rPr>
          <w:rFonts w:ascii="Arial" w:hAnsi="Arial" w:cs="Arial"/>
          <w:i w:val="0"/>
          <w:iCs w:val="0"/>
          <w:color w:val="auto"/>
          <w:sz w:val="20"/>
          <w:szCs w:val="20"/>
          <w:lang w:val="en-GB"/>
        </w:rPr>
        <w:t>Invasive AHR analysis was performed and the resistance (</w:t>
      </w:r>
      <w:proofErr w:type="spellStart"/>
      <w:r w:rsidR="007E2E65" w:rsidRPr="007E2E65">
        <w:rPr>
          <w:rFonts w:ascii="Arial" w:hAnsi="Arial" w:cs="Arial"/>
          <w:i w:val="0"/>
          <w:iCs w:val="0"/>
          <w:color w:val="auto"/>
          <w:sz w:val="20"/>
          <w:szCs w:val="20"/>
          <w:lang w:val="en-GB"/>
        </w:rPr>
        <w:t>Rrs</w:t>
      </w:r>
      <w:proofErr w:type="spellEnd"/>
      <w:r w:rsidR="007E2E65" w:rsidRPr="007E2E65">
        <w:rPr>
          <w:rFonts w:ascii="Arial" w:hAnsi="Arial" w:cs="Arial"/>
          <w:i w:val="0"/>
          <w:iCs w:val="0"/>
          <w:color w:val="auto"/>
          <w:sz w:val="20"/>
          <w:szCs w:val="20"/>
          <w:lang w:val="en-GB"/>
        </w:rPr>
        <w:t>) of the lung was calculated upon methacholine challenge:</w:t>
      </w:r>
      <w:r w:rsidR="007E2E65">
        <w:rPr>
          <w:rFonts w:ascii="Arial" w:hAnsi="Arial" w:cs="Arial"/>
          <w:i w:val="0"/>
          <w:iCs w:val="0"/>
          <w:color w:val="auto"/>
          <w:sz w:val="20"/>
          <w:szCs w:val="20"/>
          <w:lang w:val="en-GB"/>
        </w:rPr>
        <w:t xml:space="preserve"> </w:t>
      </w:r>
      <w:r w:rsidR="007E2E65" w:rsidRPr="007E2E6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GB"/>
        </w:rPr>
        <w:t>a</w:t>
      </w:r>
      <w:r w:rsidR="008B77F5" w:rsidRPr="007E2E65">
        <w:rPr>
          <w:rFonts w:ascii="Arial" w:hAnsi="Arial" w:cs="Arial"/>
          <w:i w:val="0"/>
          <w:iCs w:val="0"/>
          <w:color w:val="auto"/>
          <w:sz w:val="20"/>
          <w:szCs w:val="20"/>
          <w:lang w:val="en-GB"/>
        </w:rPr>
        <w:t xml:space="preserve"> the elastance (</w:t>
      </w:r>
      <w:proofErr w:type="spellStart"/>
      <w:r w:rsidR="008B77F5" w:rsidRPr="007E2E65">
        <w:rPr>
          <w:rFonts w:ascii="Arial" w:hAnsi="Arial" w:cs="Arial"/>
          <w:i w:val="0"/>
          <w:iCs w:val="0"/>
          <w:color w:val="auto"/>
          <w:sz w:val="20"/>
          <w:szCs w:val="20"/>
          <w:lang w:val="en-GB"/>
        </w:rPr>
        <w:t>Ers</w:t>
      </w:r>
      <w:proofErr w:type="spellEnd"/>
      <w:r w:rsidR="008B77F5" w:rsidRPr="007E2E65">
        <w:rPr>
          <w:rFonts w:ascii="Arial" w:hAnsi="Arial" w:cs="Arial"/>
          <w:i w:val="0"/>
          <w:iCs w:val="0"/>
          <w:color w:val="auto"/>
          <w:sz w:val="20"/>
          <w:szCs w:val="20"/>
          <w:lang w:val="en-GB"/>
        </w:rPr>
        <w:t xml:space="preserve">) </w:t>
      </w:r>
      <w:r w:rsidR="009D7DBF">
        <w:rPr>
          <w:rFonts w:ascii="Arial" w:hAnsi="Arial" w:cs="Arial"/>
          <w:i w:val="0"/>
          <w:iCs w:val="0"/>
          <w:color w:val="auto"/>
          <w:sz w:val="20"/>
          <w:szCs w:val="20"/>
          <w:lang w:val="en-GB"/>
        </w:rPr>
        <w:t>(</w:t>
      </w:r>
      <w:r w:rsidR="009D7DBF" w:rsidRPr="007E2E65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>0mg p=0.8632; 12.5mg p=0.6226; 50mg p=0.3346</w:t>
      </w:r>
      <w:r w:rsidR="009D7DBF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 xml:space="preserve">) </w:t>
      </w:r>
      <w:r w:rsidR="008B77F5" w:rsidRPr="007E2E65">
        <w:rPr>
          <w:rFonts w:ascii="Arial" w:hAnsi="Arial" w:cs="Arial"/>
          <w:i w:val="0"/>
          <w:iCs w:val="0"/>
          <w:color w:val="auto"/>
          <w:sz w:val="20"/>
          <w:szCs w:val="20"/>
          <w:lang w:val="en-GB"/>
        </w:rPr>
        <w:t xml:space="preserve">and </w:t>
      </w:r>
      <w:proofErr w:type="spellStart"/>
      <w:r w:rsidR="007E2E65" w:rsidRPr="007E2E6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GB"/>
        </w:rPr>
        <w:t>b</w:t>
      </w:r>
      <w:proofErr w:type="spellEnd"/>
      <w:r w:rsidR="007E2E65">
        <w:rPr>
          <w:rFonts w:ascii="Arial" w:hAnsi="Arial" w:cs="Arial"/>
          <w:i w:val="0"/>
          <w:iCs w:val="0"/>
          <w:color w:val="auto"/>
          <w:sz w:val="20"/>
          <w:szCs w:val="20"/>
          <w:lang w:val="en-GB"/>
        </w:rPr>
        <w:t xml:space="preserve"> </w:t>
      </w:r>
      <w:r w:rsidR="008B77F5" w:rsidRPr="007E2E65">
        <w:rPr>
          <w:rFonts w:ascii="Arial" w:hAnsi="Arial" w:cs="Arial"/>
          <w:i w:val="0"/>
          <w:iCs w:val="0"/>
          <w:color w:val="auto"/>
          <w:sz w:val="20"/>
          <w:szCs w:val="20"/>
          <w:lang w:val="en-GB"/>
        </w:rPr>
        <w:t>the compliance (</w:t>
      </w:r>
      <w:proofErr w:type="spellStart"/>
      <w:r w:rsidR="008B77F5" w:rsidRPr="007E2E65">
        <w:rPr>
          <w:rFonts w:ascii="Arial" w:hAnsi="Arial" w:cs="Arial"/>
          <w:i w:val="0"/>
          <w:iCs w:val="0"/>
          <w:color w:val="auto"/>
          <w:sz w:val="20"/>
          <w:szCs w:val="20"/>
          <w:lang w:val="en-GB"/>
        </w:rPr>
        <w:t>Crs</w:t>
      </w:r>
      <w:proofErr w:type="spellEnd"/>
      <w:r w:rsidR="008B77F5" w:rsidRPr="007E2E65">
        <w:rPr>
          <w:rFonts w:ascii="Arial" w:hAnsi="Arial" w:cs="Arial"/>
          <w:i w:val="0"/>
          <w:iCs w:val="0"/>
          <w:color w:val="auto"/>
          <w:sz w:val="20"/>
          <w:szCs w:val="20"/>
          <w:lang w:val="en-GB"/>
        </w:rPr>
        <w:t>) of the lung upon methacholine challenge</w:t>
      </w:r>
      <w:r w:rsidR="007E2E65">
        <w:rPr>
          <w:rFonts w:ascii="Arial" w:hAnsi="Arial" w:cs="Arial"/>
          <w:i w:val="0"/>
          <w:iCs w:val="0"/>
          <w:color w:val="auto"/>
          <w:sz w:val="20"/>
          <w:szCs w:val="20"/>
          <w:lang w:val="en-GB"/>
        </w:rPr>
        <w:t xml:space="preserve"> </w:t>
      </w:r>
      <w:r w:rsidR="009D7DBF">
        <w:rPr>
          <w:rFonts w:ascii="Arial" w:hAnsi="Arial" w:cs="Arial"/>
          <w:i w:val="0"/>
          <w:iCs w:val="0"/>
          <w:color w:val="auto"/>
          <w:sz w:val="20"/>
          <w:szCs w:val="20"/>
          <w:lang w:val="en-GB"/>
        </w:rPr>
        <w:t>(</w:t>
      </w:r>
      <w:r w:rsidR="008B77F5" w:rsidRPr="007E2E65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>0mg p=0.0703; 12.5mg p=0.1705</w:t>
      </w:r>
      <w:r w:rsidR="009D7DBF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 xml:space="preserve">. </w:t>
      </w:r>
      <w:r w:rsidR="009D7DBF" w:rsidRPr="009D7DBF">
        <w:rPr>
          <w:rFonts w:ascii="Arial" w:hAnsi="Arial" w:cs="Arial"/>
          <w:i w:val="0"/>
          <w:color w:val="auto"/>
          <w:sz w:val="20"/>
          <w:szCs w:val="20"/>
          <w:lang w:val="en-US"/>
        </w:rPr>
        <w:t xml:space="preserve">Statistical analysis of AHR data was performed using a two-way ANOVA test with Tukey´s correction test. </w:t>
      </w:r>
      <w:r w:rsidR="009D7DBF" w:rsidRPr="009D7DBF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>(Ctrl n=4-5, CD83cKO n= 4-5, one representative experiment out of two)</w:t>
      </w:r>
    </w:p>
    <w:p w14:paraId="6E3AA41D" w14:textId="7C5EBDC4" w:rsidR="00D24CC6" w:rsidRDefault="00D24CC6">
      <w:pPr>
        <w:rPr>
          <w:lang w:val="en-US"/>
        </w:rPr>
      </w:pPr>
      <w:r>
        <w:rPr>
          <w:lang w:val="en-US"/>
        </w:rPr>
        <w:br w:type="page"/>
      </w:r>
    </w:p>
    <w:p w14:paraId="6949859C" w14:textId="42BB18F4" w:rsidR="00D24CC6" w:rsidRPr="00D51920" w:rsidRDefault="00D24CC6" w:rsidP="00D24CC6">
      <w:pPr>
        <w:rPr>
          <w:b/>
          <w:bCs/>
          <w:sz w:val="28"/>
          <w:szCs w:val="28"/>
          <w:lang w:val="en-US"/>
        </w:rPr>
      </w:pPr>
      <w:r w:rsidRPr="00D51920">
        <w:rPr>
          <w:b/>
          <w:bCs/>
          <w:sz w:val="28"/>
          <w:szCs w:val="28"/>
          <w:lang w:val="en-US"/>
        </w:rPr>
        <w:lastRenderedPageBreak/>
        <w:t xml:space="preserve">Supplementary Figure </w:t>
      </w:r>
      <w:r>
        <w:rPr>
          <w:b/>
          <w:bCs/>
          <w:sz w:val="28"/>
          <w:szCs w:val="28"/>
          <w:lang w:val="en-US"/>
        </w:rPr>
        <w:t>5</w:t>
      </w:r>
      <w:r w:rsidRPr="00D51920">
        <w:rPr>
          <w:b/>
          <w:bCs/>
          <w:sz w:val="28"/>
          <w:szCs w:val="28"/>
          <w:lang w:val="en-US"/>
        </w:rPr>
        <w:t xml:space="preserve"> </w:t>
      </w:r>
    </w:p>
    <w:p w14:paraId="44979B2C" w14:textId="13107B87" w:rsidR="00D24CC6" w:rsidRPr="00F5312C" w:rsidRDefault="00F5312C" w:rsidP="00D24CC6">
      <w:pPr>
        <w:keepNext/>
        <w:spacing w:after="0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6C56A399" wp14:editId="6FD088E2">
            <wp:extent cx="3971499" cy="6700520"/>
            <wp:effectExtent l="0" t="0" r="0" b="508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1038" b="12787"/>
                    <a:stretch/>
                  </pic:blipFill>
                  <pic:spPr bwMode="auto">
                    <a:xfrm>
                      <a:off x="0" y="0"/>
                      <a:ext cx="3971814" cy="6701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28B73D" w14:textId="01B5F4B4" w:rsidR="00D24CC6" w:rsidRPr="009D7DBF" w:rsidRDefault="00D24CC6" w:rsidP="00D24CC6">
      <w:pPr>
        <w:pStyle w:val="Beschriftung"/>
        <w:jc w:val="both"/>
        <w:rPr>
          <w:rFonts w:ascii="Arial" w:hAnsi="Arial" w:cs="Arial"/>
          <w:noProof/>
          <w:sz w:val="20"/>
          <w:szCs w:val="20"/>
          <w:lang w:val="en-US"/>
        </w:rPr>
      </w:pPr>
      <w:r w:rsidRPr="009D7DB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  <w:t xml:space="preserve">Supplementary figure 5 CD83cKO mice showed pathological changes in lung morphology. </w:t>
      </w:r>
      <w:r w:rsidRPr="009D7DBF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 xml:space="preserve">Complete section of displayed histological features in Figure 3 </w:t>
      </w:r>
      <w:r w:rsidR="009D7DBF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>d</w:t>
      </w:r>
      <w:r w:rsidRPr="009D7DBF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 xml:space="preserve">. </w:t>
      </w:r>
      <w:r w:rsidR="00563BFB" w:rsidRPr="009D7DBF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 xml:space="preserve"> </w:t>
      </w:r>
    </w:p>
    <w:p w14:paraId="527045A4" w14:textId="77777777" w:rsidR="00D51920" w:rsidRDefault="001F5308">
      <w:pPr>
        <w:rPr>
          <w:noProof/>
          <w:lang w:val="en-US"/>
        </w:rPr>
      </w:pPr>
      <w:r w:rsidRPr="008B77F5">
        <w:rPr>
          <w:lang w:val="en-US"/>
        </w:rPr>
        <w:br w:type="page"/>
      </w:r>
    </w:p>
    <w:p w14:paraId="05ED6D76" w14:textId="2E41679B" w:rsidR="003940E9" w:rsidRPr="00D51920" w:rsidRDefault="003940E9" w:rsidP="003940E9">
      <w:pPr>
        <w:rPr>
          <w:b/>
          <w:bCs/>
          <w:sz w:val="28"/>
          <w:szCs w:val="28"/>
          <w:lang w:val="en-US"/>
        </w:rPr>
      </w:pPr>
      <w:r w:rsidRPr="00D51920">
        <w:rPr>
          <w:b/>
          <w:bCs/>
          <w:sz w:val="28"/>
          <w:szCs w:val="28"/>
          <w:lang w:val="en-US"/>
        </w:rPr>
        <w:lastRenderedPageBreak/>
        <w:t xml:space="preserve">Supplementary Figure </w:t>
      </w:r>
      <w:r w:rsidR="00D24CC6">
        <w:rPr>
          <w:b/>
          <w:bCs/>
          <w:sz w:val="28"/>
          <w:szCs w:val="28"/>
          <w:lang w:val="en-US"/>
        </w:rPr>
        <w:t>6</w:t>
      </w:r>
    </w:p>
    <w:p w14:paraId="3DCB7250" w14:textId="59745C8A" w:rsidR="00225FDD" w:rsidRDefault="00D24CC6" w:rsidP="008A6768">
      <w:pPr>
        <w:keepNext/>
        <w:spacing w:after="0"/>
      </w:pPr>
      <w:r>
        <w:rPr>
          <w:noProof/>
        </w:rPr>
        <w:drawing>
          <wp:inline distT="0" distB="0" distL="0" distR="0" wp14:anchorId="673E8EE5" wp14:editId="14E3FBB1">
            <wp:extent cx="3534410" cy="7478973"/>
            <wp:effectExtent l="0" t="0" r="8890" b="8255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8477" b="2305"/>
                    <a:stretch/>
                  </pic:blipFill>
                  <pic:spPr bwMode="auto">
                    <a:xfrm>
                      <a:off x="0" y="0"/>
                      <a:ext cx="3534770" cy="7479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0DB2AB" w14:textId="62886D8C" w:rsidR="00F02544" w:rsidRPr="009D7DBF" w:rsidRDefault="00F02544" w:rsidP="00F02544">
      <w:pPr>
        <w:pStyle w:val="Beschriftung"/>
        <w:jc w:val="both"/>
        <w:rPr>
          <w:rFonts w:ascii="Arial" w:hAnsi="Arial" w:cs="Arial"/>
          <w:i w:val="0"/>
          <w:color w:val="auto"/>
          <w:sz w:val="20"/>
          <w:szCs w:val="20"/>
          <w:lang w:val="en-US"/>
        </w:rPr>
      </w:pPr>
      <w:r w:rsidRPr="009D7DB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GB"/>
        </w:rPr>
        <w:t xml:space="preserve">Supplementary Figure 6. </w:t>
      </w:r>
      <w:r w:rsidRPr="009D7DB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  <w:t>CD83cKO mice showed pathological changes in lung morphology.</w:t>
      </w:r>
      <w:r w:rsidRPr="009D7DBF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 xml:space="preserve"> </w:t>
      </w:r>
      <w:r w:rsidR="009D7DBF" w:rsidRPr="009D7DBF">
        <w:rPr>
          <w:rFonts w:ascii="Arial" w:hAnsi="Arial" w:cs="Arial"/>
          <w:i w:val="0"/>
          <w:color w:val="auto"/>
          <w:sz w:val="20"/>
          <w:szCs w:val="20"/>
          <w:lang w:val="en-US"/>
        </w:rPr>
        <w:t xml:space="preserve">Representative </w:t>
      </w:r>
      <w:r w:rsidR="009D7DBF" w:rsidRPr="009D7DBF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>hematoxylin and eosin (H&amp;E)</w:t>
      </w:r>
      <w:r w:rsidR="009D7DBF" w:rsidRPr="009D7DBF">
        <w:rPr>
          <w:rFonts w:ascii="Arial" w:hAnsi="Arial" w:cs="Arial"/>
          <w:i w:val="0"/>
          <w:color w:val="auto"/>
          <w:sz w:val="20"/>
          <w:szCs w:val="20"/>
          <w:lang w:val="en-US"/>
        </w:rPr>
        <w:t xml:space="preserve"> </w:t>
      </w:r>
      <w:proofErr w:type="spellStart"/>
      <w:r w:rsidR="009D7DBF" w:rsidRPr="009D7DBF">
        <w:rPr>
          <w:rFonts w:ascii="Arial" w:hAnsi="Arial" w:cs="Arial"/>
          <w:i w:val="0"/>
          <w:color w:val="auto"/>
          <w:sz w:val="20"/>
          <w:szCs w:val="20"/>
          <w:lang w:val="en-US"/>
        </w:rPr>
        <w:t>stainings</w:t>
      </w:r>
      <w:proofErr w:type="spellEnd"/>
      <w:r w:rsidR="009D7DBF" w:rsidRPr="009D7DBF">
        <w:rPr>
          <w:rFonts w:ascii="Arial" w:hAnsi="Arial" w:cs="Arial"/>
          <w:i w:val="0"/>
          <w:color w:val="auto"/>
          <w:sz w:val="20"/>
          <w:szCs w:val="20"/>
          <w:lang w:val="en-US"/>
        </w:rPr>
        <w:t xml:space="preserve"> of lung tissue from PBS or OVA-treated Ctrl and CD83cKO mice. Green arrows demonstrate </w:t>
      </w:r>
      <w:r w:rsidR="009D7DBF">
        <w:rPr>
          <w:rFonts w:ascii="Arial" w:hAnsi="Arial" w:cs="Arial"/>
          <w:i w:val="0"/>
          <w:color w:val="auto"/>
          <w:sz w:val="20"/>
          <w:szCs w:val="20"/>
          <w:lang w:val="en-US"/>
        </w:rPr>
        <w:t>the</w:t>
      </w:r>
      <w:r w:rsidR="009D7DBF" w:rsidRPr="009D7DBF">
        <w:rPr>
          <w:rFonts w:ascii="Arial" w:hAnsi="Arial" w:cs="Arial"/>
          <w:i w:val="0"/>
          <w:color w:val="auto"/>
          <w:sz w:val="20"/>
          <w:szCs w:val="20"/>
          <w:lang w:val="en-US"/>
        </w:rPr>
        <w:t xml:space="preserve"> bronchial epithelium</w:t>
      </w:r>
      <w:r w:rsidR="009D7DBF">
        <w:rPr>
          <w:rFonts w:ascii="Arial" w:hAnsi="Arial" w:cs="Arial"/>
          <w:i w:val="0"/>
          <w:color w:val="auto"/>
          <w:sz w:val="20"/>
          <w:szCs w:val="20"/>
          <w:lang w:val="en-US"/>
        </w:rPr>
        <w:t>,</w:t>
      </w:r>
      <w:r w:rsidR="009D7DBF" w:rsidRPr="009D7DBF">
        <w:rPr>
          <w:rFonts w:ascii="Arial" w:hAnsi="Arial" w:cs="Arial"/>
          <w:i w:val="0"/>
          <w:color w:val="auto"/>
          <w:sz w:val="20"/>
          <w:szCs w:val="20"/>
          <w:lang w:val="en-US"/>
        </w:rPr>
        <w:t xml:space="preserve"> </w:t>
      </w:r>
      <w:r w:rsidR="009D7DBF">
        <w:rPr>
          <w:rFonts w:ascii="Arial" w:hAnsi="Arial" w:cs="Arial"/>
          <w:i w:val="0"/>
          <w:color w:val="auto"/>
          <w:sz w:val="20"/>
          <w:szCs w:val="20"/>
          <w:lang w:val="en-US"/>
        </w:rPr>
        <w:t>red</w:t>
      </w:r>
      <w:r w:rsidR="009D7DBF" w:rsidRPr="009D7DBF">
        <w:rPr>
          <w:rFonts w:ascii="Arial" w:hAnsi="Arial" w:cs="Arial"/>
          <w:i w:val="0"/>
          <w:color w:val="auto"/>
          <w:sz w:val="20"/>
          <w:szCs w:val="20"/>
          <w:lang w:val="en-US"/>
        </w:rPr>
        <w:t xml:space="preserve"> arrows </w:t>
      </w:r>
      <w:r w:rsidR="009D7DBF" w:rsidRPr="009D7DBF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>demonstrate smooth muscle tissue changes</w:t>
      </w:r>
      <w:r w:rsidR="009D7DBF">
        <w:rPr>
          <w:rFonts w:ascii="Arial" w:hAnsi="Arial" w:cs="Arial"/>
          <w:i w:val="0"/>
          <w:color w:val="auto"/>
          <w:sz w:val="20"/>
          <w:szCs w:val="20"/>
          <w:lang w:val="en-US"/>
        </w:rPr>
        <w:t xml:space="preserve"> </w:t>
      </w:r>
      <w:r w:rsidRPr="009D7DBF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 xml:space="preserve">and red stars show </w:t>
      </w:r>
      <w:r w:rsidR="00B77A6A" w:rsidRPr="00B77A6A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>peribronchial and perivascular infiltration of lymphocytes</w:t>
      </w:r>
      <w:r w:rsidRPr="009D7DBF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>.</w:t>
      </w:r>
    </w:p>
    <w:p w14:paraId="026C40FF" w14:textId="49E3660D" w:rsidR="003940E9" w:rsidRPr="008B77F5" w:rsidRDefault="003940E9" w:rsidP="00225FDD">
      <w:pPr>
        <w:pStyle w:val="Beschriftung"/>
        <w:rPr>
          <w:lang w:val="en-US"/>
        </w:rPr>
      </w:pPr>
    </w:p>
    <w:p w14:paraId="14BC17C5" w14:textId="36C0B041" w:rsidR="003940E9" w:rsidRDefault="003940E9">
      <w:pPr>
        <w:rPr>
          <w:lang w:val="en-US"/>
        </w:rPr>
      </w:pPr>
    </w:p>
    <w:p w14:paraId="67237FA7" w14:textId="2D345B35" w:rsidR="00B77541" w:rsidRPr="00D51920" w:rsidRDefault="00B77541" w:rsidP="00B77541">
      <w:pPr>
        <w:rPr>
          <w:b/>
          <w:bCs/>
          <w:sz w:val="28"/>
          <w:szCs w:val="28"/>
          <w:lang w:val="en-US"/>
        </w:rPr>
      </w:pPr>
      <w:r w:rsidRPr="00D51920">
        <w:rPr>
          <w:b/>
          <w:bCs/>
          <w:sz w:val="28"/>
          <w:szCs w:val="28"/>
          <w:lang w:val="en-US"/>
        </w:rPr>
        <w:lastRenderedPageBreak/>
        <w:t>Supplementary Figure 7</w:t>
      </w:r>
    </w:p>
    <w:p w14:paraId="0FB59462" w14:textId="77777777" w:rsidR="00225FDD" w:rsidRDefault="00B77541" w:rsidP="008A6768">
      <w:pPr>
        <w:keepNext/>
        <w:spacing w:after="0"/>
      </w:pPr>
      <w:r>
        <w:rPr>
          <w:noProof/>
        </w:rPr>
        <w:drawing>
          <wp:inline distT="0" distB="0" distL="0" distR="0" wp14:anchorId="0BDD94B3" wp14:editId="4E9E4209">
            <wp:extent cx="5745989" cy="2374355"/>
            <wp:effectExtent l="0" t="0" r="7620" b="6985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53" b="61241"/>
                    <a:stretch/>
                  </pic:blipFill>
                  <pic:spPr bwMode="auto">
                    <a:xfrm>
                      <a:off x="0" y="0"/>
                      <a:ext cx="5747385" cy="2374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4DCE9A" w14:textId="2BAA1A4F" w:rsidR="008B77F5" w:rsidRPr="009D7DBF" w:rsidRDefault="00225FDD" w:rsidP="008B77F5">
      <w:pPr>
        <w:pStyle w:val="Beschriftung"/>
        <w:jc w:val="both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</w:pPr>
      <w:r w:rsidRPr="009D7DB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  <w:t xml:space="preserve">Supplementary figure </w:t>
      </w:r>
      <w:r w:rsidRPr="009D7DB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9D7DB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  <w:instrText xml:space="preserve"> SEQ Supplementary_figure \* ARABIC </w:instrText>
      </w:r>
      <w:r w:rsidRPr="009D7DB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Pr="009D7DBF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  <w:lang w:val="en-US"/>
        </w:rPr>
        <w:t>7</w:t>
      </w:r>
      <w:r w:rsidRPr="009D7DB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="008B77F5" w:rsidRPr="009D7DB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  <w:t>.</w:t>
      </w:r>
      <w:r w:rsidR="008B77F5" w:rsidRPr="009D7DB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GB"/>
        </w:rPr>
        <w:t xml:space="preserve"> Flow cytometric gating strategy for the analysis of</w:t>
      </w:r>
      <w:r w:rsidR="008B77F5" w:rsidRPr="009D7DB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  <w:t xml:space="preserve"> immigrated eosinophils. </w:t>
      </w:r>
      <w:r w:rsidR="008B77F5" w:rsidRPr="009D7DBF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>Gating strategy to identify eosinophils (CD45</w:t>
      </w:r>
      <w:r w:rsidR="008B77F5" w:rsidRPr="009D7DBF">
        <w:rPr>
          <w:rFonts w:ascii="Arial" w:hAnsi="Arial" w:cs="Arial"/>
          <w:i w:val="0"/>
          <w:iCs w:val="0"/>
          <w:color w:val="auto"/>
          <w:sz w:val="20"/>
          <w:szCs w:val="20"/>
          <w:vertAlign w:val="superscript"/>
          <w:lang w:val="en-US"/>
        </w:rPr>
        <w:t>+</w:t>
      </w:r>
      <w:r w:rsidR="008B77F5" w:rsidRPr="009D7DBF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>Ly6G</w:t>
      </w:r>
      <w:r w:rsidR="008B77F5" w:rsidRPr="009D7DBF">
        <w:rPr>
          <w:rFonts w:ascii="Arial" w:hAnsi="Arial" w:cs="Arial"/>
          <w:i w:val="0"/>
          <w:iCs w:val="0"/>
          <w:color w:val="auto"/>
          <w:sz w:val="20"/>
          <w:szCs w:val="20"/>
          <w:vertAlign w:val="superscript"/>
          <w:lang w:val="en-US"/>
        </w:rPr>
        <w:t>-</w:t>
      </w:r>
      <w:r w:rsidR="008B77F5" w:rsidRPr="009D7DBF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>CD11b</w:t>
      </w:r>
      <w:r w:rsidR="008B77F5" w:rsidRPr="009D7DBF">
        <w:rPr>
          <w:rFonts w:ascii="Arial" w:hAnsi="Arial" w:cs="Arial"/>
          <w:i w:val="0"/>
          <w:iCs w:val="0"/>
          <w:color w:val="auto"/>
          <w:sz w:val="20"/>
          <w:szCs w:val="20"/>
          <w:vertAlign w:val="superscript"/>
          <w:lang w:val="en-US"/>
        </w:rPr>
        <w:t>+</w:t>
      </w:r>
      <w:r w:rsidR="008B77F5" w:rsidRPr="009D7DBF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>SiglecF</w:t>
      </w:r>
      <w:r w:rsidR="008B77F5" w:rsidRPr="009D7DBF">
        <w:rPr>
          <w:rFonts w:ascii="Arial" w:hAnsi="Arial" w:cs="Arial"/>
          <w:i w:val="0"/>
          <w:iCs w:val="0"/>
          <w:color w:val="auto"/>
          <w:sz w:val="20"/>
          <w:szCs w:val="20"/>
          <w:vertAlign w:val="superscript"/>
          <w:lang w:val="en-US"/>
        </w:rPr>
        <w:t>+</w:t>
      </w:r>
      <w:r w:rsidR="008B77F5" w:rsidRPr="009D7DBF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>). Color dot plot of a representative subject. Approximately 100.000 events on CD45</w:t>
      </w:r>
      <w:r w:rsidR="008B77F5" w:rsidRPr="009D7DBF">
        <w:rPr>
          <w:rFonts w:ascii="Arial" w:hAnsi="Arial" w:cs="Arial"/>
          <w:i w:val="0"/>
          <w:iCs w:val="0"/>
          <w:color w:val="auto"/>
          <w:sz w:val="20"/>
          <w:szCs w:val="20"/>
          <w:vertAlign w:val="superscript"/>
          <w:lang w:val="en-US"/>
        </w:rPr>
        <w:t>+</w:t>
      </w:r>
      <w:r w:rsidR="008B77F5" w:rsidRPr="009D7DBF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 xml:space="preserve"> cells were measured for each sample.</w:t>
      </w:r>
      <w:r w:rsidR="008B77F5" w:rsidRPr="009D7DB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  <w:t xml:space="preserve">  </w:t>
      </w:r>
    </w:p>
    <w:p w14:paraId="17FEAA64" w14:textId="77777777" w:rsidR="00F02544" w:rsidRDefault="00F02544">
      <w:pPr>
        <w:rPr>
          <w:b/>
          <w:bCs/>
          <w:sz w:val="28"/>
          <w:szCs w:val="28"/>
          <w:lang w:val="en-US"/>
        </w:rPr>
      </w:pPr>
    </w:p>
    <w:p w14:paraId="6800497E" w14:textId="7299F952" w:rsidR="001F5308" w:rsidRPr="00D51920" w:rsidRDefault="001F5308">
      <w:pPr>
        <w:rPr>
          <w:b/>
          <w:bCs/>
          <w:sz w:val="28"/>
          <w:szCs w:val="28"/>
          <w:lang w:val="en-US"/>
        </w:rPr>
      </w:pPr>
      <w:r w:rsidRPr="00D51920">
        <w:rPr>
          <w:b/>
          <w:bCs/>
          <w:sz w:val="28"/>
          <w:szCs w:val="28"/>
          <w:lang w:val="en-US"/>
        </w:rPr>
        <w:t xml:space="preserve">Supplementary Figure 8 </w:t>
      </w:r>
    </w:p>
    <w:p w14:paraId="6B2342AA" w14:textId="287E1CED" w:rsidR="00225FDD" w:rsidRDefault="008A6768" w:rsidP="008A6768">
      <w:pPr>
        <w:keepNext/>
        <w:spacing w:after="0"/>
        <w:jc w:val="both"/>
      </w:pPr>
      <w:r>
        <w:rPr>
          <w:noProof/>
        </w:rPr>
        <w:drawing>
          <wp:inline distT="0" distB="0" distL="0" distR="0" wp14:anchorId="348E26EF" wp14:editId="4CDEE7DD">
            <wp:extent cx="5746687" cy="2006633"/>
            <wp:effectExtent l="0" t="0" r="6985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737" b="68061"/>
                    <a:stretch/>
                  </pic:blipFill>
                  <pic:spPr bwMode="auto">
                    <a:xfrm>
                      <a:off x="0" y="0"/>
                      <a:ext cx="5747385" cy="2006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8514D6" w14:textId="77777777" w:rsidR="00B77A6A" w:rsidRPr="0041275F" w:rsidRDefault="00225FDD" w:rsidP="00B77A6A">
      <w:pPr>
        <w:pStyle w:val="Beschriftung"/>
        <w:jc w:val="both"/>
        <w:rPr>
          <w:rFonts w:ascii="Arial" w:hAnsi="Arial" w:cs="Arial"/>
          <w:b/>
          <w:i w:val="0"/>
          <w:color w:val="auto"/>
          <w:sz w:val="20"/>
          <w:szCs w:val="20"/>
          <w:lang w:val="en-GB"/>
        </w:rPr>
      </w:pPr>
      <w:r w:rsidRPr="00B77A6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  <w:t xml:space="preserve">Supplementary figure </w:t>
      </w:r>
      <w:r w:rsidRPr="00B77A6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B77A6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  <w:instrText xml:space="preserve"> SEQ Supplementary_figure \* ARABIC </w:instrText>
      </w:r>
      <w:r w:rsidRPr="00B77A6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Pr="00B77A6A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  <w:lang w:val="en-US"/>
        </w:rPr>
        <w:t>8</w:t>
      </w:r>
      <w:r w:rsidRPr="00B77A6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="008B77F5" w:rsidRPr="00B77A6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  <w:t xml:space="preserve">. CD83cKO mice developed an exacerbated eosinophilia in allergic asthma </w:t>
      </w:r>
      <w:r w:rsidR="00B77A6A" w:rsidRPr="00B77A6A">
        <w:rPr>
          <w:rFonts w:ascii="Arial" w:hAnsi="Arial" w:cs="Arial"/>
          <w:bCs/>
          <w:i w:val="0"/>
          <w:iCs w:val="0"/>
          <w:color w:val="auto"/>
          <w:sz w:val="20"/>
          <w:szCs w:val="20"/>
          <w:lang w:val="en-US"/>
        </w:rPr>
        <w:t xml:space="preserve">FACS analysis of Tregs from spleen (SPL) </w:t>
      </w:r>
      <w:r w:rsidR="00B77A6A">
        <w:rPr>
          <w:rFonts w:ascii="Arial" w:hAnsi="Arial" w:cs="Arial"/>
          <w:bCs/>
          <w:i w:val="0"/>
          <w:iCs w:val="0"/>
          <w:color w:val="auto"/>
          <w:sz w:val="20"/>
          <w:szCs w:val="20"/>
          <w:lang w:val="en-US"/>
        </w:rPr>
        <w:t>cervical</w:t>
      </w:r>
      <w:r w:rsidR="00B77A6A" w:rsidRPr="00B77A6A">
        <w:rPr>
          <w:rFonts w:ascii="Arial" w:hAnsi="Arial" w:cs="Arial"/>
          <w:bCs/>
          <w:i w:val="0"/>
          <w:iCs w:val="0"/>
          <w:color w:val="auto"/>
          <w:sz w:val="20"/>
          <w:szCs w:val="20"/>
          <w:lang w:val="en-US"/>
        </w:rPr>
        <w:t xml:space="preserve"> lymph node- (</w:t>
      </w:r>
      <w:proofErr w:type="spellStart"/>
      <w:r w:rsidR="00B77A6A">
        <w:rPr>
          <w:rFonts w:ascii="Arial" w:hAnsi="Arial" w:cs="Arial"/>
          <w:bCs/>
          <w:i w:val="0"/>
          <w:iCs w:val="0"/>
          <w:color w:val="auto"/>
          <w:sz w:val="20"/>
          <w:szCs w:val="20"/>
          <w:lang w:val="en-US"/>
        </w:rPr>
        <w:t>c</w:t>
      </w:r>
      <w:r w:rsidR="00B77A6A" w:rsidRPr="00B77A6A">
        <w:rPr>
          <w:rFonts w:ascii="Arial" w:hAnsi="Arial" w:cs="Arial"/>
          <w:bCs/>
          <w:i w:val="0"/>
          <w:iCs w:val="0"/>
          <w:color w:val="auto"/>
          <w:sz w:val="20"/>
          <w:szCs w:val="20"/>
          <w:lang w:val="en-US"/>
        </w:rPr>
        <w:t>LN</w:t>
      </w:r>
      <w:proofErr w:type="spellEnd"/>
      <w:r w:rsidR="00B77A6A" w:rsidRPr="00B77A6A">
        <w:rPr>
          <w:rFonts w:ascii="Arial" w:hAnsi="Arial" w:cs="Arial"/>
          <w:bCs/>
          <w:i w:val="0"/>
          <w:iCs w:val="0"/>
          <w:color w:val="auto"/>
          <w:sz w:val="20"/>
          <w:szCs w:val="20"/>
          <w:lang w:val="en-US"/>
        </w:rPr>
        <w:t xml:space="preserve">), </w:t>
      </w:r>
      <w:r w:rsidR="00B77A6A" w:rsidRPr="00B77A6A">
        <w:rPr>
          <w:rFonts w:ascii="Arial" w:hAnsi="Arial" w:cs="Arial"/>
          <w:i w:val="0"/>
          <w:color w:val="auto"/>
          <w:sz w:val="20"/>
          <w:szCs w:val="20"/>
          <w:lang w:val="en-US"/>
        </w:rPr>
        <w:t>immune cells in the bronchoalveolar lavage-fluid (BALF) and lung tissue from asthmatic and control mice.</w:t>
      </w:r>
      <w:r w:rsidR="00B77A6A" w:rsidRPr="00B77A6A">
        <w:rPr>
          <w:rFonts w:ascii="Arial" w:hAnsi="Arial" w:cs="Arial"/>
          <w:b/>
          <w:bCs/>
          <w:i w:val="0"/>
          <w:color w:val="auto"/>
          <w:sz w:val="20"/>
          <w:szCs w:val="20"/>
          <w:lang w:val="en-US"/>
        </w:rPr>
        <w:t xml:space="preserve"> a</w:t>
      </w:r>
      <w:r w:rsidR="00B77A6A" w:rsidRPr="00B77A6A">
        <w:rPr>
          <w:rFonts w:ascii="Arial" w:hAnsi="Arial" w:cs="Arial"/>
          <w:i w:val="0"/>
          <w:color w:val="auto"/>
          <w:sz w:val="20"/>
          <w:szCs w:val="20"/>
          <w:lang w:val="en-US"/>
        </w:rPr>
        <w:t xml:space="preserve"> Frequencies of CD45</w:t>
      </w:r>
      <w:r w:rsidR="00B77A6A" w:rsidRPr="00B77A6A">
        <w:rPr>
          <w:rFonts w:ascii="Arial" w:hAnsi="Arial" w:cs="Arial"/>
          <w:i w:val="0"/>
          <w:color w:val="auto"/>
          <w:sz w:val="20"/>
          <w:szCs w:val="20"/>
          <w:vertAlign w:val="superscript"/>
          <w:lang w:val="en-US"/>
        </w:rPr>
        <w:t>+</w:t>
      </w:r>
      <w:r w:rsidR="00B77A6A" w:rsidRPr="00B77A6A">
        <w:rPr>
          <w:rFonts w:ascii="Arial" w:hAnsi="Arial" w:cs="Arial"/>
          <w:i w:val="0"/>
          <w:color w:val="auto"/>
          <w:sz w:val="20"/>
          <w:szCs w:val="20"/>
          <w:lang w:val="en-US"/>
        </w:rPr>
        <w:t xml:space="preserve"> immune cells</w:t>
      </w:r>
      <w:r w:rsidR="00B77A6A">
        <w:rPr>
          <w:rFonts w:ascii="Arial" w:hAnsi="Arial" w:cs="Arial"/>
          <w:i w:val="0"/>
          <w:color w:val="auto"/>
          <w:sz w:val="20"/>
          <w:szCs w:val="20"/>
          <w:lang w:val="en-US"/>
        </w:rPr>
        <w:t xml:space="preserve"> and </w:t>
      </w:r>
      <w:r w:rsidR="00B77A6A" w:rsidRPr="00B77A6A">
        <w:rPr>
          <w:rFonts w:ascii="Arial" w:hAnsi="Arial" w:cs="Arial"/>
          <w:b/>
          <w:bCs/>
          <w:i w:val="0"/>
          <w:color w:val="auto"/>
          <w:sz w:val="20"/>
          <w:szCs w:val="20"/>
          <w:lang w:val="en-US"/>
        </w:rPr>
        <w:t>b</w:t>
      </w:r>
      <w:r w:rsidR="00B77A6A" w:rsidRPr="00B77A6A">
        <w:rPr>
          <w:rFonts w:ascii="Arial" w:hAnsi="Arial" w:cs="Arial"/>
          <w:i w:val="0"/>
          <w:color w:val="auto"/>
          <w:sz w:val="20"/>
          <w:szCs w:val="20"/>
          <w:lang w:val="en-US"/>
        </w:rPr>
        <w:t xml:space="preserve"> total CD11b</w:t>
      </w:r>
      <w:r w:rsidR="00B77A6A" w:rsidRPr="00B77A6A">
        <w:rPr>
          <w:rFonts w:ascii="Arial" w:hAnsi="Arial" w:cs="Arial"/>
          <w:i w:val="0"/>
          <w:color w:val="auto"/>
          <w:sz w:val="20"/>
          <w:szCs w:val="20"/>
          <w:vertAlign w:val="superscript"/>
          <w:lang w:val="en-US"/>
        </w:rPr>
        <w:t>+</w:t>
      </w:r>
      <w:r w:rsidR="00B77A6A" w:rsidRPr="00B77A6A">
        <w:rPr>
          <w:rFonts w:ascii="Arial" w:hAnsi="Arial" w:cs="Arial"/>
          <w:i w:val="0"/>
          <w:color w:val="auto"/>
          <w:sz w:val="20"/>
          <w:szCs w:val="20"/>
          <w:lang w:val="en-US"/>
        </w:rPr>
        <w:t xml:space="preserve"> cells</w:t>
      </w:r>
      <w:r w:rsidR="00B77A6A">
        <w:rPr>
          <w:rFonts w:ascii="Arial" w:hAnsi="Arial" w:cs="Arial"/>
          <w:i w:val="0"/>
          <w:color w:val="auto"/>
          <w:sz w:val="20"/>
          <w:szCs w:val="20"/>
          <w:lang w:val="en-US"/>
        </w:rPr>
        <w:t xml:space="preserve">. </w:t>
      </w:r>
      <w:r w:rsidR="00B77A6A" w:rsidRPr="00B77A6A">
        <w:rPr>
          <w:rFonts w:ascii="Arial" w:hAnsi="Arial" w:cs="Arial"/>
          <w:i w:val="0"/>
          <w:color w:val="auto"/>
          <w:sz w:val="20"/>
          <w:szCs w:val="20"/>
          <w:lang w:val="en-US"/>
        </w:rPr>
        <w:t xml:space="preserve">(Ctrl n=4-5, CD83cKO n= 4-5, </w:t>
      </w:r>
      <w:r w:rsidR="00B77A6A" w:rsidRPr="00B77A6A">
        <w:rPr>
          <w:rFonts w:ascii="Arial" w:hAnsi="Arial" w:cs="Arial"/>
          <w:bCs/>
          <w:i w:val="0"/>
          <w:iCs w:val="0"/>
          <w:color w:val="auto"/>
          <w:sz w:val="20"/>
          <w:szCs w:val="20"/>
          <w:lang w:val="en-US"/>
        </w:rPr>
        <w:t>one representative experiment out of two</w:t>
      </w:r>
      <w:r w:rsidR="00B77A6A" w:rsidRPr="00B77A6A">
        <w:rPr>
          <w:rFonts w:ascii="Arial" w:hAnsi="Arial" w:cs="Arial"/>
          <w:i w:val="0"/>
          <w:color w:val="auto"/>
          <w:sz w:val="20"/>
          <w:szCs w:val="20"/>
          <w:lang w:val="en-US"/>
        </w:rPr>
        <w:t>). In all graphs, data are represented as mean ± SEM and two-tailed Mann–Whitney U-test was used to analyze the data.</w:t>
      </w:r>
    </w:p>
    <w:p w14:paraId="3FC448D1" w14:textId="167D2279" w:rsidR="001F5308" w:rsidRPr="00B77A6A" w:rsidRDefault="001F5308" w:rsidP="008A6768">
      <w:pPr>
        <w:pStyle w:val="Beschriftung"/>
        <w:jc w:val="both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GB"/>
        </w:rPr>
      </w:pPr>
    </w:p>
    <w:p w14:paraId="0D17492E" w14:textId="515F1984" w:rsidR="00D51920" w:rsidRDefault="00D51920">
      <w:pPr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br w:type="page"/>
      </w:r>
    </w:p>
    <w:p w14:paraId="3B3C0EDA" w14:textId="20844351" w:rsidR="003940E9" w:rsidRPr="00D51920" w:rsidRDefault="003940E9">
      <w:pPr>
        <w:rPr>
          <w:b/>
          <w:bCs/>
          <w:sz w:val="28"/>
          <w:szCs w:val="28"/>
          <w:lang w:val="en-US"/>
        </w:rPr>
      </w:pPr>
      <w:r w:rsidRPr="00D51920">
        <w:rPr>
          <w:b/>
          <w:bCs/>
          <w:sz w:val="28"/>
          <w:szCs w:val="28"/>
          <w:lang w:val="en-US"/>
        </w:rPr>
        <w:lastRenderedPageBreak/>
        <w:t xml:space="preserve">Supplementary Figure </w:t>
      </w:r>
      <w:r w:rsidR="001F5308" w:rsidRPr="00D51920">
        <w:rPr>
          <w:b/>
          <w:bCs/>
          <w:sz w:val="28"/>
          <w:szCs w:val="28"/>
          <w:lang w:val="en-US"/>
        </w:rPr>
        <w:t>9</w:t>
      </w:r>
      <w:r w:rsidRPr="00D51920">
        <w:rPr>
          <w:b/>
          <w:bCs/>
          <w:sz w:val="28"/>
          <w:szCs w:val="28"/>
          <w:lang w:val="en-US"/>
        </w:rPr>
        <w:t xml:space="preserve"> </w:t>
      </w:r>
    </w:p>
    <w:p w14:paraId="753B24A6" w14:textId="77777777" w:rsidR="00225FDD" w:rsidRDefault="004069E6" w:rsidP="00225FDD">
      <w:pPr>
        <w:keepNext/>
      </w:pPr>
      <w:r>
        <w:rPr>
          <w:noProof/>
        </w:rPr>
        <w:drawing>
          <wp:inline distT="0" distB="0" distL="0" distR="0" wp14:anchorId="771ABACC" wp14:editId="5F835C5E">
            <wp:extent cx="5747256" cy="1757549"/>
            <wp:effectExtent l="0" t="0" r="6350" b="0"/>
            <wp:docPr id="23" name="Grafi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07" b="72246"/>
                    <a:stretch/>
                  </pic:blipFill>
                  <pic:spPr bwMode="auto">
                    <a:xfrm>
                      <a:off x="0" y="0"/>
                      <a:ext cx="5747385" cy="1757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8550A5" w14:textId="58C35C3B" w:rsidR="00845DAD" w:rsidRPr="00B77A6A" w:rsidRDefault="00225FDD" w:rsidP="00845DAD">
      <w:pPr>
        <w:pStyle w:val="Beschriftung"/>
        <w:jc w:val="both"/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</w:pPr>
      <w:r w:rsidRPr="00B77A6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  <w:t xml:space="preserve">Supplementary figure </w:t>
      </w:r>
      <w:r w:rsidRPr="00B77A6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B77A6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  <w:instrText xml:space="preserve"> SEQ Supplementary_figure \* ARABIC </w:instrText>
      </w:r>
      <w:r w:rsidRPr="00B77A6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Pr="00B77A6A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  <w:lang w:val="en-US"/>
        </w:rPr>
        <w:t>9</w:t>
      </w:r>
      <w:r w:rsidRPr="00B77A6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="00845DAD" w:rsidRPr="00B77A6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  <w:t xml:space="preserve">. </w:t>
      </w:r>
      <w:r w:rsidR="00845DAD" w:rsidRPr="00B77A6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GB"/>
        </w:rPr>
        <w:t xml:space="preserve"> </w:t>
      </w:r>
      <w:r w:rsidR="00B77A6A" w:rsidRPr="00B77A6A">
        <w:rPr>
          <w:rFonts w:ascii="Arial" w:hAnsi="Arial" w:cs="Arial"/>
          <w:bCs/>
          <w:i w:val="0"/>
          <w:iCs w:val="0"/>
          <w:color w:val="auto"/>
          <w:sz w:val="20"/>
          <w:szCs w:val="24"/>
          <w:lang w:val="en-US"/>
        </w:rPr>
        <w:t xml:space="preserve">Asthmatic lungs derived from CD83cKO mice resulted in enhanced Th2 effector T cell responses and a highly activated phenotype.  </w:t>
      </w:r>
      <w:r w:rsidR="00B77A6A" w:rsidRPr="00B77A6A">
        <w:rPr>
          <w:rFonts w:ascii="Arial" w:hAnsi="Arial" w:cs="Arial"/>
          <w:b/>
          <w:i w:val="0"/>
          <w:iCs w:val="0"/>
          <w:color w:val="auto"/>
          <w:sz w:val="20"/>
          <w:szCs w:val="24"/>
          <w:lang w:val="en-US"/>
        </w:rPr>
        <w:t>a-</w:t>
      </w:r>
      <w:r w:rsidR="00B77A6A" w:rsidRPr="00B77A6A">
        <w:rPr>
          <w:rFonts w:ascii="Arial" w:hAnsi="Arial" w:cs="Arial"/>
          <w:b/>
          <w:i w:val="0"/>
          <w:iCs w:val="0"/>
          <w:color w:val="auto"/>
          <w:sz w:val="20"/>
          <w:szCs w:val="24"/>
          <w:lang w:val="en-US"/>
        </w:rPr>
        <w:t>c</w:t>
      </w:r>
      <w:r w:rsidR="00B77A6A" w:rsidRPr="00B77A6A">
        <w:rPr>
          <w:rFonts w:ascii="Arial" w:hAnsi="Arial" w:cs="Arial"/>
          <w:bCs/>
          <w:i w:val="0"/>
          <w:iCs w:val="0"/>
          <w:color w:val="auto"/>
          <w:sz w:val="20"/>
          <w:szCs w:val="24"/>
          <w:lang w:val="en-US"/>
        </w:rPr>
        <w:t xml:space="preserve"> FACS analysis of lung-resident CD4</w:t>
      </w:r>
      <w:r w:rsidR="00B77A6A" w:rsidRPr="00B77A6A">
        <w:rPr>
          <w:rFonts w:ascii="Arial" w:hAnsi="Arial" w:cs="Arial"/>
          <w:bCs/>
          <w:i w:val="0"/>
          <w:iCs w:val="0"/>
          <w:color w:val="auto"/>
          <w:sz w:val="20"/>
          <w:szCs w:val="24"/>
          <w:vertAlign w:val="superscript"/>
          <w:lang w:val="en-US"/>
        </w:rPr>
        <w:t>+</w:t>
      </w:r>
      <w:r w:rsidR="00B77A6A" w:rsidRPr="00B77A6A">
        <w:rPr>
          <w:rFonts w:ascii="Arial" w:hAnsi="Arial" w:cs="Arial"/>
          <w:bCs/>
          <w:i w:val="0"/>
          <w:iCs w:val="0"/>
          <w:color w:val="auto"/>
          <w:sz w:val="20"/>
          <w:szCs w:val="24"/>
          <w:lang w:val="en-US"/>
        </w:rPr>
        <w:t xml:space="preserve"> T cells and Tregs from asthmatic and control mice: </w:t>
      </w:r>
      <w:r w:rsidR="00B77A6A" w:rsidRPr="00B77A6A">
        <w:rPr>
          <w:rFonts w:ascii="Arial" w:hAnsi="Arial" w:cs="Arial"/>
          <w:b/>
          <w:i w:val="0"/>
          <w:iCs w:val="0"/>
          <w:color w:val="auto"/>
          <w:sz w:val="20"/>
          <w:szCs w:val="24"/>
          <w:lang w:val="en-US"/>
        </w:rPr>
        <w:t>a</w:t>
      </w:r>
      <w:r w:rsidR="00B77A6A" w:rsidRPr="00B77A6A">
        <w:rPr>
          <w:rFonts w:ascii="Arial" w:hAnsi="Arial" w:cs="Arial"/>
          <w:bCs/>
          <w:i w:val="0"/>
          <w:iCs w:val="0"/>
          <w:color w:val="auto"/>
          <w:sz w:val="20"/>
          <w:szCs w:val="24"/>
          <w:lang w:val="en-US"/>
        </w:rPr>
        <w:t xml:space="preserve"> CD4</w:t>
      </w:r>
      <w:r w:rsidR="00B77A6A" w:rsidRPr="00B77A6A">
        <w:rPr>
          <w:rFonts w:ascii="Arial" w:hAnsi="Arial" w:cs="Arial"/>
          <w:bCs/>
          <w:i w:val="0"/>
          <w:iCs w:val="0"/>
          <w:color w:val="auto"/>
          <w:sz w:val="20"/>
          <w:szCs w:val="24"/>
          <w:vertAlign w:val="superscript"/>
          <w:lang w:val="en-US"/>
        </w:rPr>
        <w:t>+</w:t>
      </w:r>
      <w:r w:rsidR="00B77A6A" w:rsidRPr="00B77A6A">
        <w:rPr>
          <w:rFonts w:ascii="Arial" w:hAnsi="Arial" w:cs="Arial"/>
          <w:bCs/>
          <w:i w:val="0"/>
          <w:iCs w:val="0"/>
          <w:color w:val="auto"/>
          <w:sz w:val="20"/>
          <w:szCs w:val="24"/>
          <w:lang w:val="en-US"/>
        </w:rPr>
        <w:t xml:space="preserve"> T cell frequencies. Percentage of GITR</w:t>
      </w:r>
      <w:r w:rsidR="00B77A6A" w:rsidRPr="00B77A6A">
        <w:rPr>
          <w:rFonts w:ascii="Arial" w:hAnsi="Arial" w:cs="Arial"/>
          <w:bCs/>
          <w:i w:val="0"/>
          <w:iCs w:val="0"/>
          <w:color w:val="auto"/>
          <w:sz w:val="20"/>
          <w:szCs w:val="24"/>
          <w:vertAlign w:val="superscript"/>
          <w:lang w:val="en-US"/>
        </w:rPr>
        <w:t>+</w:t>
      </w:r>
      <w:r w:rsidR="00B77A6A" w:rsidRPr="00B77A6A">
        <w:rPr>
          <w:rFonts w:ascii="Arial" w:hAnsi="Arial" w:cs="Arial"/>
          <w:bCs/>
          <w:i w:val="0"/>
          <w:iCs w:val="0"/>
          <w:color w:val="auto"/>
          <w:sz w:val="20"/>
          <w:szCs w:val="24"/>
          <w:lang w:val="en-US"/>
        </w:rPr>
        <w:t xml:space="preserve"> cells among </w:t>
      </w:r>
      <w:r w:rsidR="00B77A6A" w:rsidRPr="00B77A6A">
        <w:rPr>
          <w:rFonts w:ascii="Arial" w:hAnsi="Arial" w:cs="Arial"/>
          <w:b/>
          <w:i w:val="0"/>
          <w:iCs w:val="0"/>
          <w:color w:val="auto"/>
          <w:sz w:val="20"/>
          <w:szCs w:val="24"/>
          <w:lang w:val="en-US"/>
        </w:rPr>
        <w:t>b</w:t>
      </w:r>
      <w:r w:rsidR="00B77A6A" w:rsidRPr="00B77A6A">
        <w:rPr>
          <w:rFonts w:ascii="Arial" w:hAnsi="Arial" w:cs="Arial"/>
          <w:bCs/>
          <w:i w:val="0"/>
          <w:iCs w:val="0"/>
          <w:color w:val="auto"/>
          <w:sz w:val="20"/>
          <w:szCs w:val="24"/>
          <w:lang w:val="en-US"/>
        </w:rPr>
        <w:t xml:space="preserve"> CD4</w:t>
      </w:r>
      <w:r w:rsidR="00B77A6A" w:rsidRPr="00B77A6A">
        <w:rPr>
          <w:rFonts w:ascii="Arial" w:hAnsi="Arial" w:cs="Arial"/>
          <w:bCs/>
          <w:i w:val="0"/>
          <w:iCs w:val="0"/>
          <w:color w:val="auto"/>
          <w:sz w:val="20"/>
          <w:szCs w:val="24"/>
          <w:vertAlign w:val="superscript"/>
          <w:lang w:val="en-US"/>
        </w:rPr>
        <w:t>+</w:t>
      </w:r>
      <w:r w:rsidR="00B77A6A" w:rsidRPr="00B77A6A">
        <w:rPr>
          <w:rFonts w:ascii="Arial" w:hAnsi="Arial" w:cs="Arial"/>
          <w:bCs/>
          <w:i w:val="0"/>
          <w:iCs w:val="0"/>
          <w:color w:val="auto"/>
          <w:sz w:val="20"/>
          <w:szCs w:val="24"/>
          <w:lang w:val="en-US"/>
        </w:rPr>
        <w:t xml:space="preserve"> T cells and</w:t>
      </w:r>
      <w:r w:rsidR="00B77A6A" w:rsidRPr="00B77A6A">
        <w:rPr>
          <w:rFonts w:ascii="Arial" w:hAnsi="Arial" w:cs="Arial"/>
          <w:b/>
          <w:i w:val="0"/>
          <w:iCs w:val="0"/>
          <w:color w:val="auto"/>
          <w:sz w:val="20"/>
          <w:szCs w:val="24"/>
          <w:lang w:val="en-US"/>
        </w:rPr>
        <w:t xml:space="preserve"> c </w:t>
      </w:r>
      <w:r w:rsidR="00B77A6A" w:rsidRPr="00B77A6A">
        <w:rPr>
          <w:rFonts w:ascii="Arial" w:hAnsi="Arial" w:cs="Arial"/>
          <w:bCs/>
          <w:i w:val="0"/>
          <w:iCs w:val="0"/>
          <w:color w:val="auto"/>
          <w:sz w:val="20"/>
          <w:szCs w:val="24"/>
          <w:lang w:val="en-US"/>
        </w:rPr>
        <w:t>on Tregs</w:t>
      </w:r>
      <w:r w:rsidR="00B77A6A">
        <w:rPr>
          <w:rFonts w:ascii="Arial" w:hAnsi="Arial" w:cs="Arial"/>
          <w:bCs/>
          <w:i w:val="0"/>
          <w:iCs w:val="0"/>
          <w:color w:val="auto"/>
          <w:sz w:val="20"/>
          <w:szCs w:val="24"/>
          <w:lang w:val="en-US"/>
        </w:rPr>
        <w:t>.</w:t>
      </w:r>
      <w:r w:rsidR="00B77A6A" w:rsidRPr="00B77A6A">
        <w:rPr>
          <w:rFonts w:ascii="Arial" w:hAnsi="Arial" w:cs="Arial"/>
          <w:bCs/>
          <w:i w:val="0"/>
          <w:iCs w:val="0"/>
          <w:color w:val="auto"/>
          <w:sz w:val="20"/>
          <w:szCs w:val="24"/>
          <w:lang w:val="en-US"/>
        </w:rPr>
        <w:t xml:space="preserve"> </w:t>
      </w:r>
      <w:r w:rsidR="00B77A6A" w:rsidRPr="00B77A6A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 xml:space="preserve">In all graphs, data are represented as mean ± SEM and two-tailed Mann–Whitney U-test was used to analyze the data. (Ctrl n=4-5, CD83cKO n= 4-5, </w:t>
      </w:r>
      <w:r w:rsidR="00B77A6A" w:rsidRPr="00B77A6A">
        <w:rPr>
          <w:rFonts w:ascii="Arial" w:hAnsi="Arial" w:cs="Arial"/>
          <w:bCs/>
          <w:i w:val="0"/>
          <w:iCs w:val="0"/>
          <w:color w:val="auto"/>
          <w:sz w:val="20"/>
          <w:szCs w:val="20"/>
          <w:lang w:val="en-US"/>
        </w:rPr>
        <w:t>one representative experiment out of two)</w:t>
      </w:r>
      <w:r w:rsidR="00B77A6A">
        <w:rPr>
          <w:rFonts w:ascii="Arial" w:hAnsi="Arial" w:cs="Arial"/>
          <w:bCs/>
          <w:i w:val="0"/>
          <w:iCs w:val="0"/>
          <w:color w:val="auto"/>
          <w:sz w:val="20"/>
          <w:szCs w:val="20"/>
          <w:lang w:val="en-US"/>
        </w:rPr>
        <w:t>.</w:t>
      </w:r>
    </w:p>
    <w:p w14:paraId="7F601FC9" w14:textId="77777777" w:rsidR="00B77A6A" w:rsidRPr="00B77A6A" w:rsidRDefault="00B77A6A" w:rsidP="00B77A6A">
      <w:pPr>
        <w:rPr>
          <w:lang w:val="en-GB"/>
        </w:rPr>
      </w:pPr>
    </w:p>
    <w:p w14:paraId="1ED3E0F6" w14:textId="16B6B33B" w:rsidR="003940E9" w:rsidRPr="00D51920" w:rsidRDefault="003940E9">
      <w:pPr>
        <w:rPr>
          <w:b/>
          <w:bCs/>
          <w:sz w:val="28"/>
          <w:szCs w:val="28"/>
          <w:lang w:val="en-US"/>
        </w:rPr>
      </w:pPr>
      <w:r w:rsidRPr="00D51920">
        <w:rPr>
          <w:b/>
          <w:bCs/>
          <w:sz w:val="28"/>
          <w:szCs w:val="28"/>
          <w:lang w:val="en-US"/>
        </w:rPr>
        <w:t xml:space="preserve">Supplementary Figure </w:t>
      </w:r>
      <w:r w:rsidR="001F5308" w:rsidRPr="00D51920">
        <w:rPr>
          <w:b/>
          <w:bCs/>
          <w:sz w:val="28"/>
          <w:szCs w:val="28"/>
          <w:lang w:val="en-US"/>
        </w:rPr>
        <w:t>10</w:t>
      </w:r>
      <w:r w:rsidRPr="00D51920">
        <w:rPr>
          <w:b/>
          <w:bCs/>
          <w:sz w:val="28"/>
          <w:szCs w:val="28"/>
          <w:lang w:val="en-US"/>
        </w:rPr>
        <w:t xml:space="preserve"> </w:t>
      </w:r>
    </w:p>
    <w:p w14:paraId="025D3F98" w14:textId="77777777" w:rsidR="00225FDD" w:rsidRDefault="003940E9" w:rsidP="00225FDD">
      <w:pPr>
        <w:keepNext/>
      </w:pPr>
      <w:r>
        <w:rPr>
          <w:noProof/>
        </w:rPr>
        <w:drawing>
          <wp:inline distT="0" distB="0" distL="0" distR="0" wp14:anchorId="5439F422" wp14:editId="4C922186">
            <wp:extent cx="5747256" cy="1757549"/>
            <wp:effectExtent l="0" t="0" r="635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1" t="47767" r="31" b="29286"/>
                    <a:stretch/>
                  </pic:blipFill>
                  <pic:spPr bwMode="auto">
                    <a:xfrm>
                      <a:off x="0" y="0"/>
                      <a:ext cx="5747385" cy="1757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CCEDC0" w14:textId="77464D50" w:rsidR="00845DAD" w:rsidRPr="00B77A6A" w:rsidRDefault="00225FDD" w:rsidP="00845DAD">
      <w:pPr>
        <w:pStyle w:val="Beschriftung"/>
        <w:jc w:val="both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</w:pPr>
      <w:r w:rsidRPr="00B77A6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  <w:t xml:space="preserve">Supplementary figure </w:t>
      </w:r>
      <w:r w:rsidRPr="00B77A6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B77A6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  <w:instrText xml:space="preserve"> SEQ Supplementary_figure \* ARABIC </w:instrText>
      </w:r>
      <w:r w:rsidRPr="00B77A6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Pr="00B77A6A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  <w:lang w:val="en-US"/>
        </w:rPr>
        <w:t>10</w:t>
      </w:r>
      <w:r w:rsidRPr="00B77A6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="00B77A6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</w:t>
      </w:r>
      <w:r w:rsidR="00845DAD" w:rsidRPr="00B77A6A">
        <w:rPr>
          <w:rFonts w:ascii="Arial" w:eastAsia="Calibri" w:hAnsi="Arial" w:cs="Arial"/>
          <w:b/>
          <w:bCs/>
          <w:i w:val="0"/>
          <w:iCs w:val="0"/>
          <w:color w:val="auto"/>
          <w:kern w:val="24"/>
          <w:sz w:val="40"/>
          <w:szCs w:val="40"/>
          <w:lang w:val="en-US" w:eastAsia="de-DE"/>
        </w:rPr>
        <w:t xml:space="preserve"> </w:t>
      </w:r>
      <w:r w:rsidR="00845DAD" w:rsidRPr="00B77A6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  <w:t xml:space="preserve">Circulating levels of IL-33 in asthmatic </w:t>
      </w:r>
      <w:r w:rsidR="00845DAD" w:rsidRPr="00B77A6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GB"/>
        </w:rPr>
        <w:t>C</w:t>
      </w:r>
      <w:r w:rsidR="00845DAD" w:rsidRPr="00B77A6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  <w:t xml:space="preserve">D83cKO mice resulted in enhanced levels indicating higher inflammation and tissue injury upon allergic asthma disease. </w:t>
      </w:r>
      <w:r w:rsidR="00845DAD" w:rsidRPr="00B77A6A">
        <w:rPr>
          <w:rFonts w:ascii="Arial" w:hAnsi="Arial" w:cs="Arial"/>
          <w:i w:val="0"/>
          <w:iCs w:val="0"/>
          <w:color w:val="auto"/>
          <w:sz w:val="20"/>
          <w:szCs w:val="20"/>
          <w:lang w:val="en-GB"/>
        </w:rPr>
        <w:t xml:space="preserve">Determination of alarmin IL-33 levels in the </w:t>
      </w:r>
      <w:r w:rsidR="00845DAD" w:rsidRPr="00B77A6A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 xml:space="preserve">sera </w:t>
      </w:r>
      <w:r w:rsidR="00845DAD" w:rsidRPr="00B77A6A">
        <w:rPr>
          <w:rFonts w:ascii="Arial" w:hAnsi="Arial" w:cs="Arial"/>
          <w:i w:val="0"/>
          <w:iCs w:val="0"/>
          <w:color w:val="auto"/>
          <w:sz w:val="20"/>
          <w:szCs w:val="20"/>
          <w:lang w:val="en-GB"/>
        </w:rPr>
        <w:t>from 8–12-week-old mice</w:t>
      </w:r>
      <w:r w:rsidR="00B77A6A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>.</w:t>
      </w:r>
      <w:r w:rsidR="00845DAD" w:rsidRPr="00B77A6A">
        <w:rPr>
          <w:rFonts w:ascii="Arial" w:hAnsi="Arial" w:cs="Arial"/>
          <w:i w:val="0"/>
          <w:iCs w:val="0"/>
          <w:color w:val="auto"/>
          <w:sz w:val="20"/>
          <w:szCs w:val="20"/>
          <w:lang w:val="en-GB"/>
        </w:rPr>
        <w:t xml:space="preserve"> </w:t>
      </w:r>
      <w:r w:rsidR="00B77A6A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>Data is</w:t>
      </w:r>
      <w:r w:rsidR="00B77A6A" w:rsidRPr="00B77A6A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 xml:space="preserve"> represented as mean ± SEM and two-tailed Mann–Whitney U-test was used to analyze the data. (Ctrl n=4-5, CD83cKO n= 4-5, </w:t>
      </w:r>
      <w:r w:rsidR="00B77A6A" w:rsidRPr="00B77A6A">
        <w:rPr>
          <w:rFonts w:ascii="Arial" w:hAnsi="Arial" w:cs="Arial"/>
          <w:bCs/>
          <w:i w:val="0"/>
          <w:iCs w:val="0"/>
          <w:color w:val="auto"/>
          <w:sz w:val="20"/>
          <w:szCs w:val="20"/>
          <w:lang w:val="en-US"/>
        </w:rPr>
        <w:t>one representative experiment out of two)</w:t>
      </w:r>
      <w:r w:rsidR="00B77A6A">
        <w:rPr>
          <w:rFonts w:ascii="Arial" w:hAnsi="Arial" w:cs="Arial"/>
          <w:bCs/>
          <w:i w:val="0"/>
          <w:iCs w:val="0"/>
          <w:color w:val="auto"/>
          <w:sz w:val="20"/>
          <w:szCs w:val="20"/>
          <w:lang w:val="en-US"/>
        </w:rPr>
        <w:t>.</w:t>
      </w:r>
    </w:p>
    <w:p w14:paraId="2328E6D2" w14:textId="383F5660" w:rsidR="00B77A6A" w:rsidRPr="00B77A6A" w:rsidRDefault="00B77A6A">
      <w:pPr>
        <w:rPr>
          <w:i/>
          <w:iCs/>
          <w:color w:val="44546A" w:themeColor="text2"/>
          <w:sz w:val="18"/>
          <w:szCs w:val="18"/>
          <w:lang w:val="en-US"/>
        </w:rPr>
      </w:pPr>
      <w:r w:rsidRPr="00B77A6A">
        <w:rPr>
          <w:lang w:val="en-US"/>
        </w:rPr>
        <w:br w:type="page"/>
      </w:r>
    </w:p>
    <w:p w14:paraId="3F4111A7" w14:textId="5BDD6F6C" w:rsidR="003940E9" w:rsidRPr="00D51920" w:rsidRDefault="003940E9">
      <w:pPr>
        <w:rPr>
          <w:b/>
          <w:bCs/>
          <w:sz w:val="28"/>
          <w:szCs w:val="28"/>
          <w:lang w:val="en-US"/>
        </w:rPr>
      </w:pPr>
      <w:r w:rsidRPr="00D51920">
        <w:rPr>
          <w:b/>
          <w:bCs/>
          <w:sz w:val="28"/>
          <w:szCs w:val="28"/>
          <w:lang w:val="en-US"/>
        </w:rPr>
        <w:lastRenderedPageBreak/>
        <w:t>Supplementary Figure 1</w:t>
      </w:r>
      <w:r w:rsidR="001F5308" w:rsidRPr="00D51920">
        <w:rPr>
          <w:b/>
          <w:bCs/>
          <w:sz w:val="28"/>
          <w:szCs w:val="28"/>
          <w:lang w:val="en-US"/>
        </w:rPr>
        <w:t>1</w:t>
      </w:r>
    </w:p>
    <w:p w14:paraId="7CC180E1" w14:textId="77777777" w:rsidR="00225FDD" w:rsidRDefault="004069E6" w:rsidP="00225FDD">
      <w:pPr>
        <w:keepNext/>
      </w:pPr>
      <w:r>
        <w:rPr>
          <w:noProof/>
        </w:rPr>
        <w:drawing>
          <wp:inline distT="0" distB="0" distL="0" distR="0" wp14:anchorId="4F060089" wp14:editId="7E173532">
            <wp:extent cx="5747161" cy="1543709"/>
            <wp:effectExtent l="0" t="0" r="6350" b="0"/>
            <wp:docPr id="24" name="Grafik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87" b="72557"/>
                    <a:stretch/>
                  </pic:blipFill>
                  <pic:spPr bwMode="auto">
                    <a:xfrm>
                      <a:off x="0" y="0"/>
                      <a:ext cx="5747385" cy="1543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629985" w14:textId="7DA772B9" w:rsidR="00845DAD" w:rsidRPr="00B77A6A" w:rsidRDefault="00225FDD" w:rsidP="00845DAD">
      <w:pPr>
        <w:pStyle w:val="Beschriftung"/>
        <w:jc w:val="both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</w:pPr>
      <w:r w:rsidRPr="00B77A6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  <w:t xml:space="preserve">Supplementary figure </w:t>
      </w:r>
      <w:r w:rsidRPr="00B77A6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B77A6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  <w:instrText xml:space="preserve"> SEQ Supplementary_figure \* ARABIC </w:instrText>
      </w:r>
      <w:r w:rsidRPr="00B77A6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Pr="00B77A6A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  <w:lang w:val="en-US"/>
        </w:rPr>
        <w:t>11</w:t>
      </w:r>
      <w:r w:rsidRPr="00B77A6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="00845DAD" w:rsidRPr="00B77A6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  <w:t xml:space="preserve">. </w:t>
      </w:r>
      <w:r w:rsidR="00845DAD" w:rsidRPr="00B77A6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GB"/>
        </w:rPr>
        <w:t>Flow cytometric gating strategy for the analysis of</w:t>
      </w:r>
      <w:r w:rsidR="00845DAD" w:rsidRPr="00B77A6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  <w:t xml:space="preserve"> the proliferation and differentiation of CD4+ T-cell cells. </w:t>
      </w:r>
      <w:r w:rsidR="00845DAD" w:rsidRPr="00B77A6A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 xml:space="preserve">Gating strategy to identify CD3+CD4+T-cells. Different surface receptors (CD25 and GITR) and transcription factors (Foxp3 and GATA3) were analyzed on this subset. Color dot plot of a representative subject. </w:t>
      </w:r>
      <w:proofErr w:type="spellStart"/>
      <w:r w:rsidR="00845DAD" w:rsidRPr="00B77A6A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>CellTrace</w:t>
      </w:r>
      <w:proofErr w:type="spellEnd"/>
      <w:r w:rsidR="00845DAD" w:rsidRPr="00B77A6A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 xml:space="preserve"> Violet Cell (CTV) peaks show the numbers of divisions of the cells stimulated with anti-CD3/anti-</w:t>
      </w:r>
      <w:proofErr w:type="spellStart"/>
      <w:r w:rsidR="00845DAD" w:rsidRPr="00B77A6A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>IFNg</w:t>
      </w:r>
      <w:proofErr w:type="spellEnd"/>
      <w:r w:rsidR="00845DAD" w:rsidRPr="00B77A6A">
        <w:rPr>
          <w:rFonts w:ascii="Arial" w:hAnsi="Arial" w:cs="Arial"/>
          <w:i w:val="0"/>
          <w:iCs w:val="0"/>
          <w:color w:val="auto"/>
          <w:sz w:val="20"/>
          <w:szCs w:val="20"/>
          <w:lang w:val="en-US"/>
        </w:rPr>
        <w:t>/IL4. Approximately 20.000 events on CD3+CD4+ T cells were measured for each sample.</w:t>
      </w:r>
      <w:r w:rsidR="00845DAD" w:rsidRPr="00B77A6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  <w:t xml:space="preserve"> </w:t>
      </w:r>
    </w:p>
    <w:p w14:paraId="45553599" w14:textId="5AA861F3" w:rsidR="004069E6" w:rsidRPr="00845DAD" w:rsidRDefault="004069E6" w:rsidP="00225FDD">
      <w:pPr>
        <w:pStyle w:val="Beschriftung"/>
        <w:rPr>
          <w:lang w:val="en-US"/>
        </w:rPr>
      </w:pPr>
    </w:p>
    <w:p w14:paraId="32ACFEDE" w14:textId="59086909" w:rsidR="003940E9" w:rsidRPr="00D51920" w:rsidRDefault="003940E9">
      <w:pPr>
        <w:rPr>
          <w:b/>
          <w:bCs/>
          <w:sz w:val="28"/>
          <w:szCs w:val="28"/>
          <w:lang w:val="en-US"/>
        </w:rPr>
      </w:pPr>
      <w:r w:rsidRPr="00D51920">
        <w:rPr>
          <w:b/>
          <w:bCs/>
          <w:sz w:val="28"/>
          <w:szCs w:val="28"/>
          <w:lang w:val="en-US"/>
        </w:rPr>
        <w:t>Supplementary Figure 1</w:t>
      </w:r>
      <w:r w:rsidR="001F5308" w:rsidRPr="00D51920">
        <w:rPr>
          <w:b/>
          <w:bCs/>
          <w:sz w:val="28"/>
          <w:szCs w:val="28"/>
          <w:lang w:val="en-US"/>
        </w:rPr>
        <w:t>2</w:t>
      </w:r>
      <w:r w:rsidRPr="00D51920">
        <w:rPr>
          <w:b/>
          <w:bCs/>
          <w:sz w:val="28"/>
          <w:szCs w:val="28"/>
          <w:lang w:val="en-US"/>
        </w:rPr>
        <w:t xml:space="preserve"> </w:t>
      </w:r>
    </w:p>
    <w:p w14:paraId="2B150191" w14:textId="77777777" w:rsidR="00225FDD" w:rsidRPr="00845DAD" w:rsidRDefault="004069E6" w:rsidP="00225FDD">
      <w:pPr>
        <w:keepNext/>
        <w:rPr>
          <w:b/>
          <w:bCs/>
        </w:rPr>
      </w:pPr>
      <w:r w:rsidRPr="00845DAD">
        <w:rPr>
          <w:b/>
          <w:bCs/>
          <w:noProof/>
        </w:rPr>
        <w:drawing>
          <wp:inline distT="0" distB="0" distL="0" distR="0" wp14:anchorId="28DDD661" wp14:editId="35F032AE">
            <wp:extent cx="5747385" cy="1792998"/>
            <wp:effectExtent l="0" t="0" r="5715" b="0"/>
            <wp:docPr id="25" name="Grafik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Grafik 25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63" b="68139"/>
                    <a:stretch/>
                  </pic:blipFill>
                  <pic:spPr bwMode="auto">
                    <a:xfrm>
                      <a:off x="0" y="0"/>
                      <a:ext cx="5747385" cy="1792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5029E8" w14:textId="4C3921E0" w:rsidR="006B75D0" w:rsidRPr="006B75D0" w:rsidRDefault="00225FDD" w:rsidP="006B75D0">
      <w:pPr>
        <w:pStyle w:val="Beschriftung"/>
        <w:jc w:val="both"/>
        <w:rPr>
          <w:rFonts w:ascii="Arial" w:hAnsi="Arial" w:cs="Arial"/>
          <w:i w:val="0"/>
          <w:color w:val="auto"/>
          <w:sz w:val="20"/>
          <w:szCs w:val="20"/>
          <w:lang w:val="en-US"/>
        </w:rPr>
      </w:pPr>
      <w:r w:rsidRPr="006B75D0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  <w:t xml:space="preserve">Supplementary figure </w:t>
      </w:r>
      <w:r w:rsidRPr="006B75D0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6B75D0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  <w:instrText xml:space="preserve"> SEQ Supplementary_figure \* ARABIC </w:instrText>
      </w:r>
      <w:r w:rsidRPr="006B75D0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Pr="006B75D0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  <w:lang w:val="en-US"/>
        </w:rPr>
        <w:t>12</w:t>
      </w:r>
      <w:r w:rsidRPr="006B75D0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="00845DAD" w:rsidRPr="006B75D0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  <w:t xml:space="preserve">. </w:t>
      </w:r>
      <w:r w:rsidR="006B75D0" w:rsidRPr="006B75D0">
        <w:rPr>
          <w:rFonts w:ascii="Arial" w:hAnsi="Arial" w:cs="Arial"/>
          <w:b/>
          <w:i w:val="0"/>
          <w:color w:val="auto"/>
          <w:sz w:val="20"/>
          <w:szCs w:val="20"/>
          <w:lang w:val="en-US"/>
        </w:rPr>
        <w:t xml:space="preserve">splenic Tregs derived from CD83cKO mice show an enhanced IL-4 responsiveness and an increased GITR expression. </w:t>
      </w:r>
      <w:r w:rsidR="006B75D0" w:rsidRPr="006B75D0">
        <w:rPr>
          <w:rFonts w:ascii="Arial" w:hAnsi="Arial" w:cs="Arial"/>
          <w:b/>
          <w:bCs/>
          <w:i w:val="0"/>
          <w:color w:val="auto"/>
          <w:sz w:val="20"/>
          <w:szCs w:val="20"/>
          <w:lang w:val="en-US"/>
        </w:rPr>
        <w:t>a</w:t>
      </w:r>
      <w:r w:rsidR="006B75D0" w:rsidRPr="006B75D0">
        <w:rPr>
          <w:rFonts w:ascii="Arial" w:hAnsi="Arial" w:cs="Arial"/>
          <w:i w:val="0"/>
          <w:color w:val="auto"/>
          <w:sz w:val="20"/>
          <w:szCs w:val="20"/>
          <w:lang w:val="en-US"/>
        </w:rPr>
        <w:t xml:space="preserve"> FACS analysis of </w:t>
      </w:r>
      <w:r w:rsidR="006B75D0">
        <w:rPr>
          <w:rFonts w:ascii="Arial" w:hAnsi="Arial" w:cs="Arial"/>
          <w:i w:val="0"/>
          <w:color w:val="auto"/>
          <w:sz w:val="20"/>
          <w:szCs w:val="20"/>
          <w:lang w:val="en-US"/>
        </w:rPr>
        <w:t>splenic</w:t>
      </w:r>
      <w:r w:rsidR="006B75D0" w:rsidRPr="006B75D0">
        <w:rPr>
          <w:rFonts w:ascii="Arial" w:hAnsi="Arial" w:cs="Arial"/>
          <w:i w:val="0"/>
          <w:color w:val="auto"/>
          <w:sz w:val="20"/>
          <w:szCs w:val="20"/>
          <w:lang w:val="en-US"/>
        </w:rPr>
        <w:t xml:space="preserve"> Tregs without any treatment (non-treated controls, NTC)</w:t>
      </w:r>
      <w:r w:rsidR="006B75D0">
        <w:rPr>
          <w:rFonts w:ascii="Arial" w:hAnsi="Arial" w:cs="Arial"/>
          <w:i w:val="0"/>
          <w:color w:val="auto"/>
          <w:sz w:val="20"/>
          <w:szCs w:val="20"/>
          <w:lang w:val="en-US"/>
        </w:rPr>
        <w:t>,</w:t>
      </w:r>
      <w:r w:rsidR="006B75D0" w:rsidRPr="006B75D0">
        <w:rPr>
          <w:rFonts w:ascii="Arial" w:hAnsi="Arial" w:cs="Arial"/>
          <w:i w:val="0"/>
          <w:color w:val="auto"/>
          <w:sz w:val="20"/>
          <w:szCs w:val="20"/>
          <w:lang w:val="en-US"/>
        </w:rPr>
        <w:t xml:space="preserve"> after stimulation with IL-4 for 24 h</w:t>
      </w:r>
      <w:r w:rsidR="006B75D0">
        <w:rPr>
          <w:rFonts w:ascii="Arial" w:hAnsi="Arial" w:cs="Arial"/>
          <w:i w:val="0"/>
          <w:color w:val="auto"/>
          <w:sz w:val="20"/>
          <w:szCs w:val="20"/>
          <w:lang w:val="en-US"/>
        </w:rPr>
        <w:t xml:space="preserve"> or </w:t>
      </w:r>
      <w:r w:rsidR="006B75D0" w:rsidRPr="006B75D0">
        <w:rPr>
          <w:rFonts w:ascii="Arial" w:hAnsi="Arial" w:cs="Arial"/>
          <w:i w:val="0"/>
          <w:iCs w:val="0"/>
          <w:color w:val="auto"/>
          <w:sz w:val="20"/>
          <w:szCs w:val="20"/>
          <w:lang w:val="en-GB"/>
        </w:rPr>
        <w:t>anti-IL</w:t>
      </w:r>
      <w:r w:rsidR="006B75D0">
        <w:rPr>
          <w:rFonts w:ascii="Arial" w:hAnsi="Arial" w:cs="Arial"/>
          <w:i w:val="0"/>
          <w:iCs w:val="0"/>
          <w:color w:val="auto"/>
          <w:sz w:val="20"/>
          <w:szCs w:val="20"/>
          <w:lang w:val="en-GB"/>
        </w:rPr>
        <w:t>-</w:t>
      </w:r>
      <w:r w:rsidR="006B75D0" w:rsidRPr="006B75D0">
        <w:rPr>
          <w:rFonts w:ascii="Arial" w:hAnsi="Arial" w:cs="Arial"/>
          <w:i w:val="0"/>
          <w:iCs w:val="0"/>
          <w:color w:val="auto"/>
          <w:sz w:val="20"/>
          <w:szCs w:val="20"/>
          <w:lang w:val="en-GB"/>
        </w:rPr>
        <w:t xml:space="preserve">4 pre-treated controls </w:t>
      </w:r>
      <w:r w:rsidR="0045435D">
        <w:rPr>
          <w:rFonts w:ascii="Arial" w:hAnsi="Arial" w:cs="Arial"/>
          <w:i w:val="0"/>
          <w:iCs w:val="0"/>
          <w:color w:val="auto"/>
          <w:sz w:val="20"/>
          <w:szCs w:val="20"/>
          <w:lang w:val="en-GB"/>
        </w:rPr>
        <w:t xml:space="preserve">for 30 minutes </w:t>
      </w:r>
      <w:r w:rsidR="006B75D0" w:rsidRPr="006B75D0">
        <w:rPr>
          <w:rFonts w:ascii="Arial" w:hAnsi="Arial" w:cs="Arial"/>
          <w:i w:val="0"/>
          <w:iCs w:val="0"/>
          <w:color w:val="auto"/>
          <w:sz w:val="20"/>
          <w:szCs w:val="20"/>
          <w:lang w:val="en-GB"/>
        </w:rPr>
        <w:t>(</w:t>
      </w:r>
      <w:r w:rsidR="006B75D0">
        <w:rPr>
          <w:rFonts w:ascii="Arial" w:hAnsi="Arial" w:cs="Arial"/>
          <w:i w:val="0"/>
          <w:iCs w:val="0"/>
          <w:color w:val="auto"/>
          <w:sz w:val="20"/>
          <w:szCs w:val="20"/>
          <w:lang w:val="en-GB"/>
        </w:rPr>
        <w:t>a</w:t>
      </w:r>
      <w:r w:rsidR="006B75D0" w:rsidRPr="006B75D0">
        <w:rPr>
          <w:rFonts w:ascii="Arial" w:hAnsi="Arial" w:cs="Arial"/>
          <w:i w:val="0"/>
          <w:iCs w:val="0"/>
          <w:color w:val="auto"/>
          <w:sz w:val="20"/>
          <w:szCs w:val="20"/>
          <w:lang w:val="en-GB"/>
        </w:rPr>
        <w:t>IL</w:t>
      </w:r>
      <w:r w:rsidR="006B75D0">
        <w:rPr>
          <w:rFonts w:ascii="Arial" w:hAnsi="Arial" w:cs="Arial"/>
          <w:i w:val="0"/>
          <w:iCs w:val="0"/>
          <w:color w:val="auto"/>
          <w:sz w:val="20"/>
          <w:szCs w:val="20"/>
          <w:lang w:val="en-GB"/>
        </w:rPr>
        <w:t>-</w:t>
      </w:r>
      <w:r w:rsidR="006B75D0" w:rsidRPr="006B75D0">
        <w:rPr>
          <w:rFonts w:ascii="Arial" w:hAnsi="Arial" w:cs="Arial"/>
          <w:i w:val="0"/>
          <w:iCs w:val="0"/>
          <w:color w:val="auto"/>
          <w:sz w:val="20"/>
          <w:szCs w:val="20"/>
          <w:lang w:val="en-GB"/>
        </w:rPr>
        <w:t>4+IL</w:t>
      </w:r>
      <w:r w:rsidR="006B75D0">
        <w:rPr>
          <w:rFonts w:ascii="Arial" w:hAnsi="Arial" w:cs="Arial"/>
          <w:i w:val="0"/>
          <w:iCs w:val="0"/>
          <w:color w:val="auto"/>
          <w:sz w:val="20"/>
          <w:szCs w:val="20"/>
          <w:lang w:val="en-GB"/>
        </w:rPr>
        <w:t>-</w:t>
      </w:r>
      <w:r w:rsidR="006B75D0" w:rsidRPr="006B75D0">
        <w:rPr>
          <w:rFonts w:ascii="Arial" w:hAnsi="Arial" w:cs="Arial"/>
          <w:i w:val="0"/>
          <w:iCs w:val="0"/>
          <w:color w:val="auto"/>
          <w:sz w:val="20"/>
          <w:szCs w:val="20"/>
          <w:lang w:val="en-GB"/>
        </w:rPr>
        <w:t>4)</w:t>
      </w:r>
      <w:r w:rsidR="006B75D0" w:rsidRPr="006B75D0">
        <w:rPr>
          <w:rFonts w:ascii="Arial" w:hAnsi="Arial" w:cs="Arial"/>
          <w:i w:val="0"/>
          <w:color w:val="auto"/>
          <w:sz w:val="20"/>
          <w:szCs w:val="20"/>
          <w:lang w:val="en-US"/>
        </w:rPr>
        <w:t xml:space="preserve">. </w:t>
      </w:r>
      <w:r w:rsidR="006B75D0" w:rsidRPr="006B75D0">
        <w:rPr>
          <w:rFonts w:ascii="Arial" w:hAnsi="Arial" w:cs="Arial"/>
          <w:b/>
          <w:bCs/>
          <w:i w:val="0"/>
          <w:color w:val="auto"/>
          <w:sz w:val="20"/>
          <w:szCs w:val="20"/>
          <w:lang w:val="en-US"/>
        </w:rPr>
        <w:t>b</w:t>
      </w:r>
      <w:r w:rsidR="006B75D0" w:rsidRPr="006B75D0">
        <w:rPr>
          <w:rFonts w:ascii="Arial" w:hAnsi="Arial" w:cs="Arial"/>
          <w:i w:val="0"/>
          <w:color w:val="auto"/>
          <w:sz w:val="20"/>
          <w:szCs w:val="20"/>
          <w:lang w:val="en-US"/>
        </w:rPr>
        <w:t xml:space="preserve"> </w:t>
      </w:r>
      <w:r w:rsidR="006B75D0">
        <w:rPr>
          <w:rFonts w:ascii="Arial" w:hAnsi="Arial" w:cs="Arial"/>
          <w:i w:val="0"/>
          <w:color w:val="auto"/>
          <w:sz w:val="20"/>
          <w:szCs w:val="20"/>
          <w:lang w:val="en-US"/>
        </w:rPr>
        <w:t xml:space="preserve">Percentage of Tregs and </w:t>
      </w:r>
      <w:r w:rsidR="006B75D0" w:rsidRPr="006B75D0">
        <w:rPr>
          <w:rFonts w:ascii="Arial" w:hAnsi="Arial" w:cs="Arial"/>
          <w:b/>
          <w:bCs/>
          <w:i w:val="0"/>
          <w:color w:val="auto"/>
          <w:sz w:val="20"/>
          <w:szCs w:val="20"/>
          <w:lang w:val="en-US"/>
        </w:rPr>
        <w:t xml:space="preserve">b </w:t>
      </w:r>
      <w:r w:rsidR="006B75D0" w:rsidRPr="006B75D0">
        <w:rPr>
          <w:rFonts w:ascii="Arial" w:hAnsi="Arial" w:cs="Arial"/>
          <w:i w:val="0"/>
          <w:color w:val="auto"/>
          <w:sz w:val="20"/>
          <w:szCs w:val="20"/>
          <w:lang w:val="en-US"/>
        </w:rPr>
        <w:t xml:space="preserve">Median fluorescence of </w:t>
      </w:r>
      <w:r w:rsidR="006B75D0">
        <w:rPr>
          <w:rFonts w:ascii="Arial" w:hAnsi="Arial" w:cs="Arial"/>
          <w:i w:val="0"/>
          <w:color w:val="auto"/>
          <w:sz w:val="20"/>
          <w:szCs w:val="20"/>
          <w:lang w:val="en-US"/>
        </w:rPr>
        <w:t xml:space="preserve">GITR </w:t>
      </w:r>
      <w:r w:rsidR="006B75D0" w:rsidRPr="006B75D0">
        <w:rPr>
          <w:rFonts w:ascii="Arial" w:hAnsi="Arial" w:cs="Arial"/>
          <w:i w:val="0"/>
          <w:color w:val="auto"/>
          <w:sz w:val="20"/>
          <w:szCs w:val="20"/>
          <w:lang w:val="en-US"/>
        </w:rPr>
        <w:t>on Foxp3</w:t>
      </w:r>
      <w:r w:rsidR="006B75D0" w:rsidRPr="006B75D0">
        <w:rPr>
          <w:rFonts w:ascii="Arial" w:hAnsi="Arial" w:cs="Arial"/>
          <w:i w:val="0"/>
          <w:color w:val="auto"/>
          <w:sz w:val="20"/>
          <w:szCs w:val="20"/>
          <w:vertAlign w:val="superscript"/>
          <w:lang w:val="en-US"/>
        </w:rPr>
        <w:t>+</w:t>
      </w:r>
      <w:r w:rsidR="006B75D0" w:rsidRPr="006B75D0">
        <w:rPr>
          <w:rFonts w:ascii="Arial" w:hAnsi="Arial" w:cs="Arial"/>
          <w:i w:val="0"/>
          <w:color w:val="auto"/>
          <w:sz w:val="20"/>
          <w:szCs w:val="20"/>
          <w:lang w:val="en-US"/>
        </w:rPr>
        <w:t xml:space="preserve"> Tregs in relation to NTCs.</w:t>
      </w:r>
      <w:r w:rsidR="006B75D0">
        <w:rPr>
          <w:rFonts w:ascii="Arial" w:hAnsi="Arial" w:cs="Arial"/>
          <w:i w:val="0"/>
          <w:color w:val="auto"/>
          <w:sz w:val="20"/>
          <w:szCs w:val="20"/>
          <w:lang w:val="en-US"/>
        </w:rPr>
        <w:t xml:space="preserve"> </w:t>
      </w:r>
      <w:r w:rsidR="006B75D0" w:rsidRPr="006B75D0">
        <w:rPr>
          <w:rFonts w:ascii="Arial" w:hAnsi="Arial" w:cs="Arial"/>
          <w:i w:val="0"/>
          <w:color w:val="auto"/>
          <w:sz w:val="20"/>
          <w:szCs w:val="20"/>
          <w:lang w:val="en-US"/>
        </w:rPr>
        <w:t>(Ctrl n=</w:t>
      </w:r>
      <w:r w:rsidR="006B75D0">
        <w:rPr>
          <w:rFonts w:ascii="Arial" w:hAnsi="Arial" w:cs="Arial"/>
          <w:i w:val="0"/>
          <w:color w:val="auto"/>
          <w:sz w:val="20"/>
          <w:szCs w:val="20"/>
          <w:lang w:val="en-US"/>
        </w:rPr>
        <w:t>10</w:t>
      </w:r>
      <w:r w:rsidR="006B75D0" w:rsidRPr="006B75D0">
        <w:rPr>
          <w:rFonts w:ascii="Arial" w:hAnsi="Arial" w:cs="Arial"/>
          <w:i w:val="0"/>
          <w:color w:val="auto"/>
          <w:sz w:val="20"/>
          <w:szCs w:val="20"/>
          <w:lang w:val="en-US"/>
        </w:rPr>
        <w:t>, CD83cKO n=</w:t>
      </w:r>
      <w:r w:rsidR="006B75D0">
        <w:rPr>
          <w:rFonts w:ascii="Arial" w:hAnsi="Arial" w:cs="Arial"/>
          <w:i w:val="0"/>
          <w:color w:val="auto"/>
          <w:sz w:val="20"/>
          <w:szCs w:val="20"/>
          <w:lang w:val="en-US"/>
        </w:rPr>
        <w:t>10</w:t>
      </w:r>
      <w:r w:rsidR="006B75D0" w:rsidRPr="006B75D0">
        <w:rPr>
          <w:rFonts w:ascii="Arial" w:hAnsi="Arial" w:cs="Arial"/>
          <w:i w:val="0"/>
          <w:color w:val="auto"/>
          <w:sz w:val="20"/>
          <w:szCs w:val="20"/>
          <w:lang w:val="en-US"/>
        </w:rPr>
        <w:t>, pool of 3 independent experiments). In all graphs, data are represented as mean ± SEM and two-tailed Mann–Whitney U-test was used to analyze the data.</w:t>
      </w:r>
    </w:p>
    <w:p w14:paraId="19C528E6" w14:textId="7F6489B6" w:rsidR="006B75D0" w:rsidRPr="006B75D0" w:rsidRDefault="006B75D0" w:rsidP="00845DAD">
      <w:pPr>
        <w:pStyle w:val="Beschriftung"/>
        <w:jc w:val="both"/>
        <w:rPr>
          <w:rFonts w:ascii="Arial" w:hAnsi="Arial" w:cs="Arial"/>
          <w:i w:val="0"/>
          <w:color w:val="auto"/>
          <w:sz w:val="20"/>
          <w:szCs w:val="20"/>
          <w:lang w:val="en-US"/>
        </w:rPr>
      </w:pPr>
    </w:p>
    <w:p w14:paraId="349F5177" w14:textId="77777777" w:rsidR="006B75D0" w:rsidRPr="006B75D0" w:rsidRDefault="006B75D0">
      <w:pPr>
        <w:pStyle w:val="Beschriftung"/>
        <w:jc w:val="both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lang w:val="en-US"/>
        </w:rPr>
      </w:pPr>
    </w:p>
    <w:sectPr w:rsidR="006B75D0" w:rsidRPr="006B75D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C04691" w14:textId="77777777" w:rsidR="003940E9" w:rsidRDefault="003940E9" w:rsidP="003940E9">
      <w:pPr>
        <w:spacing w:after="0" w:line="240" w:lineRule="auto"/>
      </w:pPr>
      <w:r>
        <w:separator/>
      </w:r>
    </w:p>
  </w:endnote>
  <w:endnote w:type="continuationSeparator" w:id="0">
    <w:p w14:paraId="593FDB75" w14:textId="77777777" w:rsidR="003940E9" w:rsidRDefault="003940E9" w:rsidP="003940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F832AC" w14:textId="77777777" w:rsidR="003940E9" w:rsidRDefault="003940E9" w:rsidP="003940E9">
      <w:pPr>
        <w:spacing w:after="0" w:line="240" w:lineRule="auto"/>
      </w:pPr>
      <w:r>
        <w:separator/>
      </w:r>
    </w:p>
  </w:footnote>
  <w:footnote w:type="continuationSeparator" w:id="0">
    <w:p w14:paraId="4FE6385D" w14:textId="77777777" w:rsidR="003940E9" w:rsidRDefault="003940E9" w:rsidP="003940E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34B"/>
    <w:rsid w:val="001F5308"/>
    <w:rsid w:val="00225FDD"/>
    <w:rsid w:val="003940E9"/>
    <w:rsid w:val="004069E6"/>
    <w:rsid w:val="0045435D"/>
    <w:rsid w:val="00563BFB"/>
    <w:rsid w:val="006B75D0"/>
    <w:rsid w:val="007E2E65"/>
    <w:rsid w:val="00822DF9"/>
    <w:rsid w:val="00845DAD"/>
    <w:rsid w:val="0084634B"/>
    <w:rsid w:val="008A6768"/>
    <w:rsid w:val="008B77F5"/>
    <w:rsid w:val="008D6F82"/>
    <w:rsid w:val="009D7DBF"/>
    <w:rsid w:val="00AE2A57"/>
    <w:rsid w:val="00B77541"/>
    <w:rsid w:val="00B77A6A"/>
    <w:rsid w:val="00BA6FCF"/>
    <w:rsid w:val="00D24CC6"/>
    <w:rsid w:val="00D51920"/>
    <w:rsid w:val="00D53B71"/>
    <w:rsid w:val="00F02544"/>
    <w:rsid w:val="00F53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44B596"/>
  <w15:chartTrackingRefBased/>
  <w15:docId w15:val="{8D42A11F-8A7B-4A92-9BD9-207692509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940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940E9"/>
  </w:style>
  <w:style w:type="paragraph" w:styleId="Fuzeile">
    <w:name w:val="footer"/>
    <w:basedOn w:val="Standard"/>
    <w:link w:val="FuzeileZchn"/>
    <w:uiPriority w:val="99"/>
    <w:unhideWhenUsed/>
    <w:rsid w:val="003940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940E9"/>
  </w:style>
  <w:style w:type="paragraph" w:styleId="Beschriftung">
    <w:name w:val="caption"/>
    <w:basedOn w:val="Standard"/>
    <w:next w:val="Standard"/>
    <w:uiPriority w:val="35"/>
    <w:unhideWhenUsed/>
    <w:qFormat/>
    <w:rsid w:val="00225FD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225F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293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5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1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8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5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1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8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7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5" Type="http://schemas.openxmlformats.org/officeDocument/2006/relationships/image" Target="media/image10.emf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830</Words>
  <Characters>5233</Characters>
  <Application>Microsoft Office Word</Application>
  <DocSecurity>0</DocSecurity>
  <Lines>43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Erlangen</Company>
  <LinksUpToDate>false</LinksUpToDate>
  <CharactersWithSpaces>6051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Heiss, Anita</dc:creator>
  <cp:keywords/>
  <dc:description/>
  <cp:lastModifiedBy>Heiss, Anita</cp:lastModifiedBy>
  <cp:revision>12</cp:revision>
  <dcterms:created xsi:type="dcterms:W3CDTF">2023-11-23T08:52:00Z</dcterms:created>
  <dcterms:modified xsi:type="dcterms:W3CDTF">2023-12-21T09:44:00Z</dcterms:modified>
</cp:coreProperties>
</file>