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53A72" w14:textId="77777777" w:rsidR="00292FD8" w:rsidRPr="00921EEB" w:rsidRDefault="00292FD8" w:rsidP="00292FD8">
      <w:pPr>
        <w:rPr>
          <w:rFonts w:ascii="Times New Roman" w:hAnsi="Times New Roman" w:cs="Times New Roman"/>
          <w:b/>
          <w:sz w:val="24"/>
          <w:szCs w:val="21"/>
        </w:rPr>
      </w:pPr>
      <w:r w:rsidRPr="00921EEB">
        <w:rPr>
          <w:rFonts w:ascii="Times New Roman" w:hAnsi="Times New Roman" w:cs="Times New Roman"/>
          <w:b/>
          <w:sz w:val="24"/>
          <w:szCs w:val="21"/>
        </w:rPr>
        <w:t>Appendix A. Supplementary data</w:t>
      </w:r>
    </w:p>
    <w:p w14:paraId="5D200C31" w14:textId="77777777" w:rsidR="00292FD8" w:rsidRDefault="00292FD8" w:rsidP="00292FD8">
      <w:pPr>
        <w:rPr>
          <w:rFonts w:ascii="Times New Roman" w:hAnsi="Times New Roman" w:cs="Times New Roman"/>
          <w:sz w:val="24"/>
          <w:szCs w:val="21"/>
        </w:rPr>
      </w:pPr>
      <w:r w:rsidRPr="00921EEB">
        <w:rPr>
          <w:rFonts w:ascii="Times New Roman" w:hAnsi="Times New Roman" w:cs="Times New Roman"/>
          <w:sz w:val="24"/>
          <w:szCs w:val="21"/>
        </w:rPr>
        <w:t>Supplementary data to this article can be</w:t>
      </w:r>
      <w:r>
        <w:rPr>
          <w:rFonts w:ascii="Times New Roman" w:hAnsi="Times New Roman" w:cs="Times New Roman"/>
          <w:sz w:val="24"/>
          <w:szCs w:val="21"/>
        </w:rPr>
        <w:t xml:space="preserve"> available from the authors. </w:t>
      </w:r>
    </w:p>
    <w:p w14:paraId="258A5621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FD8"/>
    <w:rsid w:val="00292FD8"/>
    <w:rsid w:val="003C2EF4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218A0"/>
  <w15:chartTrackingRefBased/>
  <w15:docId w15:val="{3AB86374-ED06-4627-B1C4-4E01936F7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FD8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Company>Springer Nature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2024-01-01T08:18:00Z</dcterms:created>
  <dcterms:modified xsi:type="dcterms:W3CDTF">2024-01-01T08:18:00Z</dcterms:modified>
</cp:coreProperties>
</file>