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0B7A9D" w14:textId="77777777" w:rsidR="000A1CB7" w:rsidRDefault="000A1CB7" w:rsidP="000A1CB7">
      <w:pPr>
        <w:pStyle w:val="ListParagraph"/>
        <w:spacing w:line="240" w:lineRule="auto"/>
        <w:ind w:left="0"/>
        <w:rPr>
          <w:b/>
          <w:bCs/>
          <w:color w:val="000000"/>
        </w:rPr>
      </w:pPr>
      <w:r>
        <w:rPr>
          <w:b/>
          <w:bCs/>
          <w:color w:val="000000"/>
        </w:rPr>
        <w:t>GRAPHICAL ABSTRACT</w:t>
      </w:r>
    </w:p>
    <w:p w14:paraId="2F6B9DBF" w14:textId="77777777" w:rsidR="000A1CB7" w:rsidRDefault="000A1CB7" w:rsidP="000A1CB7">
      <w:pPr>
        <w:spacing w:line="240" w:lineRule="auto"/>
        <w:rPr>
          <w:color w:val="000000"/>
        </w:rPr>
      </w:pPr>
    </w:p>
    <w:p w14:paraId="7002B994" w14:textId="77777777" w:rsidR="000A1CB7" w:rsidRDefault="000A1CB7" w:rsidP="000A1CB7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DFT Analyses of Arsylsemicarbazone Group as Functional compound for application as excellent fluorescent probes and medicament: Study on virtual Screening through Molecular Docking </w:t>
      </w:r>
    </w:p>
    <w:p w14:paraId="339660CC" w14:textId="77777777" w:rsidR="000A1CB7" w:rsidRDefault="000A1CB7" w:rsidP="000A1CB7">
      <w:pPr>
        <w:spacing w:line="240" w:lineRule="auto"/>
        <w:ind w:firstLine="720"/>
        <w:jc w:val="both"/>
        <w:rPr>
          <w:color w:val="000000"/>
        </w:rPr>
      </w:pPr>
      <w:r>
        <w:rPr>
          <w:color w:val="000000"/>
          <w:lang w:val="en-IN"/>
        </w:rPr>
        <w:t xml:space="preserve">2-hydroxy-3-naphthaldehyde thiosemicarbazone (2H3NTS) and 2-hydroxy-3-naphthaldehyde semi carbazone (2H3NS) is established as an excellent fluorescent probe. </w:t>
      </w:r>
      <w:r>
        <w:rPr>
          <w:color w:val="000000"/>
        </w:rPr>
        <w:t xml:space="preserve">The DFT study reveals significantly higher stokes shift (315 nm) for 2H3NS indicating  swift relaxation </w:t>
      </w:r>
      <w:r>
        <w:rPr>
          <w:color w:val="000000"/>
          <w:lang w:val="en-IN"/>
        </w:rPr>
        <w:t>which favours its practical application</w:t>
      </w:r>
      <w:r>
        <w:rPr>
          <w:color w:val="000000"/>
        </w:rPr>
        <w:t xml:space="preserve">. 2H3NS is capable of binding both competitive ATP binding SITE I and non-competitive </w:t>
      </w:r>
      <w:r>
        <w:rPr>
          <w:color w:val="000000"/>
          <w:lang w:val="en-IN"/>
        </w:rPr>
        <w:t>SITE II, thereby inhibiting the cell growth and differentiation. However, 2H3NTS with polarizable sulphur is incapable of binding at SITE I</w:t>
      </w:r>
      <w:r>
        <w:rPr>
          <w:color w:val="000000"/>
        </w:rPr>
        <w:t xml:space="preserve"> with </w:t>
      </w:r>
      <w:r>
        <w:rPr>
          <w:color w:val="000000"/>
          <w:lang w:val="en-IN"/>
        </w:rPr>
        <w:t xml:space="preserve">selective inhibition posing the ATP site to be well conserved.  </w:t>
      </w:r>
    </w:p>
    <w:p w14:paraId="2B0C39AB" w14:textId="1036F3CD" w:rsidR="000A1CB7" w:rsidRDefault="000A1CB7" w:rsidP="000A1CB7">
      <w:pPr>
        <w:spacing w:line="240" w:lineRule="auto"/>
        <w:jc w:val="both"/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59264" behindDoc="1" locked="0" layoutInCell="1" allowOverlap="1" wp14:anchorId="3128F9FF" wp14:editId="3D4C17F9">
            <wp:simplePos x="0" y="0"/>
            <wp:positionH relativeFrom="column">
              <wp:posOffset>3175</wp:posOffset>
            </wp:positionH>
            <wp:positionV relativeFrom="paragraph">
              <wp:posOffset>66040</wp:posOffset>
            </wp:positionV>
            <wp:extent cx="4856480" cy="3597275"/>
            <wp:effectExtent l="0" t="0" r="1270" b="3175"/>
            <wp:wrapThrough wrapText="bothSides">
              <wp:wrapPolygon edited="0">
                <wp:start x="0" y="0"/>
                <wp:lineTo x="0" y="21505"/>
                <wp:lineTo x="21521" y="21505"/>
                <wp:lineTo x="21521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6480" cy="359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B94B2E" w14:textId="77777777" w:rsidR="008626C6" w:rsidRDefault="008626C6"/>
    <w:sectPr w:rsidR="008626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6C6"/>
    <w:rsid w:val="000A1CB7"/>
    <w:rsid w:val="008626C6"/>
    <w:rsid w:val="00BF6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7C54F5"/>
  <w15:chartTrackingRefBased/>
  <w15:docId w15:val="{92AB5F6D-C885-4B0F-9607-D281F2DFE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1CB7"/>
    <w:pPr>
      <w:spacing w:after="200" w:line="276" w:lineRule="auto"/>
    </w:pPr>
    <w:rPr>
      <w:rFonts w:ascii="Calibri" w:eastAsia="Calibri" w:hAnsi="Calibri" w:cs="Times New Roman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1CB7"/>
    <w:pPr>
      <w:ind w:left="720"/>
      <w:contextualSpacing/>
    </w:pPr>
    <w:rPr>
      <w:rFonts w:eastAsia="SimSun" w:cs="Cordia New"/>
      <w:szCs w:val="28"/>
      <w:lang w:eastAsia="zh-CN"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Mukhopadhyay</dc:creator>
  <cp:keywords/>
  <dc:description/>
  <cp:lastModifiedBy>madhumita mukhopadhyay</cp:lastModifiedBy>
  <cp:revision>3</cp:revision>
  <dcterms:created xsi:type="dcterms:W3CDTF">2023-02-25T08:53:00Z</dcterms:created>
  <dcterms:modified xsi:type="dcterms:W3CDTF">2023-11-06T23:01:00Z</dcterms:modified>
</cp:coreProperties>
</file>