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AF6" w:rsidRDefault="00967AF6" w:rsidP="00967AF6">
      <w:pPr>
        <w:pStyle w:val="Ttulo1"/>
        <w:rPr>
          <w:rFonts w:ascii="Arial" w:hAnsi="Arial"/>
          <w:b/>
          <w:color w:val="auto"/>
          <w:sz w:val="24"/>
          <w:szCs w:val="24"/>
        </w:rPr>
      </w:pPr>
      <w:r w:rsidRPr="00967AF6">
        <w:rPr>
          <w:rFonts w:ascii="Arial" w:hAnsi="Arial"/>
          <w:b/>
          <w:color w:val="auto"/>
          <w:sz w:val="24"/>
          <w:szCs w:val="24"/>
        </w:rPr>
        <w:t>Appendix II: Studies ineligible following full-text review</w:t>
      </w:r>
    </w:p>
    <w:p w:rsidR="00967AF6" w:rsidRPr="00967AF6" w:rsidRDefault="00967AF6" w:rsidP="00967AF6"/>
    <w:p w:rsidR="00967AF6" w:rsidRPr="00157A29" w:rsidRDefault="00967AF6" w:rsidP="00967AF6">
      <w:pPr>
        <w:numPr>
          <w:ilvl w:val="0"/>
          <w:numId w:val="1"/>
        </w:numPr>
        <w:pBdr>
          <w:top w:val="nil"/>
          <w:left w:val="nil"/>
          <w:bottom w:val="nil"/>
          <w:right w:val="nil"/>
          <w:between w:val="nil"/>
        </w:pBdr>
        <w:shd w:val="clear" w:color="auto" w:fill="FFFFFF"/>
        <w:spacing w:after="0"/>
        <w:rPr>
          <w:rFonts w:eastAsia="Calibri"/>
          <w:sz w:val="24"/>
          <w:szCs w:val="24"/>
        </w:rPr>
      </w:pPr>
      <w:proofErr w:type="spellStart"/>
      <w:r w:rsidRPr="00157A29">
        <w:rPr>
          <w:rFonts w:eastAsia="Calibri"/>
          <w:sz w:val="24"/>
          <w:szCs w:val="24"/>
        </w:rPr>
        <w:t>Abbasi</w:t>
      </w:r>
      <w:proofErr w:type="spellEnd"/>
      <w:r w:rsidRPr="00157A29">
        <w:rPr>
          <w:rFonts w:eastAsia="Calibri"/>
          <w:sz w:val="24"/>
          <w:szCs w:val="24"/>
        </w:rPr>
        <w:t xml:space="preserve"> M, </w:t>
      </w:r>
      <w:proofErr w:type="spellStart"/>
      <w:r w:rsidRPr="00157A29">
        <w:rPr>
          <w:rFonts w:eastAsia="Calibri"/>
          <w:sz w:val="24"/>
          <w:szCs w:val="24"/>
        </w:rPr>
        <w:t>Abbasi</w:t>
      </w:r>
      <w:proofErr w:type="spellEnd"/>
      <w:r w:rsidRPr="00157A29">
        <w:rPr>
          <w:rFonts w:eastAsia="Calibri"/>
          <w:sz w:val="24"/>
          <w:szCs w:val="24"/>
        </w:rPr>
        <w:t xml:space="preserve"> T, </w:t>
      </w:r>
      <w:proofErr w:type="spellStart"/>
      <w:r w:rsidRPr="00157A29">
        <w:rPr>
          <w:rFonts w:eastAsia="Calibri"/>
          <w:sz w:val="24"/>
          <w:szCs w:val="24"/>
        </w:rPr>
        <w:t>Ghodarzi</w:t>
      </w:r>
      <w:proofErr w:type="spellEnd"/>
      <w:r w:rsidRPr="00157A29">
        <w:rPr>
          <w:rFonts w:eastAsia="Calibri"/>
          <w:sz w:val="24"/>
          <w:szCs w:val="24"/>
        </w:rPr>
        <w:t xml:space="preserve"> MT, </w:t>
      </w:r>
      <w:proofErr w:type="spellStart"/>
      <w:r w:rsidRPr="00157A29">
        <w:rPr>
          <w:rFonts w:eastAsia="Calibri"/>
          <w:sz w:val="24"/>
          <w:szCs w:val="24"/>
        </w:rPr>
        <w:t>Mohammadi</w:t>
      </w:r>
      <w:proofErr w:type="spellEnd"/>
      <w:r w:rsidRPr="00157A29">
        <w:rPr>
          <w:rFonts w:eastAsia="Calibri"/>
          <w:sz w:val="24"/>
          <w:szCs w:val="24"/>
        </w:rPr>
        <w:t xml:space="preserve"> A. Comparison of the side effects of blood transfusion between pre-storage filtration and post-storage filtration methods in thalassemia patients. Scientific Journal of Kurdistan University of Medical Sciences. 2013;18(1):85–93.</w:t>
      </w:r>
    </w:p>
    <w:p w:rsidR="00967AF6" w:rsidRPr="000F6AF6" w:rsidRDefault="00967AF6" w:rsidP="00967AF6">
      <w:pPr>
        <w:pBdr>
          <w:top w:val="nil"/>
          <w:left w:val="nil"/>
          <w:bottom w:val="nil"/>
          <w:right w:val="nil"/>
          <w:between w:val="nil"/>
        </w:pBdr>
        <w:shd w:val="clear" w:color="auto" w:fill="FFFFFF"/>
        <w:spacing w:after="0"/>
        <w:ind w:left="360"/>
        <w:rPr>
          <w:rFonts w:eastAsia="Calibri"/>
          <w:color w:val="FF0000"/>
          <w:sz w:val="24"/>
          <w:szCs w:val="24"/>
        </w:rPr>
      </w:pPr>
      <w:r w:rsidRPr="00157A29">
        <w:rPr>
          <w:rFonts w:eastAsia="Calibri"/>
          <w:b/>
          <w:i/>
          <w:sz w:val="24"/>
          <w:szCs w:val="24"/>
        </w:rPr>
        <w:t>Reason for exclusion:</w:t>
      </w:r>
      <w:r w:rsidRPr="00157A29">
        <w:rPr>
          <w:rFonts w:eastAsia="Calibri"/>
          <w:sz w:val="24"/>
          <w:szCs w:val="24"/>
        </w:rPr>
        <w:t xml:space="preserve"> Ineligible outcomes</w:t>
      </w:r>
      <w:r>
        <w:rPr>
          <w:rFonts w:eastAsia="Calibri"/>
          <w:sz w:val="24"/>
          <w:szCs w:val="24"/>
        </w:rPr>
        <w:t xml:space="preserve">. </w:t>
      </w:r>
      <w:r w:rsidRPr="00FD0ED6">
        <w:rPr>
          <w:rFonts w:eastAsia="Calibri"/>
          <w:sz w:val="24"/>
          <w:szCs w:val="24"/>
        </w:rPr>
        <w:t>The outcomes were signs/symptoms and non-diagnosis of RT.</w:t>
      </w:r>
    </w:p>
    <w:p w:rsidR="00967AF6" w:rsidRPr="00157A29" w:rsidRDefault="00967AF6" w:rsidP="00967AF6">
      <w:pPr>
        <w:numPr>
          <w:ilvl w:val="0"/>
          <w:numId w:val="1"/>
        </w:numPr>
        <w:pBdr>
          <w:top w:val="nil"/>
          <w:left w:val="nil"/>
          <w:bottom w:val="nil"/>
          <w:right w:val="nil"/>
          <w:between w:val="nil"/>
        </w:pBdr>
        <w:shd w:val="clear" w:color="auto" w:fill="FFFFFF"/>
        <w:spacing w:after="0"/>
        <w:rPr>
          <w:rFonts w:eastAsia="Calibri"/>
          <w:sz w:val="24"/>
          <w:szCs w:val="24"/>
        </w:rPr>
      </w:pPr>
      <w:r w:rsidRPr="00157A29">
        <w:rPr>
          <w:rFonts w:eastAsia="Calibri"/>
          <w:sz w:val="24"/>
          <w:szCs w:val="24"/>
        </w:rPr>
        <w:t>Bilgin YM, Van De Watering LMG, Eijsman L, Versteegh MIM, Van Oers MHJ, Brand A. Is increased mortality associated with post</w:t>
      </w:r>
      <w:r w:rsidRPr="00157A29">
        <w:rPr>
          <w:rFonts w:ascii="Cambria Math" w:eastAsia="Calibri" w:hAnsi="Cambria Math" w:cs="Cambria Math"/>
          <w:sz w:val="24"/>
          <w:szCs w:val="24"/>
        </w:rPr>
        <w:t>‐</w:t>
      </w:r>
      <w:r w:rsidRPr="00157A29">
        <w:rPr>
          <w:rFonts w:eastAsia="Calibri"/>
          <w:sz w:val="24"/>
          <w:szCs w:val="24"/>
        </w:rPr>
        <w:t>operative infections after leukocytes containing red blood cell transfusions in cardiac surgery? An extended analysis. Transfusion Medicine. 2007;17(4):304–11.</w:t>
      </w:r>
    </w:p>
    <w:p w:rsidR="00967AF6" w:rsidRPr="00FD0ED6" w:rsidRDefault="00967AF6" w:rsidP="00967AF6">
      <w:pPr>
        <w:pBdr>
          <w:top w:val="nil"/>
          <w:left w:val="nil"/>
          <w:bottom w:val="nil"/>
          <w:right w:val="nil"/>
          <w:between w:val="nil"/>
        </w:pBdr>
        <w:shd w:val="clear" w:color="auto" w:fill="FFFFFF"/>
        <w:spacing w:after="0"/>
        <w:ind w:left="360"/>
        <w:rPr>
          <w:rFonts w:eastAsia="Calibri"/>
          <w:sz w:val="24"/>
          <w:szCs w:val="24"/>
        </w:rPr>
      </w:pPr>
      <w:r w:rsidRPr="00FD0ED6">
        <w:rPr>
          <w:rFonts w:eastAsia="Calibri"/>
          <w:b/>
          <w:i/>
          <w:sz w:val="24"/>
          <w:szCs w:val="24"/>
        </w:rPr>
        <w:t>Reason for exclusion:</w:t>
      </w:r>
      <w:r w:rsidRPr="00FD0ED6">
        <w:rPr>
          <w:rFonts w:eastAsia="Calibri"/>
          <w:sz w:val="24"/>
          <w:szCs w:val="24"/>
        </w:rPr>
        <w:t xml:space="preserve"> Ineligible comparator</w:t>
      </w:r>
      <w:r w:rsidR="006F6FD6" w:rsidRPr="00FD0ED6">
        <w:rPr>
          <w:rFonts w:eastAsia="Calibri"/>
          <w:sz w:val="24"/>
          <w:szCs w:val="24"/>
        </w:rPr>
        <w:t xml:space="preserve">. The comparator </w:t>
      </w:r>
      <w:r w:rsidR="00FE2C2E" w:rsidRPr="00FD0ED6">
        <w:rPr>
          <w:rFonts w:eastAsia="Calibri"/>
          <w:sz w:val="24"/>
          <w:szCs w:val="24"/>
        </w:rPr>
        <w:t xml:space="preserve">was </w:t>
      </w:r>
      <w:r w:rsidR="006F6FD6" w:rsidRPr="00FD0ED6">
        <w:rPr>
          <w:rFonts w:eastAsia="Calibri"/>
          <w:sz w:val="24"/>
          <w:szCs w:val="24"/>
        </w:rPr>
        <w:t>buffy-coat-depleted RBC</w:t>
      </w:r>
      <w:r w:rsidR="00EF5B26" w:rsidRPr="00FD0ED6">
        <w:rPr>
          <w:rFonts w:eastAsia="Calibri"/>
          <w:sz w:val="24"/>
          <w:szCs w:val="24"/>
        </w:rPr>
        <w:t>s</w:t>
      </w:r>
      <w:r w:rsidR="006F6FD6" w:rsidRPr="00FD0ED6">
        <w:rPr>
          <w:rFonts w:eastAsia="Calibri"/>
          <w:sz w:val="24"/>
          <w:szCs w:val="24"/>
        </w:rPr>
        <w:t>.</w:t>
      </w:r>
    </w:p>
    <w:p w:rsidR="00967AF6" w:rsidRPr="00157A29" w:rsidRDefault="00967AF6" w:rsidP="00967AF6">
      <w:pPr>
        <w:numPr>
          <w:ilvl w:val="0"/>
          <w:numId w:val="1"/>
        </w:numPr>
        <w:pBdr>
          <w:top w:val="nil"/>
          <w:left w:val="nil"/>
          <w:bottom w:val="nil"/>
          <w:right w:val="nil"/>
          <w:between w:val="nil"/>
        </w:pBdr>
        <w:shd w:val="clear" w:color="auto" w:fill="FFFFFF"/>
        <w:spacing w:after="0"/>
        <w:rPr>
          <w:rFonts w:eastAsia="Calibri"/>
          <w:sz w:val="24"/>
          <w:szCs w:val="24"/>
        </w:rPr>
      </w:pPr>
      <w:r w:rsidRPr="00157A29">
        <w:rPr>
          <w:rFonts w:eastAsia="Calibri"/>
          <w:sz w:val="24"/>
          <w:szCs w:val="24"/>
        </w:rPr>
        <w:t xml:space="preserve">Federowicz I, Barrett BB, Andersen JW, </w:t>
      </w:r>
      <w:proofErr w:type="spellStart"/>
      <w:r w:rsidRPr="00157A29">
        <w:rPr>
          <w:rFonts w:eastAsia="Calibri"/>
          <w:sz w:val="24"/>
          <w:szCs w:val="24"/>
        </w:rPr>
        <w:t>Urashima</w:t>
      </w:r>
      <w:proofErr w:type="spellEnd"/>
      <w:r w:rsidRPr="00157A29">
        <w:rPr>
          <w:rFonts w:eastAsia="Calibri"/>
          <w:sz w:val="24"/>
          <w:szCs w:val="24"/>
        </w:rPr>
        <w:t xml:space="preserve"> M, </w:t>
      </w:r>
      <w:proofErr w:type="spellStart"/>
      <w:r w:rsidRPr="00157A29">
        <w:rPr>
          <w:rFonts w:eastAsia="Calibri"/>
          <w:sz w:val="24"/>
          <w:szCs w:val="24"/>
        </w:rPr>
        <w:t>Popovsky</w:t>
      </w:r>
      <w:proofErr w:type="spellEnd"/>
      <w:r w:rsidRPr="00157A29">
        <w:rPr>
          <w:rFonts w:eastAsia="Calibri"/>
          <w:sz w:val="24"/>
          <w:szCs w:val="24"/>
        </w:rPr>
        <w:t xml:space="preserve"> MA, Anderson KC. Characterization of reactions after transfusion of cellular blood components that are white cell reduced before storage. Transfusion. 1996;36(1):21–8.</w:t>
      </w:r>
    </w:p>
    <w:p w:rsidR="00967AF6" w:rsidRPr="00157A29" w:rsidRDefault="00967AF6" w:rsidP="00967AF6">
      <w:pPr>
        <w:pBdr>
          <w:top w:val="nil"/>
          <w:left w:val="nil"/>
          <w:bottom w:val="nil"/>
          <w:right w:val="nil"/>
          <w:between w:val="nil"/>
        </w:pBdr>
        <w:shd w:val="clear" w:color="auto" w:fill="FFFFFF"/>
        <w:spacing w:after="0"/>
        <w:ind w:left="360"/>
        <w:rPr>
          <w:rFonts w:eastAsia="Calibri"/>
          <w:sz w:val="24"/>
          <w:szCs w:val="24"/>
        </w:rPr>
      </w:pPr>
      <w:r w:rsidRPr="00157A29">
        <w:rPr>
          <w:rFonts w:eastAsia="Calibri"/>
          <w:b/>
          <w:i/>
          <w:sz w:val="24"/>
          <w:szCs w:val="24"/>
        </w:rPr>
        <w:t>Reason for exclusion:</w:t>
      </w:r>
      <w:r w:rsidRPr="00157A29">
        <w:rPr>
          <w:rFonts w:eastAsia="Calibri"/>
          <w:sz w:val="24"/>
          <w:szCs w:val="24"/>
        </w:rPr>
        <w:t xml:space="preserve"> Ineligible leukoreduction methodology associated with eligible methodology</w:t>
      </w:r>
      <w:r>
        <w:rPr>
          <w:rFonts w:eastAsia="Calibri"/>
          <w:sz w:val="24"/>
          <w:szCs w:val="24"/>
        </w:rPr>
        <w:t xml:space="preserve">. </w:t>
      </w:r>
      <w:r w:rsidRPr="00FD0ED6">
        <w:rPr>
          <w:rFonts w:eastAsia="Calibri"/>
          <w:sz w:val="24"/>
          <w:szCs w:val="24"/>
        </w:rPr>
        <w:t xml:space="preserve">They used </w:t>
      </w:r>
      <w:r w:rsidR="00FE2C2E" w:rsidRPr="00FD0ED6">
        <w:rPr>
          <w:rFonts w:eastAsia="Calibri"/>
          <w:sz w:val="24"/>
          <w:szCs w:val="24"/>
        </w:rPr>
        <w:t xml:space="preserve">a </w:t>
      </w:r>
      <w:r w:rsidRPr="00FD0ED6">
        <w:rPr>
          <w:rFonts w:eastAsia="Calibri"/>
          <w:sz w:val="24"/>
          <w:szCs w:val="24"/>
        </w:rPr>
        <w:t>mixed pre-storage leukoreduction methodology (apheresis and in-line filter).</w:t>
      </w:r>
    </w:p>
    <w:p w:rsidR="00967AF6" w:rsidRPr="00157A29" w:rsidRDefault="00967AF6" w:rsidP="00967AF6">
      <w:pPr>
        <w:numPr>
          <w:ilvl w:val="0"/>
          <w:numId w:val="1"/>
        </w:numPr>
        <w:pBdr>
          <w:top w:val="nil"/>
          <w:left w:val="nil"/>
          <w:bottom w:val="nil"/>
          <w:right w:val="nil"/>
          <w:between w:val="nil"/>
        </w:pBdr>
        <w:shd w:val="clear" w:color="auto" w:fill="FFFFFF"/>
        <w:spacing w:after="0"/>
        <w:rPr>
          <w:rFonts w:eastAsia="Calibri"/>
          <w:sz w:val="24"/>
          <w:szCs w:val="24"/>
        </w:rPr>
      </w:pPr>
      <w:r w:rsidRPr="00157A29">
        <w:rPr>
          <w:rFonts w:eastAsia="Calibri"/>
          <w:sz w:val="24"/>
          <w:szCs w:val="24"/>
        </w:rPr>
        <w:t>Glenister KM, Sparrow RL. Level of platelet</w:t>
      </w:r>
      <w:r w:rsidRPr="00157A29">
        <w:rPr>
          <w:rFonts w:ascii="Cambria Math" w:eastAsia="Calibri" w:hAnsi="Cambria Math" w:cs="Cambria Math"/>
          <w:sz w:val="24"/>
          <w:szCs w:val="24"/>
        </w:rPr>
        <w:t>‐</w:t>
      </w:r>
      <w:r w:rsidRPr="00157A29">
        <w:rPr>
          <w:rFonts w:eastAsia="Calibri"/>
          <w:sz w:val="24"/>
          <w:szCs w:val="24"/>
        </w:rPr>
        <w:t>derived cytokines in leukoreduced red blood cells is influenced by the processing method and type of leukoreduction filter. Transfusion. 2010;50(1):185–9.</w:t>
      </w:r>
    </w:p>
    <w:p w:rsidR="00967AF6" w:rsidRPr="00157A29" w:rsidRDefault="00967AF6" w:rsidP="00967AF6">
      <w:pPr>
        <w:pBdr>
          <w:top w:val="nil"/>
          <w:left w:val="nil"/>
          <w:bottom w:val="nil"/>
          <w:right w:val="nil"/>
          <w:between w:val="nil"/>
        </w:pBdr>
        <w:shd w:val="clear" w:color="auto" w:fill="FFFFFF"/>
        <w:spacing w:after="0"/>
        <w:ind w:left="360"/>
        <w:rPr>
          <w:rFonts w:eastAsia="Calibri"/>
          <w:sz w:val="24"/>
          <w:szCs w:val="24"/>
        </w:rPr>
      </w:pPr>
      <w:r w:rsidRPr="00157A29">
        <w:rPr>
          <w:rFonts w:eastAsia="Calibri"/>
          <w:b/>
          <w:i/>
          <w:sz w:val="24"/>
          <w:szCs w:val="24"/>
        </w:rPr>
        <w:t>Reason for exclusion:</w:t>
      </w:r>
      <w:r w:rsidRPr="00157A29">
        <w:rPr>
          <w:rFonts w:eastAsia="Calibri"/>
          <w:sz w:val="24"/>
          <w:szCs w:val="24"/>
        </w:rPr>
        <w:t xml:space="preserve"> Ineligible intervention</w:t>
      </w:r>
      <w:r w:rsidR="006F6FD6">
        <w:rPr>
          <w:rFonts w:eastAsia="Calibri"/>
          <w:sz w:val="24"/>
          <w:szCs w:val="24"/>
        </w:rPr>
        <w:t xml:space="preserve">. </w:t>
      </w:r>
      <w:r w:rsidR="00EF5B26" w:rsidRPr="00FD0ED6">
        <w:rPr>
          <w:rFonts w:eastAsia="Calibri"/>
          <w:sz w:val="24"/>
          <w:szCs w:val="24"/>
        </w:rPr>
        <w:t>Different pre-storage filters were compared with each other and with buffy</w:t>
      </w:r>
      <w:r w:rsidR="00C55D78" w:rsidRPr="00FD0ED6">
        <w:rPr>
          <w:rFonts w:eastAsia="Calibri"/>
          <w:sz w:val="24"/>
          <w:szCs w:val="24"/>
        </w:rPr>
        <w:t>-</w:t>
      </w:r>
      <w:r w:rsidR="00EF5B26" w:rsidRPr="00FD0ED6">
        <w:rPr>
          <w:rFonts w:eastAsia="Calibri"/>
          <w:sz w:val="24"/>
          <w:szCs w:val="24"/>
        </w:rPr>
        <w:t>coat depletion.</w:t>
      </w:r>
    </w:p>
    <w:p w:rsidR="00967AF6" w:rsidRPr="00157A29" w:rsidRDefault="00967AF6" w:rsidP="00967AF6">
      <w:pPr>
        <w:numPr>
          <w:ilvl w:val="0"/>
          <w:numId w:val="1"/>
        </w:numPr>
        <w:pBdr>
          <w:top w:val="nil"/>
          <w:left w:val="nil"/>
          <w:bottom w:val="nil"/>
          <w:right w:val="nil"/>
          <w:between w:val="nil"/>
        </w:pBdr>
        <w:shd w:val="clear" w:color="auto" w:fill="FFFFFF"/>
        <w:spacing w:after="0"/>
        <w:rPr>
          <w:rFonts w:eastAsia="Calibri"/>
          <w:sz w:val="24"/>
          <w:szCs w:val="24"/>
        </w:rPr>
      </w:pPr>
      <w:r w:rsidRPr="00157A29">
        <w:rPr>
          <w:rFonts w:eastAsia="Calibri"/>
          <w:sz w:val="24"/>
          <w:szCs w:val="24"/>
        </w:rPr>
        <w:t>Klüter H, Bubel S, Kirchner H, Wilhelm D. Febrile and allergic transfusion reactions after the transfusion of white cell-poor platelet preparations. Transfusion. 1999;39(11):1179–84.</w:t>
      </w:r>
    </w:p>
    <w:p w:rsidR="00967AF6" w:rsidRPr="000F6AF6" w:rsidRDefault="00967AF6" w:rsidP="00967AF6">
      <w:pPr>
        <w:pBdr>
          <w:top w:val="nil"/>
          <w:left w:val="nil"/>
          <w:bottom w:val="nil"/>
          <w:right w:val="nil"/>
          <w:between w:val="nil"/>
        </w:pBdr>
        <w:shd w:val="clear" w:color="auto" w:fill="FFFFFF"/>
        <w:spacing w:after="0"/>
        <w:ind w:left="360"/>
        <w:rPr>
          <w:rFonts w:eastAsia="Calibri"/>
          <w:color w:val="FF0000"/>
          <w:sz w:val="24"/>
          <w:szCs w:val="24"/>
          <w:highlight w:val="yellow"/>
        </w:rPr>
      </w:pPr>
      <w:r w:rsidRPr="00157A29">
        <w:rPr>
          <w:rFonts w:eastAsia="Calibri"/>
          <w:b/>
          <w:i/>
          <w:sz w:val="24"/>
          <w:szCs w:val="24"/>
        </w:rPr>
        <w:t>Reason for exclusion:</w:t>
      </w:r>
      <w:r w:rsidRPr="00157A29">
        <w:rPr>
          <w:rFonts w:eastAsia="Calibri"/>
          <w:sz w:val="24"/>
          <w:szCs w:val="24"/>
        </w:rPr>
        <w:t xml:space="preserve"> Ineligible outcomes - outcome without comparation</w:t>
      </w:r>
      <w:r>
        <w:rPr>
          <w:rFonts w:eastAsia="Calibri"/>
          <w:sz w:val="24"/>
          <w:szCs w:val="24"/>
        </w:rPr>
        <w:t xml:space="preserve">. </w:t>
      </w:r>
      <w:r w:rsidRPr="00FD0ED6">
        <w:rPr>
          <w:rFonts w:eastAsia="Calibri"/>
          <w:sz w:val="24"/>
          <w:szCs w:val="24"/>
        </w:rPr>
        <w:t>The outcomes, such as non-hemolytic and febrile reactions, were more generic designations than those defined for this review.</w:t>
      </w:r>
    </w:p>
    <w:p w:rsidR="00967AF6" w:rsidRPr="00157A29" w:rsidRDefault="00967AF6" w:rsidP="00967AF6">
      <w:pPr>
        <w:numPr>
          <w:ilvl w:val="0"/>
          <w:numId w:val="1"/>
        </w:numPr>
        <w:pBdr>
          <w:top w:val="nil"/>
          <w:left w:val="nil"/>
          <w:bottom w:val="nil"/>
          <w:right w:val="nil"/>
          <w:between w:val="nil"/>
        </w:pBdr>
        <w:shd w:val="clear" w:color="auto" w:fill="FFFFFF"/>
        <w:spacing w:after="0"/>
        <w:rPr>
          <w:rFonts w:eastAsia="Calibri"/>
          <w:sz w:val="24"/>
          <w:szCs w:val="24"/>
        </w:rPr>
      </w:pPr>
      <w:r w:rsidRPr="00157A29">
        <w:rPr>
          <w:rFonts w:eastAsia="Calibri"/>
          <w:sz w:val="24"/>
          <w:szCs w:val="24"/>
        </w:rPr>
        <w:lastRenderedPageBreak/>
        <w:t>Kwon JH, Han S, Jang JS, Lee KW, Ahn JH, Kim K, et al. Decrease in the Risk of Post-Transplant Hepatocellular Carcinoma Recurrence After the Conversion to Prestorage Leukoreduction for Transfused Red Blood Cells. Transplantation. 2020.</w:t>
      </w:r>
    </w:p>
    <w:p w:rsidR="00967AF6" w:rsidRPr="00FD0ED6" w:rsidRDefault="00967AF6" w:rsidP="00967AF6">
      <w:pPr>
        <w:pBdr>
          <w:top w:val="nil"/>
          <w:left w:val="nil"/>
          <w:bottom w:val="nil"/>
          <w:right w:val="nil"/>
          <w:between w:val="nil"/>
        </w:pBdr>
        <w:shd w:val="clear" w:color="auto" w:fill="FFFFFF"/>
        <w:spacing w:after="0"/>
        <w:ind w:left="360"/>
        <w:rPr>
          <w:rFonts w:eastAsia="Calibri"/>
          <w:sz w:val="24"/>
          <w:szCs w:val="24"/>
        </w:rPr>
      </w:pPr>
      <w:r w:rsidRPr="00FD0ED6">
        <w:rPr>
          <w:rFonts w:eastAsia="Calibri"/>
          <w:b/>
          <w:i/>
          <w:sz w:val="24"/>
          <w:szCs w:val="24"/>
        </w:rPr>
        <w:t>Reason for exclusion:</w:t>
      </w:r>
      <w:r w:rsidRPr="00FD0ED6">
        <w:rPr>
          <w:rFonts w:eastAsia="Calibri"/>
          <w:sz w:val="24"/>
          <w:szCs w:val="24"/>
        </w:rPr>
        <w:t xml:space="preserve"> Ineligible outcomes. The study evaluated the outcome of death during four years of cancer screening, while the interest in this review was in hospital death.</w:t>
      </w:r>
    </w:p>
    <w:p w:rsidR="00967AF6" w:rsidRPr="00157A29" w:rsidRDefault="00967AF6" w:rsidP="00967AF6">
      <w:pPr>
        <w:numPr>
          <w:ilvl w:val="0"/>
          <w:numId w:val="1"/>
        </w:numPr>
        <w:pBdr>
          <w:top w:val="nil"/>
          <w:left w:val="nil"/>
          <w:bottom w:val="nil"/>
          <w:right w:val="nil"/>
          <w:between w:val="nil"/>
        </w:pBdr>
        <w:shd w:val="clear" w:color="auto" w:fill="FFFFFF"/>
        <w:spacing w:after="0"/>
        <w:rPr>
          <w:rFonts w:eastAsia="Calibri"/>
          <w:sz w:val="24"/>
          <w:szCs w:val="24"/>
        </w:rPr>
      </w:pPr>
      <w:r w:rsidRPr="00157A29">
        <w:rPr>
          <w:rFonts w:eastAsia="Calibri"/>
          <w:sz w:val="24"/>
          <w:szCs w:val="24"/>
        </w:rPr>
        <w:t>Llewelyn CA, Taylor RS, Todd AA, Stevens W, Murphy MF, Williamson LM. The effect of universal leukoreduction on postoperative infections and length of hospital stay in elective orthopedic and cardiac surgery. Transfusion. 2004;44(4):489–500.</w:t>
      </w:r>
    </w:p>
    <w:p w:rsidR="00967AF6" w:rsidRPr="00FD0ED6" w:rsidRDefault="00967AF6" w:rsidP="00967AF6">
      <w:pPr>
        <w:pBdr>
          <w:top w:val="nil"/>
          <w:left w:val="nil"/>
          <w:bottom w:val="nil"/>
          <w:right w:val="nil"/>
          <w:between w:val="nil"/>
        </w:pBdr>
        <w:shd w:val="clear" w:color="auto" w:fill="FFFFFF"/>
        <w:spacing w:after="0"/>
        <w:ind w:left="360"/>
        <w:rPr>
          <w:rFonts w:eastAsia="Calibri"/>
          <w:sz w:val="24"/>
          <w:szCs w:val="24"/>
        </w:rPr>
      </w:pPr>
      <w:r w:rsidRPr="00FD0ED6">
        <w:rPr>
          <w:rFonts w:eastAsia="Calibri"/>
          <w:b/>
          <w:i/>
          <w:sz w:val="24"/>
          <w:szCs w:val="24"/>
        </w:rPr>
        <w:t>Reason for exclusion:</w:t>
      </w:r>
      <w:r w:rsidRPr="00FD0ED6">
        <w:rPr>
          <w:rFonts w:eastAsia="Calibri"/>
          <w:sz w:val="24"/>
          <w:szCs w:val="24"/>
        </w:rPr>
        <w:t xml:space="preserve"> Ineligible comparator</w:t>
      </w:r>
      <w:r w:rsidR="00EF5B26" w:rsidRPr="00FD0ED6">
        <w:rPr>
          <w:rFonts w:eastAsia="Calibri"/>
          <w:sz w:val="24"/>
          <w:szCs w:val="24"/>
        </w:rPr>
        <w:t xml:space="preserve">. The comparator </w:t>
      </w:r>
      <w:r w:rsidR="00FE2C2E" w:rsidRPr="00FD0ED6">
        <w:rPr>
          <w:rFonts w:eastAsia="Calibri"/>
          <w:sz w:val="24"/>
          <w:szCs w:val="24"/>
        </w:rPr>
        <w:t xml:space="preserve">was </w:t>
      </w:r>
      <w:r w:rsidR="00EF5B26" w:rsidRPr="00FD0ED6">
        <w:rPr>
          <w:rFonts w:eastAsia="Calibri"/>
          <w:sz w:val="24"/>
          <w:szCs w:val="24"/>
        </w:rPr>
        <w:t>non-WBC-reduced RBCs before implement</w:t>
      </w:r>
      <w:r w:rsidR="00FE2C2E" w:rsidRPr="00FD0ED6">
        <w:rPr>
          <w:rFonts w:eastAsia="Calibri"/>
          <w:sz w:val="24"/>
          <w:szCs w:val="24"/>
        </w:rPr>
        <w:t>ing</w:t>
      </w:r>
      <w:r w:rsidR="00EF5B26" w:rsidRPr="00FD0ED6">
        <w:rPr>
          <w:rFonts w:eastAsia="Calibri"/>
          <w:sz w:val="24"/>
          <w:szCs w:val="24"/>
        </w:rPr>
        <w:t xml:space="preserve"> universal leukoreduction.</w:t>
      </w:r>
    </w:p>
    <w:p w:rsidR="00967AF6" w:rsidRPr="00157A29" w:rsidRDefault="00967AF6" w:rsidP="00967AF6">
      <w:pPr>
        <w:numPr>
          <w:ilvl w:val="0"/>
          <w:numId w:val="1"/>
        </w:numPr>
        <w:pBdr>
          <w:top w:val="nil"/>
          <w:left w:val="nil"/>
          <w:bottom w:val="nil"/>
          <w:right w:val="nil"/>
          <w:between w:val="nil"/>
        </w:pBdr>
        <w:shd w:val="clear" w:color="auto" w:fill="FFFFFF"/>
        <w:spacing w:after="0"/>
        <w:rPr>
          <w:rFonts w:eastAsia="Calibri"/>
          <w:sz w:val="24"/>
          <w:szCs w:val="24"/>
        </w:rPr>
      </w:pPr>
      <w:r w:rsidRPr="00157A29">
        <w:rPr>
          <w:rFonts w:eastAsia="Calibri"/>
          <w:sz w:val="24"/>
          <w:szCs w:val="24"/>
        </w:rPr>
        <w:t>Mishima Y, Tsuno NH, Matsuhashi M, Yoshizato T, Sato T, Ikeda T, et al. Effects of universal vs bedside leukoreductions on the alloimmunization to platelets and the platelet transfusion refractoriness. Transfusion and Apheresis Science. 2015;52(1):112–21.</w:t>
      </w:r>
    </w:p>
    <w:p w:rsidR="00967AF6" w:rsidRPr="00157A29" w:rsidRDefault="00967AF6" w:rsidP="00967AF6">
      <w:pPr>
        <w:pBdr>
          <w:top w:val="nil"/>
          <w:left w:val="nil"/>
          <w:bottom w:val="nil"/>
          <w:right w:val="nil"/>
          <w:between w:val="nil"/>
        </w:pBdr>
        <w:shd w:val="clear" w:color="auto" w:fill="FFFFFF"/>
        <w:spacing w:after="0"/>
        <w:ind w:left="360"/>
        <w:rPr>
          <w:rFonts w:eastAsia="Calibri"/>
          <w:sz w:val="24"/>
          <w:szCs w:val="24"/>
        </w:rPr>
      </w:pPr>
      <w:r w:rsidRPr="00157A29">
        <w:rPr>
          <w:rFonts w:eastAsia="Calibri"/>
          <w:b/>
          <w:i/>
          <w:sz w:val="24"/>
          <w:szCs w:val="24"/>
        </w:rPr>
        <w:t>Reason for exclusion:</w:t>
      </w:r>
      <w:r w:rsidRPr="00157A29">
        <w:rPr>
          <w:rFonts w:eastAsia="Calibri"/>
          <w:sz w:val="24"/>
          <w:szCs w:val="24"/>
        </w:rPr>
        <w:t xml:space="preserve"> Ineligible leukoreduction methodology associated with eligible methodology</w:t>
      </w:r>
      <w:r>
        <w:rPr>
          <w:rFonts w:eastAsia="Calibri"/>
          <w:sz w:val="24"/>
          <w:szCs w:val="24"/>
        </w:rPr>
        <w:t xml:space="preserve">. </w:t>
      </w:r>
      <w:r w:rsidRPr="00FD0ED6">
        <w:rPr>
          <w:rFonts w:eastAsia="Calibri"/>
          <w:sz w:val="24"/>
          <w:szCs w:val="24"/>
        </w:rPr>
        <w:t xml:space="preserve">They used </w:t>
      </w:r>
      <w:r w:rsidR="00FE2C2E" w:rsidRPr="00FD0ED6">
        <w:rPr>
          <w:rFonts w:eastAsia="Calibri"/>
          <w:sz w:val="24"/>
          <w:szCs w:val="24"/>
        </w:rPr>
        <w:t xml:space="preserve">a </w:t>
      </w:r>
      <w:r w:rsidRPr="00FD0ED6">
        <w:rPr>
          <w:rFonts w:eastAsia="Calibri"/>
          <w:sz w:val="24"/>
          <w:szCs w:val="24"/>
        </w:rPr>
        <w:t>mixed pre-storage leukoreduction methodology (apheresis and in-line filter).</w:t>
      </w:r>
    </w:p>
    <w:p w:rsidR="00967AF6" w:rsidRPr="00157A29" w:rsidRDefault="00967AF6" w:rsidP="00967AF6">
      <w:pPr>
        <w:numPr>
          <w:ilvl w:val="0"/>
          <w:numId w:val="1"/>
        </w:numPr>
        <w:pBdr>
          <w:top w:val="nil"/>
          <w:left w:val="nil"/>
          <w:bottom w:val="nil"/>
          <w:right w:val="nil"/>
          <w:between w:val="nil"/>
        </w:pBdr>
        <w:shd w:val="clear" w:color="auto" w:fill="FFFFFF"/>
        <w:spacing w:after="0"/>
        <w:rPr>
          <w:rFonts w:eastAsia="Calibri"/>
          <w:sz w:val="24"/>
          <w:szCs w:val="24"/>
        </w:rPr>
      </w:pPr>
      <w:r w:rsidRPr="00157A29">
        <w:rPr>
          <w:rFonts w:eastAsia="Calibri"/>
          <w:sz w:val="24"/>
          <w:szCs w:val="24"/>
        </w:rPr>
        <w:t>Mortensen FV, Jensen LS, Sørensen HT, Pedersen L. Cause</w:t>
      </w:r>
      <w:r w:rsidRPr="00157A29">
        <w:rPr>
          <w:rFonts w:ascii="Cambria Math" w:eastAsia="Calibri" w:hAnsi="Cambria Math" w:cs="Cambria Math"/>
          <w:sz w:val="24"/>
          <w:szCs w:val="24"/>
        </w:rPr>
        <w:t>‐</w:t>
      </w:r>
      <w:r w:rsidRPr="00157A29">
        <w:rPr>
          <w:rFonts w:eastAsia="Calibri"/>
          <w:sz w:val="24"/>
          <w:szCs w:val="24"/>
        </w:rPr>
        <w:t>specific mortality associated with leukoreduced, buffy coat–depleted, or no blood transfusion after elective surgery for colorectal cancer: a posttrial 15</w:t>
      </w:r>
      <w:r w:rsidRPr="00157A29">
        <w:rPr>
          <w:rFonts w:ascii="Cambria Math" w:eastAsia="Calibri" w:hAnsi="Cambria Math" w:cs="Cambria Math"/>
          <w:sz w:val="24"/>
          <w:szCs w:val="24"/>
        </w:rPr>
        <w:t>‐</w:t>
      </w:r>
      <w:r w:rsidRPr="00157A29">
        <w:rPr>
          <w:rFonts w:eastAsia="Calibri"/>
          <w:sz w:val="24"/>
          <w:szCs w:val="24"/>
        </w:rPr>
        <w:t>year follow</w:t>
      </w:r>
      <w:r w:rsidRPr="00157A29">
        <w:rPr>
          <w:rFonts w:ascii="Cambria Math" w:eastAsia="Calibri" w:hAnsi="Cambria Math" w:cs="Cambria Math"/>
          <w:sz w:val="24"/>
          <w:szCs w:val="24"/>
        </w:rPr>
        <w:t>‐</w:t>
      </w:r>
      <w:r w:rsidRPr="00157A29">
        <w:rPr>
          <w:rFonts w:eastAsia="Calibri"/>
          <w:sz w:val="24"/>
          <w:szCs w:val="24"/>
        </w:rPr>
        <w:t>up study. Transfusion. 2011;51(2):259–63.</w:t>
      </w:r>
    </w:p>
    <w:p w:rsidR="00967AF6" w:rsidRPr="00157A29" w:rsidRDefault="00967AF6" w:rsidP="00967AF6">
      <w:pPr>
        <w:pBdr>
          <w:top w:val="nil"/>
          <w:left w:val="nil"/>
          <w:bottom w:val="nil"/>
          <w:right w:val="nil"/>
          <w:between w:val="nil"/>
        </w:pBdr>
        <w:shd w:val="clear" w:color="auto" w:fill="FFFFFF"/>
        <w:spacing w:after="0"/>
        <w:ind w:left="360"/>
        <w:rPr>
          <w:rFonts w:eastAsia="Calibri"/>
          <w:sz w:val="24"/>
          <w:szCs w:val="24"/>
        </w:rPr>
      </w:pPr>
      <w:r w:rsidRPr="00157A29">
        <w:rPr>
          <w:rFonts w:eastAsia="Calibri"/>
          <w:b/>
          <w:i/>
          <w:sz w:val="24"/>
          <w:szCs w:val="24"/>
        </w:rPr>
        <w:t>Reason for exclusion:</w:t>
      </w:r>
      <w:r w:rsidRPr="00157A29">
        <w:rPr>
          <w:rFonts w:eastAsia="Calibri"/>
          <w:sz w:val="24"/>
          <w:szCs w:val="24"/>
        </w:rPr>
        <w:t xml:space="preserve"> </w:t>
      </w:r>
      <w:r w:rsidRPr="00FD0ED6">
        <w:rPr>
          <w:rFonts w:eastAsia="Calibri"/>
          <w:sz w:val="24"/>
          <w:szCs w:val="24"/>
        </w:rPr>
        <w:t>Ineligible comparator</w:t>
      </w:r>
      <w:r w:rsidR="00C55D78" w:rsidRPr="00FD0ED6">
        <w:rPr>
          <w:rFonts w:eastAsia="Calibri"/>
          <w:sz w:val="24"/>
          <w:szCs w:val="24"/>
        </w:rPr>
        <w:t>. Pre-storage filters were compared with buffy</w:t>
      </w:r>
      <w:r w:rsidR="00C54EA7" w:rsidRPr="00FD0ED6">
        <w:rPr>
          <w:rFonts w:eastAsia="Calibri"/>
          <w:sz w:val="24"/>
          <w:szCs w:val="24"/>
        </w:rPr>
        <w:t>-</w:t>
      </w:r>
      <w:r w:rsidR="00C55D78" w:rsidRPr="00FD0ED6">
        <w:rPr>
          <w:rFonts w:eastAsia="Calibri"/>
          <w:sz w:val="24"/>
          <w:szCs w:val="24"/>
        </w:rPr>
        <w:t>coat depletion.</w:t>
      </w:r>
    </w:p>
    <w:p w:rsidR="00967AF6" w:rsidRPr="00157A29" w:rsidRDefault="00967AF6" w:rsidP="00967AF6">
      <w:pPr>
        <w:numPr>
          <w:ilvl w:val="0"/>
          <w:numId w:val="1"/>
        </w:numPr>
        <w:pBdr>
          <w:top w:val="nil"/>
          <w:left w:val="nil"/>
          <w:bottom w:val="nil"/>
          <w:right w:val="nil"/>
          <w:between w:val="nil"/>
        </w:pBdr>
        <w:shd w:val="clear" w:color="auto" w:fill="FFFFFF"/>
        <w:spacing w:after="0"/>
        <w:rPr>
          <w:rFonts w:eastAsia="Calibri"/>
          <w:sz w:val="24"/>
          <w:szCs w:val="24"/>
        </w:rPr>
      </w:pPr>
      <w:r w:rsidRPr="00157A29">
        <w:rPr>
          <w:rFonts w:eastAsia="Calibri"/>
          <w:sz w:val="24"/>
          <w:szCs w:val="24"/>
        </w:rPr>
        <w:t>Müller-Steinhardt M, Schlenke P, Wagner T, Klüter H. Transfusion of platelet concentrates from pooled buffy-coats: comparison of bedside vs. prestorage leukofiltration. 2000.</w:t>
      </w:r>
      <w:r>
        <w:rPr>
          <w:rFonts w:eastAsia="Calibri"/>
          <w:sz w:val="24"/>
          <w:szCs w:val="24"/>
        </w:rPr>
        <w:t xml:space="preserve"> </w:t>
      </w:r>
    </w:p>
    <w:p w:rsidR="00967AF6" w:rsidRPr="000F6AF6" w:rsidRDefault="00967AF6" w:rsidP="00967AF6">
      <w:pPr>
        <w:pBdr>
          <w:top w:val="nil"/>
          <w:left w:val="nil"/>
          <w:bottom w:val="nil"/>
          <w:right w:val="nil"/>
          <w:between w:val="nil"/>
        </w:pBdr>
        <w:shd w:val="clear" w:color="auto" w:fill="FFFFFF"/>
        <w:spacing w:after="0"/>
        <w:ind w:left="360"/>
        <w:rPr>
          <w:rFonts w:eastAsia="Calibri"/>
          <w:color w:val="FF0000"/>
          <w:sz w:val="24"/>
          <w:szCs w:val="24"/>
          <w:highlight w:val="yellow"/>
        </w:rPr>
      </w:pPr>
      <w:r w:rsidRPr="00157A29">
        <w:rPr>
          <w:rFonts w:eastAsia="Calibri"/>
          <w:b/>
          <w:i/>
          <w:sz w:val="24"/>
          <w:szCs w:val="24"/>
        </w:rPr>
        <w:t>Reason for exclusion</w:t>
      </w:r>
      <w:r w:rsidRPr="00FD0ED6">
        <w:rPr>
          <w:rFonts w:eastAsia="Calibri"/>
          <w:b/>
          <w:i/>
          <w:sz w:val="24"/>
          <w:szCs w:val="24"/>
        </w:rPr>
        <w:t>:</w:t>
      </w:r>
      <w:r w:rsidRPr="00FD0ED6">
        <w:rPr>
          <w:rFonts w:eastAsia="Calibri"/>
          <w:sz w:val="24"/>
          <w:szCs w:val="24"/>
        </w:rPr>
        <w:t xml:space="preserve"> Ineligible outcomes. The outcome evaluated was platelet increment calculation.</w:t>
      </w:r>
    </w:p>
    <w:p w:rsidR="00967AF6" w:rsidRPr="00157A29" w:rsidRDefault="00967AF6" w:rsidP="00967AF6">
      <w:pPr>
        <w:numPr>
          <w:ilvl w:val="0"/>
          <w:numId w:val="1"/>
        </w:numPr>
        <w:pBdr>
          <w:top w:val="nil"/>
          <w:left w:val="nil"/>
          <w:bottom w:val="nil"/>
          <w:right w:val="nil"/>
          <w:between w:val="nil"/>
        </w:pBdr>
        <w:shd w:val="clear" w:color="auto" w:fill="FFFFFF"/>
        <w:spacing w:after="0"/>
        <w:rPr>
          <w:rFonts w:eastAsia="Calibri"/>
          <w:sz w:val="24"/>
          <w:szCs w:val="24"/>
        </w:rPr>
      </w:pPr>
      <w:r w:rsidRPr="00157A29">
        <w:rPr>
          <w:rFonts w:eastAsia="Calibri"/>
          <w:sz w:val="24"/>
          <w:szCs w:val="24"/>
        </w:rPr>
        <w:t>Ohto H, Nomizu T, Kuroda F, Hoshi T, Rokkaku Y. HLA alloimmunization of surgical patients by transfusion with bedside leukoreduced blood components. Fukushima journal of medical science. 2003;49(1):45–54.</w:t>
      </w:r>
    </w:p>
    <w:p w:rsidR="00967AF6" w:rsidRPr="00157A29" w:rsidRDefault="00967AF6" w:rsidP="00967AF6">
      <w:pPr>
        <w:pBdr>
          <w:top w:val="nil"/>
          <w:left w:val="nil"/>
          <w:bottom w:val="nil"/>
          <w:right w:val="nil"/>
          <w:between w:val="nil"/>
        </w:pBdr>
        <w:shd w:val="clear" w:color="auto" w:fill="FFFFFF"/>
        <w:spacing w:after="0"/>
        <w:ind w:left="360"/>
        <w:rPr>
          <w:rFonts w:eastAsia="Calibri"/>
          <w:sz w:val="24"/>
          <w:szCs w:val="24"/>
        </w:rPr>
      </w:pPr>
      <w:r w:rsidRPr="00157A29">
        <w:rPr>
          <w:rFonts w:eastAsia="Calibri"/>
          <w:b/>
          <w:i/>
          <w:sz w:val="24"/>
          <w:szCs w:val="24"/>
        </w:rPr>
        <w:lastRenderedPageBreak/>
        <w:t>Reason for exclusion:</w:t>
      </w:r>
      <w:r w:rsidRPr="00157A29">
        <w:rPr>
          <w:rFonts w:eastAsia="Calibri"/>
          <w:sz w:val="24"/>
          <w:szCs w:val="24"/>
        </w:rPr>
        <w:t xml:space="preserve"> </w:t>
      </w:r>
      <w:r w:rsidRPr="00FD0ED6">
        <w:rPr>
          <w:rFonts w:eastAsia="Calibri"/>
          <w:sz w:val="24"/>
          <w:szCs w:val="24"/>
        </w:rPr>
        <w:t xml:space="preserve">Ineligible </w:t>
      </w:r>
      <w:r w:rsidR="00C55D78" w:rsidRPr="00FD0ED6">
        <w:rPr>
          <w:rFonts w:eastAsia="Calibri"/>
          <w:sz w:val="24"/>
          <w:szCs w:val="24"/>
        </w:rPr>
        <w:t>intervention. Bedside filter was compared with buffy-coat depletion.</w:t>
      </w:r>
    </w:p>
    <w:p w:rsidR="00967AF6" w:rsidRPr="00157A29" w:rsidRDefault="00967AF6" w:rsidP="00967AF6">
      <w:pPr>
        <w:numPr>
          <w:ilvl w:val="0"/>
          <w:numId w:val="1"/>
        </w:numPr>
        <w:pBdr>
          <w:top w:val="nil"/>
          <w:left w:val="nil"/>
          <w:bottom w:val="nil"/>
          <w:right w:val="nil"/>
          <w:between w:val="nil"/>
        </w:pBdr>
        <w:shd w:val="clear" w:color="auto" w:fill="FFFFFF"/>
        <w:spacing w:after="0"/>
        <w:rPr>
          <w:rFonts w:eastAsia="Calibri"/>
          <w:sz w:val="24"/>
          <w:szCs w:val="24"/>
        </w:rPr>
      </w:pPr>
      <w:r w:rsidRPr="00157A29">
        <w:rPr>
          <w:rFonts w:eastAsia="Calibri"/>
          <w:sz w:val="24"/>
          <w:szCs w:val="24"/>
        </w:rPr>
        <w:t>Say B, Sari FN, Oguz SS, Degirmencioglu H, Arayici S, Kadioglu Simsek G, et al. Interleukin-6 and C-reactive protein load in pre-storage and post-storage white blood cell-filtered red blood cell transfusions in premature infants. Transfusion Medicine. 2015;25(3):170–3.</w:t>
      </w:r>
    </w:p>
    <w:p w:rsidR="00967AF6" w:rsidRPr="00FD0ED6" w:rsidRDefault="00967AF6" w:rsidP="00967AF6">
      <w:pPr>
        <w:pBdr>
          <w:top w:val="nil"/>
          <w:left w:val="nil"/>
          <w:bottom w:val="nil"/>
          <w:right w:val="nil"/>
          <w:between w:val="nil"/>
        </w:pBdr>
        <w:shd w:val="clear" w:color="auto" w:fill="FFFFFF"/>
        <w:spacing w:after="0"/>
        <w:ind w:left="360"/>
        <w:rPr>
          <w:rFonts w:eastAsia="Calibri"/>
          <w:sz w:val="24"/>
          <w:szCs w:val="24"/>
        </w:rPr>
      </w:pPr>
      <w:r w:rsidRPr="00FD0ED6">
        <w:rPr>
          <w:rFonts w:eastAsia="Calibri"/>
          <w:b/>
          <w:i/>
          <w:sz w:val="24"/>
          <w:szCs w:val="24"/>
        </w:rPr>
        <w:t>Reason for exclusion:</w:t>
      </w:r>
      <w:r w:rsidRPr="00FD0ED6">
        <w:rPr>
          <w:rFonts w:eastAsia="Calibri"/>
          <w:sz w:val="24"/>
          <w:szCs w:val="24"/>
        </w:rPr>
        <w:t xml:space="preserve"> Ineligible outcomes. The outcomes evaluated were levels of inflammatory components.</w:t>
      </w:r>
    </w:p>
    <w:p w:rsidR="00967AF6" w:rsidRPr="00FD0ED6" w:rsidRDefault="00967AF6" w:rsidP="00967AF6">
      <w:pPr>
        <w:numPr>
          <w:ilvl w:val="0"/>
          <w:numId w:val="1"/>
        </w:numPr>
        <w:pBdr>
          <w:top w:val="nil"/>
          <w:left w:val="nil"/>
          <w:bottom w:val="nil"/>
          <w:right w:val="nil"/>
          <w:between w:val="nil"/>
        </w:pBdr>
        <w:shd w:val="clear" w:color="auto" w:fill="FFFFFF"/>
        <w:spacing w:after="0"/>
        <w:rPr>
          <w:rFonts w:eastAsia="Calibri"/>
          <w:sz w:val="24"/>
          <w:szCs w:val="24"/>
        </w:rPr>
      </w:pPr>
      <w:r w:rsidRPr="00FD0ED6">
        <w:rPr>
          <w:rFonts w:eastAsia="Calibri"/>
          <w:sz w:val="24"/>
          <w:szCs w:val="24"/>
        </w:rPr>
        <w:t>Seftel MD, Growe GH, Petraszko T, Benny WB, Le A, Lee C-Y, et al. Universal prestorage leukoreduction in Canada decreases platelet alloimmunization and refractoriness. Blood. 2004;103(1):333–9.</w:t>
      </w:r>
    </w:p>
    <w:p w:rsidR="00967AF6" w:rsidRPr="00FD0ED6" w:rsidRDefault="00967AF6" w:rsidP="00967AF6">
      <w:pPr>
        <w:pBdr>
          <w:top w:val="nil"/>
          <w:left w:val="nil"/>
          <w:bottom w:val="nil"/>
          <w:right w:val="nil"/>
          <w:between w:val="nil"/>
        </w:pBdr>
        <w:shd w:val="clear" w:color="auto" w:fill="FFFFFF"/>
        <w:spacing w:after="0"/>
        <w:ind w:left="360"/>
        <w:rPr>
          <w:rFonts w:eastAsia="Calibri"/>
          <w:sz w:val="24"/>
          <w:szCs w:val="24"/>
        </w:rPr>
      </w:pPr>
      <w:r w:rsidRPr="00FD0ED6">
        <w:rPr>
          <w:rFonts w:eastAsia="Calibri"/>
          <w:b/>
          <w:i/>
          <w:sz w:val="24"/>
          <w:szCs w:val="24"/>
        </w:rPr>
        <w:t>Reason for exclusion:</w:t>
      </w:r>
      <w:r w:rsidRPr="00FD0ED6">
        <w:rPr>
          <w:rFonts w:eastAsia="Calibri"/>
          <w:sz w:val="24"/>
          <w:szCs w:val="24"/>
        </w:rPr>
        <w:t xml:space="preserve"> Ineligible comparator</w:t>
      </w:r>
      <w:r w:rsidR="00EB6F88" w:rsidRPr="00FD0ED6">
        <w:rPr>
          <w:rFonts w:eastAsia="Calibri"/>
          <w:sz w:val="24"/>
          <w:szCs w:val="24"/>
        </w:rPr>
        <w:t>. The comparator was the universal pre-filtration phase, which included patients who received post-storage filtration and also without leukoreduction.</w:t>
      </w:r>
    </w:p>
    <w:p w:rsidR="00967AF6" w:rsidRPr="00FD0ED6" w:rsidRDefault="00967AF6" w:rsidP="00967AF6">
      <w:pPr>
        <w:numPr>
          <w:ilvl w:val="0"/>
          <w:numId w:val="1"/>
        </w:numPr>
        <w:pBdr>
          <w:top w:val="nil"/>
          <w:left w:val="nil"/>
          <w:bottom w:val="nil"/>
          <w:right w:val="nil"/>
          <w:between w:val="nil"/>
        </w:pBdr>
        <w:shd w:val="clear" w:color="auto" w:fill="FFFFFF"/>
        <w:spacing w:after="0"/>
        <w:rPr>
          <w:rFonts w:eastAsia="Calibri"/>
          <w:sz w:val="24"/>
          <w:szCs w:val="24"/>
        </w:rPr>
      </w:pPr>
      <w:r w:rsidRPr="00FD0ED6">
        <w:rPr>
          <w:rFonts w:eastAsia="Calibri"/>
          <w:sz w:val="24"/>
          <w:szCs w:val="24"/>
        </w:rPr>
        <w:t>Skånberg J, Lundholm K, Haglind E. Effects of blood transfusion with leucocyte depletion on length of hospital stay, respiratory assistance and survival after curative surgery for colorectal cancer. Acta Oncologica. 2007;46(8):1123–30.</w:t>
      </w:r>
    </w:p>
    <w:p w:rsidR="00967AF6" w:rsidRPr="00FD0ED6" w:rsidRDefault="00967AF6" w:rsidP="00967AF6">
      <w:pPr>
        <w:pBdr>
          <w:top w:val="nil"/>
          <w:left w:val="nil"/>
          <w:bottom w:val="nil"/>
          <w:right w:val="nil"/>
          <w:between w:val="nil"/>
        </w:pBdr>
        <w:shd w:val="clear" w:color="auto" w:fill="FFFFFF"/>
        <w:spacing w:after="0"/>
        <w:ind w:left="360"/>
        <w:rPr>
          <w:rFonts w:eastAsia="Calibri"/>
          <w:sz w:val="24"/>
          <w:szCs w:val="24"/>
        </w:rPr>
      </w:pPr>
      <w:r w:rsidRPr="00FD0ED6">
        <w:rPr>
          <w:rFonts w:eastAsia="Calibri"/>
          <w:b/>
          <w:i/>
          <w:sz w:val="24"/>
          <w:szCs w:val="24"/>
        </w:rPr>
        <w:t>Reason for exclusion:</w:t>
      </w:r>
      <w:r w:rsidRPr="00FD0ED6">
        <w:rPr>
          <w:rFonts w:eastAsia="Calibri"/>
          <w:sz w:val="24"/>
          <w:szCs w:val="24"/>
        </w:rPr>
        <w:t xml:space="preserve"> Ineligible comparator</w:t>
      </w:r>
      <w:r w:rsidR="005B30C9" w:rsidRPr="00FD0ED6">
        <w:rPr>
          <w:rFonts w:eastAsia="Calibri"/>
          <w:sz w:val="24"/>
          <w:szCs w:val="24"/>
        </w:rPr>
        <w:t>. Pre-storage filters were compared with buffy-coat depletion.</w:t>
      </w:r>
    </w:p>
    <w:p w:rsidR="00967AF6" w:rsidRPr="00157A29" w:rsidRDefault="00967AF6" w:rsidP="00967AF6">
      <w:pPr>
        <w:numPr>
          <w:ilvl w:val="0"/>
          <w:numId w:val="1"/>
        </w:numPr>
        <w:pBdr>
          <w:top w:val="nil"/>
          <w:left w:val="nil"/>
          <w:bottom w:val="nil"/>
          <w:right w:val="nil"/>
          <w:between w:val="nil"/>
        </w:pBdr>
        <w:shd w:val="clear" w:color="auto" w:fill="FFFFFF"/>
        <w:spacing w:after="0"/>
        <w:rPr>
          <w:rFonts w:eastAsia="Calibri"/>
          <w:sz w:val="24"/>
          <w:szCs w:val="24"/>
        </w:rPr>
      </w:pPr>
      <w:r w:rsidRPr="00157A29">
        <w:rPr>
          <w:rFonts w:eastAsia="Calibri"/>
          <w:sz w:val="24"/>
          <w:szCs w:val="24"/>
        </w:rPr>
        <w:t>Sprogøe</w:t>
      </w:r>
      <w:r w:rsidRPr="00157A29">
        <w:rPr>
          <w:rFonts w:ascii="Cambria Math" w:eastAsia="Calibri" w:hAnsi="Cambria Math" w:cs="Cambria Math"/>
          <w:sz w:val="24"/>
          <w:szCs w:val="24"/>
        </w:rPr>
        <w:t>‐</w:t>
      </w:r>
      <w:r w:rsidRPr="00157A29">
        <w:rPr>
          <w:rFonts w:eastAsia="Calibri"/>
          <w:sz w:val="24"/>
          <w:szCs w:val="24"/>
        </w:rPr>
        <w:t>Jakobsen U, Saetre AM, Georgsen J. Preparation of white cell</w:t>
      </w:r>
      <w:r w:rsidRPr="00157A29">
        <w:rPr>
          <w:rFonts w:ascii="Cambria Math" w:eastAsia="Calibri" w:hAnsi="Cambria Math" w:cs="Cambria Math"/>
          <w:sz w:val="24"/>
          <w:szCs w:val="24"/>
        </w:rPr>
        <w:t>‐</w:t>
      </w:r>
      <w:r w:rsidRPr="00157A29">
        <w:rPr>
          <w:rFonts w:eastAsia="Calibri"/>
          <w:sz w:val="24"/>
          <w:szCs w:val="24"/>
        </w:rPr>
        <w:t>reduced red cells by filtration: comparison of a bedside filter and two blood bank filter systems. Transfusion. 1995;35(5):421–6.</w:t>
      </w:r>
    </w:p>
    <w:p w:rsidR="00967AF6" w:rsidRPr="00157A29" w:rsidRDefault="00967AF6" w:rsidP="00D538B4">
      <w:pPr>
        <w:pBdr>
          <w:top w:val="nil"/>
          <w:left w:val="nil"/>
          <w:bottom w:val="nil"/>
          <w:right w:val="nil"/>
          <w:between w:val="nil"/>
        </w:pBdr>
        <w:shd w:val="clear" w:color="auto" w:fill="FFFFFF"/>
        <w:spacing w:after="0"/>
        <w:ind w:left="360"/>
        <w:rPr>
          <w:rFonts w:eastAsia="Calibri"/>
          <w:sz w:val="24"/>
          <w:szCs w:val="24"/>
        </w:rPr>
      </w:pPr>
      <w:r w:rsidRPr="00157A29">
        <w:rPr>
          <w:rFonts w:eastAsia="Calibri"/>
          <w:b/>
          <w:i/>
          <w:sz w:val="24"/>
          <w:szCs w:val="24"/>
        </w:rPr>
        <w:t>Reason for exclusion:</w:t>
      </w:r>
      <w:r w:rsidRPr="00157A29">
        <w:rPr>
          <w:rFonts w:eastAsia="Calibri"/>
          <w:sz w:val="24"/>
          <w:szCs w:val="24"/>
        </w:rPr>
        <w:t xml:space="preserve"> Ineligible outcomes</w:t>
      </w:r>
      <w:r w:rsidR="005B30C9">
        <w:rPr>
          <w:rFonts w:eastAsia="Calibri"/>
          <w:sz w:val="24"/>
          <w:szCs w:val="24"/>
        </w:rPr>
        <w:t xml:space="preserve">. </w:t>
      </w:r>
      <w:r w:rsidR="00D538B4" w:rsidRPr="00FD0ED6">
        <w:rPr>
          <w:rFonts w:eastAsia="Calibri"/>
          <w:sz w:val="24"/>
          <w:szCs w:val="24"/>
        </w:rPr>
        <w:t>The outcomes analyzed were volume, hematocrit, total hemoglobin or full WBC content.</w:t>
      </w:r>
    </w:p>
    <w:p w:rsidR="00967AF6" w:rsidRPr="00157A29" w:rsidRDefault="00967AF6" w:rsidP="00967AF6">
      <w:pPr>
        <w:numPr>
          <w:ilvl w:val="0"/>
          <w:numId w:val="1"/>
        </w:numPr>
        <w:pBdr>
          <w:top w:val="nil"/>
          <w:left w:val="nil"/>
          <w:bottom w:val="nil"/>
          <w:right w:val="nil"/>
          <w:between w:val="nil"/>
        </w:pBdr>
        <w:shd w:val="clear" w:color="auto" w:fill="FFFFFF"/>
        <w:spacing w:after="0"/>
        <w:rPr>
          <w:rFonts w:eastAsia="Calibri"/>
          <w:sz w:val="24"/>
          <w:szCs w:val="24"/>
        </w:rPr>
      </w:pPr>
      <w:r w:rsidRPr="00157A29">
        <w:rPr>
          <w:rFonts w:eastAsia="Calibri"/>
          <w:sz w:val="24"/>
          <w:szCs w:val="24"/>
        </w:rPr>
        <w:t>Vamvakas EC, Blajchman MA. Prestorage versus poststorage white cell reduction for the prevention of the deleterious immunomodulatory effects of allogeneic blood transfusion. Transfus Med Rev. 2000;14(1):23–33.</w:t>
      </w:r>
    </w:p>
    <w:p w:rsidR="00344538" w:rsidRDefault="00967AF6" w:rsidP="008C76FC">
      <w:pPr>
        <w:spacing w:after="0"/>
        <w:rPr>
          <w:rFonts w:eastAsia="Calibri"/>
          <w:color w:val="FF0000"/>
          <w:sz w:val="24"/>
          <w:szCs w:val="24"/>
        </w:rPr>
      </w:pPr>
      <w:r w:rsidRPr="00157A29">
        <w:rPr>
          <w:rFonts w:eastAsia="Calibri"/>
          <w:b/>
          <w:i/>
          <w:sz w:val="24"/>
          <w:szCs w:val="24"/>
        </w:rPr>
        <w:t>Reason for exclusion:</w:t>
      </w:r>
      <w:r w:rsidRPr="00157A29">
        <w:rPr>
          <w:rFonts w:eastAsia="Calibri"/>
          <w:sz w:val="24"/>
          <w:szCs w:val="24"/>
        </w:rPr>
        <w:t xml:space="preserve"> </w:t>
      </w:r>
      <w:r w:rsidRPr="00FD0ED6">
        <w:rPr>
          <w:rFonts w:eastAsia="Calibri"/>
          <w:sz w:val="24"/>
          <w:szCs w:val="24"/>
        </w:rPr>
        <w:t>Ineligible study design, as it was a literature review with an expert opinion on the subject.</w:t>
      </w:r>
    </w:p>
    <w:p w:rsidR="008C76FC" w:rsidRDefault="008C76FC" w:rsidP="008C76FC">
      <w:pPr>
        <w:numPr>
          <w:ilvl w:val="0"/>
          <w:numId w:val="1"/>
        </w:numPr>
        <w:pBdr>
          <w:top w:val="nil"/>
          <w:left w:val="nil"/>
          <w:bottom w:val="nil"/>
          <w:right w:val="nil"/>
          <w:between w:val="nil"/>
        </w:pBdr>
        <w:shd w:val="clear" w:color="auto" w:fill="FFFFFF"/>
        <w:spacing w:after="0"/>
        <w:rPr>
          <w:rFonts w:eastAsia="Calibri"/>
          <w:sz w:val="24"/>
          <w:szCs w:val="24"/>
        </w:rPr>
      </w:pPr>
      <w:proofErr w:type="spellStart"/>
      <w:r w:rsidRPr="00FE2C2E">
        <w:rPr>
          <w:rFonts w:eastAsia="Calibri"/>
          <w:sz w:val="24"/>
          <w:szCs w:val="24"/>
          <w:lang w:val="pt-BR"/>
        </w:rPr>
        <w:t>Politis</w:t>
      </w:r>
      <w:proofErr w:type="spellEnd"/>
      <w:r w:rsidRPr="00FE2C2E">
        <w:rPr>
          <w:rFonts w:eastAsia="Calibri"/>
          <w:sz w:val="24"/>
          <w:szCs w:val="24"/>
          <w:lang w:val="pt-BR"/>
        </w:rPr>
        <w:t xml:space="preserve"> C, </w:t>
      </w:r>
      <w:proofErr w:type="spellStart"/>
      <w:r w:rsidRPr="00FE2C2E">
        <w:rPr>
          <w:rFonts w:eastAsia="Calibri"/>
          <w:sz w:val="24"/>
          <w:szCs w:val="24"/>
          <w:lang w:val="pt-BR"/>
        </w:rPr>
        <w:t>Stamoulis</w:t>
      </w:r>
      <w:proofErr w:type="spellEnd"/>
      <w:r w:rsidRPr="00FE2C2E">
        <w:rPr>
          <w:rFonts w:eastAsia="Calibri"/>
          <w:sz w:val="24"/>
          <w:szCs w:val="24"/>
          <w:lang w:val="pt-BR"/>
        </w:rPr>
        <w:t xml:space="preserve"> K, </w:t>
      </w:r>
      <w:proofErr w:type="spellStart"/>
      <w:r w:rsidRPr="00FE2C2E">
        <w:rPr>
          <w:rFonts w:eastAsia="Calibri"/>
          <w:sz w:val="24"/>
          <w:szCs w:val="24"/>
          <w:lang w:val="pt-BR"/>
        </w:rPr>
        <w:t>Grouzi</w:t>
      </w:r>
      <w:proofErr w:type="spellEnd"/>
      <w:r w:rsidRPr="00FE2C2E">
        <w:rPr>
          <w:rFonts w:eastAsia="Calibri"/>
          <w:sz w:val="24"/>
          <w:szCs w:val="24"/>
          <w:lang w:val="pt-BR"/>
        </w:rPr>
        <w:t xml:space="preserve"> E, </w:t>
      </w:r>
      <w:proofErr w:type="spellStart"/>
      <w:r w:rsidRPr="00FE2C2E">
        <w:rPr>
          <w:rFonts w:eastAsia="Calibri"/>
          <w:sz w:val="24"/>
          <w:szCs w:val="24"/>
          <w:lang w:val="pt-BR"/>
        </w:rPr>
        <w:t>Baka</w:t>
      </w:r>
      <w:proofErr w:type="spellEnd"/>
      <w:r w:rsidRPr="00FE2C2E">
        <w:rPr>
          <w:rFonts w:eastAsia="Calibri"/>
          <w:sz w:val="24"/>
          <w:szCs w:val="24"/>
          <w:lang w:val="pt-BR"/>
        </w:rPr>
        <w:t xml:space="preserve"> M, </w:t>
      </w:r>
      <w:proofErr w:type="spellStart"/>
      <w:r w:rsidRPr="00FE2C2E">
        <w:rPr>
          <w:rFonts w:eastAsia="Calibri"/>
          <w:sz w:val="24"/>
          <w:szCs w:val="24"/>
          <w:lang w:val="pt-BR"/>
        </w:rPr>
        <w:t>Apostolidou</w:t>
      </w:r>
      <w:proofErr w:type="spellEnd"/>
      <w:r w:rsidRPr="00FE2C2E">
        <w:rPr>
          <w:rFonts w:eastAsia="Calibri"/>
          <w:sz w:val="24"/>
          <w:szCs w:val="24"/>
          <w:lang w:val="pt-BR"/>
        </w:rPr>
        <w:t xml:space="preserve"> I, </w:t>
      </w:r>
      <w:proofErr w:type="spellStart"/>
      <w:r w:rsidRPr="00FE2C2E">
        <w:rPr>
          <w:rFonts w:eastAsia="Calibri"/>
          <w:sz w:val="24"/>
          <w:szCs w:val="24"/>
          <w:lang w:val="pt-BR"/>
        </w:rPr>
        <w:t>Baliaga</w:t>
      </w:r>
      <w:proofErr w:type="spellEnd"/>
      <w:r w:rsidRPr="00FE2C2E">
        <w:rPr>
          <w:rFonts w:eastAsia="Calibri"/>
          <w:sz w:val="24"/>
          <w:szCs w:val="24"/>
          <w:lang w:val="pt-BR"/>
        </w:rPr>
        <w:t xml:space="preserve"> S, et al. </w:t>
      </w:r>
      <w:r w:rsidRPr="008C76FC">
        <w:rPr>
          <w:rFonts w:eastAsia="Calibri"/>
          <w:sz w:val="24"/>
          <w:szCs w:val="24"/>
        </w:rPr>
        <w:t xml:space="preserve">Adverse reaction associated with the transfusion of blood components processed with different methods: The impact of automated pre-storage leukocyte depletion. </w:t>
      </w:r>
      <w:proofErr w:type="spellStart"/>
      <w:r w:rsidRPr="00157A29">
        <w:rPr>
          <w:rFonts w:eastAsia="Calibri"/>
          <w:sz w:val="24"/>
          <w:szCs w:val="24"/>
        </w:rPr>
        <w:t>Transfus</w:t>
      </w:r>
      <w:proofErr w:type="spellEnd"/>
      <w:r w:rsidRPr="00157A29">
        <w:rPr>
          <w:rFonts w:eastAsia="Calibri"/>
          <w:sz w:val="24"/>
          <w:szCs w:val="24"/>
        </w:rPr>
        <w:t xml:space="preserve"> Med Rev. 20</w:t>
      </w:r>
      <w:r>
        <w:rPr>
          <w:rFonts w:eastAsia="Calibri"/>
          <w:sz w:val="24"/>
          <w:szCs w:val="24"/>
        </w:rPr>
        <w:t>22</w:t>
      </w:r>
      <w:r w:rsidRPr="00157A29">
        <w:rPr>
          <w:rFonts w:eastAsia="Calibri"/>
          <w:sz w:val="24"/>
          <w:szCs w:val="24"/>
        </w:rPr>
        <w:t>;</w:t>
      </w:r>
      <w:r>
        <w:rPr>
          <w:rFonts w:eastAsia="Calibri"/>
          <w:sz w:val="24"/>
          <w:szCs w:val="24"/>
        </w:rPr>
        <w:t>32</w:t>
      </w:r>
      <w:r w:rsidRPr="00157A29">
        <w:rPr>
          <w:rFonts w:eastAsia="Calibri"/>
          <w:sz w:val="24"/>
          <w:szCs w:val="24"/>
        </w:rPr>
        <w:t>(1):</w:t>
      </w:r>
      <w:r>
        <w:rPr>
          <w:rFonts w:eastAsia="Calibri"/>
          <w:sz w:val="24"/>
          <w:szCs w:val="24"/>
        </w:rPr>
        <w:t>10-11</w:t>
      </w:r>
      <w:r w:rsidRPr="00157A29">
        <w:rPr>
          <w:rFonts w:eastAsia="Calibri"/>
          <w:sz w:val="24"/>
          <w:szCs w:val="24"/>
        </w:rPr>
        <w:t>.</w:t>
      </w:r>
    </w:p>
    <w:p w:rsidR="008C76FC" w:rsidRPr="008C76FC" w:rsidRDefault="008C76FC" w:rsidP="008C76FC">
      <w:pPr>
        <w:spacing w:after="0"/>
        <w:rPr>
          <w:rFonts w:eastAsia="Calibri"/>
          <w:color w:val="FF0000"/>
          <w:sz w:val="24"/>
          <w:szCs w:val="24"/>
        </w:rPr>
      </w:pPr>
      <w:r w:rsidRPr="008C76FC">
        <w:rPr>
          <w:rFonts w:eastAsia="Calibri"/>
          <w:b/>
          <w:i/>
          <w:sz w:val="24"/>
          <w:szCs w:val="24"/>
        </w:rPr>
        <w:lastRenderedPageBreak/>
        <w:t>Reason for exclusion:</w:t>
      </w:r>
      <w:r w:rsidRPr="008C76FC">
        <w:rPr>
          <w:rFonts w:eastAsia="Calibri"/>
          <w:sz w:val="24"/>
          <w:szCs w:val="24"/>
        </w:rPr>
        <w:t xml:space="preserve"> </w:t>
      </w:r>
      <w:r w:rsidRPr="00FD0ED6">
        <w:rPr>
          <w:rFonts w:eastAsia="Calibri"/>
          <w:sz w:val="24"/>
          <w:szCs w:val="24"/>
        </w:rPr>
        <w:t>Missing data. Poster with insufficient data and no response from the main author.</w:t>
      </w:r>
      <w:bookmarkStart w:id="0" w:name="_GoBack"/>
      <w:bookmarkEnd w:id="0"/>
    </w:p>
    <w:sectPr w:rsidR="008C76FC" w:rsidRPr="008C76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220E5E"/>
    <w:multiLevelType w:val="multilevel"/>
    <w:tmpl w:val="ABA42388"/>
    <w:lvl w:ilvl="0">
      <w:start w:val="1"/>
      <w:numFmt w:val="decimal"/>
      <w:lvlText w:val="%1."/>
      <w:lvlJc w:val="left"/>
      <w:pPr>
        <w:ind w:left="360" w:hanging="360"/>
      </w:pPr>
      <w:rPr>
        <w:rFonts w:ascii="Arial" w:hAnsi="Arial" w:cs="Arial"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E7B"/>
    <w:rsid w:val="00330C58"/>
    <w:rsid w:val="005B30C9"/>
    <w:rsid w:val="00610F76"/>
    <w:rsid w:val="00611E7B"/>
    <w:rsid w:val="006F6FD6"/>
    <w:rsid w:val="008C76FC"/>
    <w:rsid w:val="00967AF6"/>
    <w:rsid w:val="00C54EA7"/>
    <w:rsid w:val="00C55D78"/>
    <w:rsid w:val="00D538B4"/>
    <w:rsid w:val="00EB6F88"/>
    <w:rsid w:val="00EF5B26"/>
    <w:rsid w:val="00FD0ED6"/>
    <w:rsid w:val="00FE2C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7A071B-7107-4493-9CEC-3CFAB2DB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E7B"/>
    <w:pPr>
      <w:spacing w:after="240" w:line="360" w:lineRule="auto"/>
      <w:jc w:val="both"/>
    </w:pPr>
    <w:rPr>
      <w:rFonts w:ascii="Arial" w:eastAsia="Arial" w:hAnsi="Arial" w:cs="Arial"/>
      <w:sz w:val="20"/>
      <w:szCs w:val="20"/>
      <w:lang w:val="en-US" w:eastAsia="pt-BR"/>
    </w:rPr>
  </w:style>
  <w:style w:type="paragraph" w:styleId="Ttulo1">
    <w:name w:val="heading 1"/>
    <w:basedOn w:val="Normal"/>
    <w:next w:val="Normal"/>
    <w:link w:val="Ttulo1Char"/>
    <w:uiPriority w:val="9"/>
    <w:qFormat/>
    <w:rsid w:val="00967A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unhideWhenUsed/>
    <w:qFormat/>
    <w:rsid w:val="00611E7B"/>
    <w:pPr>
      <w:widowControl w:val="0"/>
      <w:autoSpaceDE w:val="0"/>
      <w:autoSpaceDN w:val="0"/>
      <w:adjustRightInd w:val="0"/>
      <w:spacing w:before="120" w:after="120" w:line="240" w:lineRule="auto"/>
      <w:outlineLvl w:val="2"/>
    </w:pPr>
    <w:rPr>
      <w:rFonts w:asciiTheme="minorHAnsi" w:hAnsiTheme="minorHAnsi"/>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611E7B"/>
    <w:rPr>
      <w:rFonts w:eastAsia="Arial" w:cs="Arial"/>
      <w:b/>
      <w:szCs w:val="20"/>
      <w:lang w:val="en-US" w:eastAsia="pt-BR"/>
    </w:rPr>
  </w:style>
  <w:style w:type="character" w:customStyle="1" w:styleId="Ttulo1Char">
    <w:name w:val="Título 1 Char"/>
    <w:basedOn w:val="Fontepargpadro"/>
    <w:link w:val="Ttulo1"/>
    <w:uiPriority w:val="9"/>
    <w:rsid w:val="00967AF6"/>
    <w:rPr>
      <w:rFonts w:asciiTheme="majorHAnsi" w:eastAsiaTheme="majorEastAsia" w:hAnsiTheme="majorHAnsi" w:cstheme="majorBidi"/>
      <w:color w:val="2F5496" w:themeColor="accent1" w:themeShade="BF"/>
      <w:sz w:val="32"/>
      <w:szCs w:val="32"/>
      <w:lang w:val="en-US" w:eastAsia="pt-BR"/>
    </w:rPr>
  </w:style>
  <w:style w:type="paragraph" w:styleId="PargrafodaLista">
    <w:name w:val="List Paragraph"/>
    <w:basedOn w:val="Normal"/>
    <w:uiPriority w:val="34"/>
    <w:qFormat/>
    <w:rsid w:val="008C76FC"/>
    <w:pPr>
      <w:ind w:left="720"/>
      <w:contextualSpacing/>
    </w:pPr>
  </w:style>
  <w:style w:type="paragraph" w:styleId="Textodebalo">
    <w:name w:val="Balloon Text"/>
    <w:basedOn w:val="Normal"/>
    <w:link w:val="TextodebaloChar"/>
    <w:uiPriority w:val="99"/>
    <w:semiHidden/>
    <w:unhideWhenUsed/>
    <w:rsid w:val="00FD0ED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0ED6"/>
    <w:rPr>
      <w:rFonts w:ascii="Segoe UI" w:eastAsia="Arial" w:hAnsi="Segoe UI" w:cs="Segoe UI"/>
      <w:sz w:val="18"/>
      <w:szCs w:val="18"/>
      <w:lang w:val="en-US"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4223004">
      <w:bodyDiv w:val="1"/>
      <w:marLeft w:val="0"/>
      <w:marRight w:val="0"/>
      <w:marTop w:val="0"/>
      <w:marBottom w:val="0"/>
      <w:divBdr>
        <w:top w:val="none" w:sz="0" w:space="0" w:color="auto"/>
        <w:left w:val="none" w:sz="0" w:space="0" w:color="auto"/>
        <w:bottom w:val="none" w:sz="0" w:space="0" w:color="auto"/>
        <w:right w:val="none" w:sz="0" w:space="0" w:color="auto"/>
      </w:divBdr>
    </w:div>
    <w:div w:id="1960522975">
      <w:bodyDiv w:val="1"/>
      <w:marLeft w:val="0"/>
      <w:marRight w:val="0"/>
      <w:marTop w:val="0"/>
      <w:marBottom w:val="0"/>
      <w:divBdr>
        <w:top w:val="none" w:sz="0" w:space="0" w:color="auto"/>
        <w:left w:val="none" w:sz="0" w:space="0" w:color="auto"/>
        <w:bottom w:val="none" w:sz="0" w:space="0" w:color="auto"/>
        <w:right w:val="none" w:sz="0" w:space="0" w:color="auto"/>
      </w:divBdr>
    </w:div>
    <w:div w:id="19801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4</Pages>
  <Words>978</Words>
  <Characters>5285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Dejigov</dc:creator>
  <cp:keywords/>
  <dc:description/>
  <cp:lastModifiedBy>NATASHA DEJIGOV MONTEIRO DA SILVA</cp:lastModifiedBy>
  <cp:revision>7</cp:revision>
  <dcterms:created xsi:type="dcterms:W3CDTF">2023-10-08T16:15:00Z</dcterms:created>
  <dcterms:modified xsi:type="dcterms:W3CDTF">2023-12-08T10:36:00Z</dcterms:modified>
</cp:coreProperties>
</file>