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48A" w:rsidRPr="00487BDA" w:rsidRDefault="00A57712" w:rsidP="00072F35">
      <w:pPr>
        <w:rPr>
          <w:rFonts w:ascii="Arial" w:hAnsi="Arial" w:cs="Arial"/>
          <w:sz w:val="24"/>
          <w:szCs w:val="24"/>
        </w:rPr>
      </w:pPr>
      <w:r w:rsidRPr="00487BDA">
        <w:rPr>
          <w:rFonts w:ascii="Arial" w:eastAsia="Calibri" w:hAnsi="Arial" w:cs="Arial"/>
          <w:b/>
          <w:sz w:val="24"/>
          <w:szCs w:val="24"/>
        </w:rPr>
        <w:t xml:space="preserve">Appendix IV: </w:t>
      </w:r>
      <w:r w:rsidR="00072F35" w:rsidRPr="00487BDA">
        <w:rPr>
          <w:rFonts w:ascii="Arial" w:eastAsia="Calibri" w:hAnsi="Arial" w:cs="Arial"/>
          <w:b/>
          <w:sz w:val="24"/>
          <w:szCs w:val="24"/>
        </w:rPr>
        <w:t>Summary of Findings</w:t>
      </w:r>
    </w:p>
    <w:tbl>
      <w:tblPr>
        <w:tblW w:w="9885" w:type="dxa"/>
        <w:tblInd w:w="-6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51"/>
        <w:gridCol w:w="1852"/>
        <w:gridCol w:w="1276"/>
        <w:gridCol w:w="1417"/>
        <w:gridCol w:w="1383"/>
        <w:gridCol w:w="2006"/>
      </w:tblGrid>
      <w:tr w:rsidR="00072F35" w:rsidRPr="00487BDA" w:rsidTr="00072F35">
        <w:trPr>
          <w:trHeight w:val="801"/>
        </w:trPr>
        <w:tc>
          <w:tcPr>
            <w:tcW w:w="9885" w:type="dxa"/>
            <w:gridSpan w:val="6"/>
          </w:tcPr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Effect of post-storage filters vs. pre-storage filters for leukoreduction of blood components on clinical outcomes: A systematic review</w:t>
            </w:r>
          </w:p>
          <w:p w:rsidR="00072F35" w:rsidRPr="00487BDA" w:rsidRDefault="00072F35" w:rsidP="0059149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 xml:space="preserve">Bibliography: 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Silva NDMD, Nukui Y, Takahashi J, Cruz DALMD, Nogueira LS. Effect of post-storage filters vs. pre-storage filters for leukoreduction of blood components on clinical outcomes: a systematic review. </w:t>
            </w:r>
            <w:r w:rsidR="0059149C">
              <w:rPr>
                <w:rFonts w:ascii="Arial" w:eastAsia="Calibri" w:hAnsi="Arial" w:cs="Arial"/>
                <w:sz w:val="18"/>
                <w:szCs w:val="18"/>
              </w:rPr>
              <w:t>Systematic Reviews</w:t>
            </w:r>
            <w:bookmarkStart w:id="0" w:name="_GoBack"/>
            <w:bookmarkEnd w:id="0"/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. 202x xx; xx(x):xxxx-xxxx. Doi: </w:t>
            </w:r>
            <w:r w:rsidRPr="00487BDA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xxxxxxxxxxxxx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</w:tr>
      <w:tr w:rsidR="00072F35" w:rsidRPr="00487BDA" w:rsidTr="00072F35">
        <w:trPr>
          <w:trHeight w:val="824"/>
        </w:trPr>
        <w:tc>
          <w:tcPr>
            <w:tcW w:w="9885" w:type="dxa"/>
            <w:gridSpan w:val="6"/>
          </w:tcPr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Population: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 Patients who received Red Blood Cell (RBC) or Platelet Concentrate (PC) transfusions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Settings: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 Hospital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 xml:space="preserve">Intervention: 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Filter pre-storage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Comparison: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 Filter post-storage</w:t>
            </w:r>
          </w:p>
        </w:tc>
      </w:tr>
      <w:tr w:rsidR="00072F35" w:rsidRPr="00487BDA" w:rsidTr="00001C7E">
        <w:trPr>
          <w:trHeight w:val="401"/>
        </w:trPr>
        <w:tc>
          <w:tcPr>
            <w:tcW w:w="1951" w:type="dxa"/>
            <w:vMerge w:val="restart"/>
            <w:shd w:val="clear" w:color="auto" w:fill="3271A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Outcomes</w:t>
            </w:r>
          </w:p>
        </w:tc>
        <w:tc>
          <w:tcPr>
            <w:tcW w:w="1852" w:type="dxa"/>
            <w:vMerge w:val="restart"/>
            <w:shd w:val="clear" w:color="auto" w:fill="3271A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No. of transfusions</w:t>
            </w: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br/>
              <w:t>(studies)</w:t>
            </w: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br/>
              <w:t>Follow-up</w:t>
            </w:r>
          </w:p>
        </w:tc>
        <w:tc>
          <w:tcPr>
            <w:tcW w:w="1276" w:type="dxa"/>
            <w:vMerge w:val="restart"/>
            <w:shd w:val="clear" w:color="auto" w:fill="3271A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Certainty of the evidence</w:t>
            </w: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br/>
              <w:t>(GRADE)</w:t>
            </w:r>
          </w:p>
        </w:tc>
        <w:tc>
          <w:tcPr>
            <w:tcW w:w="1417" w:type="dxa"/>
            <w:vMerge w:val="restart"/>
            <w:shd w:val="clear" w:color="auto" w:fill="3271A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Relative effect</w:t>
            </w: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br/>
              <w:t>(95% CI)</w:t>
            </w:r>
          </w:p>
        </w:tc>
        <w:tc>
          <w:tcPr>
            <w:tcW w:w="3389" w:type="dxa"/>
            <w:gridSpan w:val="2"/>
            <w:shd w:val="clear" w:color="auto" w:fill="BFBFBF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Anticipated absolute effects</w:t>
            </w:r>
          </w:p>
        </w:tc>
      </w:tr>
      <w:tr w:rsidR="00072F35" w:rsidRPr="00487BDA" w:rsidTr="00001C7E">
        <w:trPr>
          <w:trHeight w:val="747"/>
        </w:trPr>
        <w:tc>
          <w:tcPr>
            <w:tcW w:w="1951" w:type="dxa"/>
            <w:vMerge/>
            <w:shd w:val="clear" w:color="auto" w:fill="3271AA"/>
            <w:vAlign w:val="center"/>
          </w:tcPr>
          <w:p w:rsidR="00072F35" w:rsidRPr="00487BDA" w:rsidRDefault="00072F35" w:rsidP="00512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852" w:type="dxa"/>
            <w:vMerge/>
            <w:shd w:val="clear" w:color="auto" w:fill="3271AA"/>
            <w:vAlign w:val="center"/>
          </w:tcPr>
          <w:p w:rsidR="00072F35" w:rsidRPr="00487BDA" w:rsidRDefault="00072F35" w:rsidP="00512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3271AA"/>
            <w:vAlign w:val="center"/>
          </w:tcPr>
          <w:p w:rsidR="00072F35" w:rsidRPr="00487BDA" w:rsidRDefault="00072F35" w:rsidP="00512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3271AA"/>
            <w:vAlign w:val="center"/>
          </w:tcPr>
          <w:p w:rsidR="00072F35" w:rsidRPr="00487BDA" w:rsidRDefault="00072F35" w:rsidP="00512B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383" w:type="dxa"/>
            <w:shd w:val="clear" w:color="auto" w:fill="BFBFBF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Risk with post-storage filter (bedside)</w:t>
            </w:r>
          </w:p>
        </w:tc>
        <w:tc>
          <w:tcPr>
            <w:tcW w:w="2006" w:type="dxa"/>
            <w:shd w:val="clear" w:color="auto" w:fill="BFBFBF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Risk difference with pre-storage filter ("bench" or in-line)</w:t>
            </w:r>
          </w:p>
        </w:tc>
      </w:tr>
      <w:tr w:rsidR="00072F35" w:rsidRPr="00487BDA" w:rsidTr="00072F35">
        <w:trPr>
          <w:trHeight w:val="203"/>
        </w:trPr>
        <w:tc>
          <w:tcPr>
            <w:tcW w:w="9885" w:type="dxa"/>
            <w:gridSpan w:val="6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For Red Blood Cell (RBC) Transfusions</w:t>
            </w:r>
          </w:p>
        </w:tc>
      </w:tr>
      <w:tr w:rsidR="00072F35" w:rsidRPr="00487BDA" w:rsidTr="00001C7E">
        <w:trPr>
          <w:trHeight w:val="76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Febrile non-hemolytic transfusion reaction (FNHTR)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263624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(5 QESs</w:t>
            </w:r>
            <w:r w:rsidR="00001C7E" w:rsidRPr="00001C7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20,43-46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Cambria Math" w:eastAsia="Cambria Math" w:hAnsi="Cambria Math" w:cs="Cambria Math"/>
                <w:sz w:val="18"/>
                <w:szCs w:val="18"/>
              </w:rPr>
              <w:t>⨁⨁</w:t>
            </w:r>
            <w:r w:rsidRPr="00487BDA">
              <w:rPr>
                <w:rFonts w:ascii="Cambria Math" w:eastAsia="MS Mincho" w:hAnsi="Cambria Math" w:cs="Cambria Math"/>
                <w:sz w:val="18"/>
                <w:szCs w:val="18"/>
              </w:rPr>
              <w:t>◯◯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Low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RR 0.49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(0.41 to 0.59)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344 per 100,000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176 fewer per 100,000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(203 fewer to 141 fewer)</w:t>
            </w:r>
          </w:p>
        </w:tc>
      </w:tr>
      <w:tr w:rsidR="00072F35" w:rsidRPr="00487BDA" w:rsidTr="00001C7E">
        <w:trPr>
          <w:trHeight w:val="39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Infection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</w:tr>
      <w:tr w:rsidR="00072F35" w:rsidRPr="00487BDA" w:rsidTr="00001C7E">
        <w:trPr>
          <w:trHeight w:val="39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Length of hospital stay 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mbria Math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</w:tr>
      <w:tr w:rsidR="00072F35" w:rsidRPr="00487BDA" w:rsidTr="00001C7E">
        <w:trPr>
          <w:trHeight w:val="365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Hospital death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mbria Math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</w:tr>
      <w:tr w:rsidR="00072F35" w:rsidRPr="00487BDA" w:rsidTr="00072F35">
        <w:trPr>
          <w:trHeight w:val="203"/>
        </w:trPr>
        <w:tc>
          <w:tcPr>
            <w:tcW w:w="9885" w:type="dxa"/>
            <w:gridSpan w:val="6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For Platelet Concentrate (PC) Transfusions</w:t>
            </w:r>
          </w:p>
        </w:tc>
      </w:tr>
      <w:tr w:rsidR="00072F35" w:rsidRPr="00487BDA" w:rsidTr="00001C7E">
        <w:trPr>
          <w:trHeight w:val="25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Febrile non-hemolytic transfusion reaction (FNHTR)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81349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(4 QESs</w:t>
            </w:r>
            <w:r w:rsidR="00001C7E" w:rsidRPr="00001C7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19,44,45,47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Cambria Math" w:eastAsia="Cambria Math" w:hAnsi="Cambria Math" w:cs="Cambria Math"/>
                <w:sz w:val="18"/>
                <w:szCs w:val="18"/>
              </w:rPr>
              <w:t>⨁</w:t>
            </w:r>
            <w:r w:rsidRPr="00487BDA">
              <w:rPr>
                <w:rFonts w:ascii="Cambria Math" w:eastAsia="MS Mincho" w:hAnsi="Cambria Math" w:cs="Cambria Math"/>
                <w:sz w:val="18"/>
                <w:szCs w:val="18"/>
              </w:rPr>
              <w:t>◯◯◯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Very low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c,d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RR 0.16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(0.12 to 0.22)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1,010 per 100,000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848 fewer per 100,000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(888 fewer to 788 more)</w:t>
            </w:r>
          </w:p>
        </w:tc>
      </w:tr>
      <w:tr w:rsidR="00072F35" w:rsidRPr="00487BDA" w:rsidTr="00001C7E">
        <w:trPr>
          <w:trHeight w:val="25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Infection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205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(1 QES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</w:t>
            </w:r>
            <w:r w:rsidR="00001C7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1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Cambria Math" w:eastAsia="Calibri" w:hAnsi="Cambria Math" w:cs="Cambria Math"/>
                <w:sz w:val="18"/>
                <w:szCs w:val="18"/>
              </w:rPr>
              <w:t>⨁⨁</w:t>
            </w:r>
            <w:r w:rsidRPr="00487BDA">
              <w:rPr>
                <w:rFonts w:ascii="Cambria Math" w:eastAsia="MS Gothic" w:hAnsi="Cambria Math" w:cs="Cambria Math"/>
                <w:sz w:val="18"/>
                <w:szCs w:val="18"/>
              </w:rPr>
              <w:t>◯◯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mbria Math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Low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e,f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RR 0.62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(0.44 to 0.87)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514 per 1,000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195 fewer per 1,000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(288 fewer to 67 fewer)</w:t>
            </w:r>
          </w:p>
        </w:tc>
      </w:tr>
      <w:tr w:rsidR="00072F35" w:rsidRPr="00487BDA" w:rsidTr="00001C7E">
        <w:trPr>
          <w:trHeight w:val="25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Infection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572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(1 RCT</w:t>
            </w:r>
            <w:r w:rsidR="00001C7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25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Cambria Math" w:eastAsia="Calibri" w:hAnsi="Cambria Math" w:cs="Cambria Math"/>
                <w:sz w:val="18"/>
                <w:szCs w:val="18"/>
              </w:rPr>
              <w:t>⨁⨁</w:t>
            </w:r>
            <w:r w:rsidRPr="00487BDA">
              <w:rPr>
                <w:rFonts w:ascii="Cambria Math" w:eastAsia="MS Gothic" w:hAnsi="Cambria Math" w:cs="Cambria Math"/>
                <w:sz w:val="18"/>
                <w:szCs w:val="18"/>
              </w:rPr>
              <w:t>◯◯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mbria Math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Low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e,g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RR 0.82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(0.65 to 1.04)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206 per 1,000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37 fewer per 1000</w:t>
            </w:r>
          </w:p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(72 fewer to 8 more)</w:t>
            </w:r>
          </w:p>
        </w:tc>
      </w:tr>
      <w:tr w:rsidR="00072F35" w:rsidRPr="00487BDA" w:rsidTr="00001C7E">
        <w:trPr>
          <w:trHeight w:val="25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Length of hospital stay 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572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(1 RCT</w:t>
            </w:r>
            <w:r w:rsidR="00001C7E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25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Cambria Math" w:eastAsia="Cambria Math" w:hAnsi="Cambria Math" w:cs="Cambria Math"/>
                <w:sz w:val="18"/>
                <w:szCs w:val="18"/>
              </w:rPr>
              <w:t>⨁⨁⨁</w:t>
            </w:r>
            <w:r w:rsidRPr="00487BDA">
              <w:rPr>
                <w:rFonts w:ascii="Cambria Math" w:eastAsia="MS Mincho" w:hAnsi="Cambria Math" w:cs="Cambria Math"/>
                <w:sz w:val="18"/>
                <w:szCs w:val="18"/>
              </w:rPr>
              <w:t>◯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Moderate</w:t>
            </w:r>
            <w:r w:rsidRPr="00487BDA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e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-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The mean length of stay was 10.7 days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b/>
                <w:sz w:val="18"/>
                <w:szCs w:val="18"/>
              </w:rPr>
              <w:t>MD 0.1 days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t xml:space="preserve"> lower</w:t>
            </w:r>
            <w:r w:rsidRPr="00487BDA">
              <w:rPr>
                <w:rFonts w:ascii="Arial" w:eastAsia="Calibri" w:hAnsi="Arial" w:cs="Arial"/>
                <w:sz w:val="18"/>
                <w:szCs w:val="18"/>
              </w:rPr>
              <w:br/>
              <w:t>(1.29 lower to 1.09 higher)</w:t>
            </w:r>
          </w:p>
        </w:tc>
      </w:tr>
      <w:tr w:rsidR="00072F35" w:rsidRPr="00487BDA" w:rsidTr="00001C7E">
        <w:trPr>
          <w:trHeight w:val="259"/>
        </w:trPr>
        <w:tc>
          <w:tcPr>
            <w:tcW w:w="1951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Hospital death</w:t>
            </w:r>
          </w:p>
        </w:tc>
        <w:tc>
          <w:tcPr>
            <w:tcW w:w="1852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27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417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1383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  <w:tc>
          <w:tcPr>
            <w:tcW w:w="2006" w:type="dxa"/>
            <w:vAlign w:val="center"/>
          </w:tcPr>
          <w:p w:rsidR="00072F35" w:rsidRPr="00487BDA" w:rsidRDefault="00072F35" w:rsidP="00512B0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87BDA">
              <w:rPr>
                <w:rFonts w:ascii="Arial" w:eastAsia="Calibri" w:hAnsi="Arial" w:cs="Arial"/>
                <w:sz w:val="18"/>
                <w:szCs w:val="18"/>
              </w:rPr>
              <w:t>not reported</w:t>
            </w:r>
          </w:p>
        </w:tc>
      </w:tr>
      <w:tr w:rsidR="00072F35" w:rsidRPr="00487BDA" w:rsidTr="00072F35">
        <w:trPr>
          <w:trHeight w:val="259"/>
        </w:trPr>
        <w:tc>
          <w:tcPr>
            <w:tcW w:w="9885" w:type="dxa"/>
            <w:gridSpan w:val="6"/>
          </w:tcPr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*The risk in the intervention group (and its 95% confidence interval) is based on the assumed risk in the comparison group and the relative effect of the intervention (and its 95% CI).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CI: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Confidence Interval; </w:t>
            </w:r>
            <w:r w:rsidRPr="00487BDA">
              <w:rPr>
                <w:rFonts w:ascii="Arial" w:eastAsia="Calibri" w:hAnsi="Arial" w:cs="Arial"/>
                <w:b/>
                <w:sz w:val="16"/>
                <w:szCs w:val="18"/>
              </w:rPr>
              <w:t>RR:</w:t>
            </w:r>
            <w:r w:rsidRPr="00487BDA">
              <w:rPr>
                <w:rFonts w:ascii="Arial" w:eastAsia="Calibri" w:hAnsi="Arial" w:cs="Arial"/>
                <w:sz w:val="16"/>
                <w:szCs w:val="18"/>
              </w:rPr>
              <w:t xml:space="preserve"> Relative Risk;</w:t>
            </w:r>
            <w:r w:rsidRPr="00487BDA">
              <w:rPr>
                <w:rFonts w:ascii="Arial" w:eastAsia="Calibri" w:hAnsi="Arial" w:cs="Arial"/>
                <w:sz w:val="14"/>
                <w:szCs w:val="16"/>
              </w:rPr>
              <w:t xml:space="preserve"> </w:t>
            </w: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MD: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Mean Difference; </w:t>
            </w: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RCT: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Randomized Clinical Trial; </w:t>
            </w: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QES: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Quasi-Experimental Study</w:t>
            </w:r>
          </w:p>
        </w:tc>
      </w:tr>
      <w:tr w:rsidR="00072F35" w:rsidRPr="00487BDA" w:rsidTr="00072F35">
        <w:trPr>
          <w:trHeight w:val="259"/>
        </w:trPr>
        <w:tc>
          <w:tcPr>
            <w:tcW w:w="9885" w:type="dxa"/>
            <w:gridSpan w:val="6"/>
            <w:tcBorders>
              <w:bottom w:val="nil"/>
            </w:tcBorders>
          </w:tcPr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GRADE Working Group grades of evidence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High certainty: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we are very confident that the true effect lies close to that of the estimate of the effect.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Moderate certainty: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we are moderately confident in the effect estimate: the true effect is likely to be close to the estimate of the effect, but there is a possibility that it is substantially different.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Low certainty: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our confidence in the effect estimate is limited: the true effect may be substantially different from the estimate of the effect.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Very low certainty: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we have very little confidence in the effect estimate: the true effect is likely to be substantially different from the estimate of effect.</w:t>
            </w:r>
          </w:p>
        </w:tc>
      </w:tr>
      <w:tr w:rsidR="00072F35" w:rsidRPr="00487BDA" w:rsidTr="00072F35">
        <w:trPr>
          <w:trHeight w:val="259"/>
        </w:trPr>
        <w:tc>
          <w:tcPr>
            <w:tcW w:w="9885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b/>
                <w:sz w:val="16"/>
                <w:szCs w:val="16"/>
              </w:rPr>
              <w:t>Explanations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a. Three of the five included studies have an unclear risk of bias. There was no randomization, allocation concealment, or blinding.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b.  Important heterogeneity (I</w:t>
            </w:r>
            <w:r w:rsidRPr="00487BDA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statistic: 66%); and imprecision reflected in the wide CI.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c. One of the four included studies has an unclear risk of bias. None of them performed randomization, allocation concealment, or blinding.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d. Important heterogeneity (I</w:t>
            </w:r>
            <w:r w:rsidRPr="00487BDA">
              <w:rPr>
                <w:rFonts w:ascii="Arial" w:eastAsia="Calibri" w:hAnsi="Arial" w:cs="Arial"/>
                <w:sz w:val="16"/>
                <w:szCs w:val="16"/>
                <w:vertAlign w:val="superscript"/>
              </w:rPr>
              <w:t>2</w:t>
            </w: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 statistic: 93%); and imprecision reflected in the wide CI.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eastAsia="Calibri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>e. Sample size was less than 300 events.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87BDA">
              <w:rPr>
                <w:rFonts w:ascii="Arial" w:eastAsia="Calibri" w:hAnsi="Arial" w:cs="Arial"/>
                <w:sz w:val="16"/>
                <w:szCs w:val="16"/>
              </w:rPr>
              <w:t xml:space="preserve">f. </w:t>
            </w:r>
            <w:r w:rsidRPr="00487BDA">
              <w:rPr>
                <w:rFonts w:ascii="Arial" w:hAnsi="Arial" w:cs="Arial"/>
                <w:sz w:val="16"/>
                <w:szCs w:val="16"/>
              </w:rPr>
              <w:t>The study did not perform randomization, allocation concealment, or blinding.</w:t>
            </w:r>
          </w:p>
          <w:p w:rsidR="00072F35" w:rsidRPr="00487BDA" w:rsidRDefault="00072F35" w:rsidP="00512B0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87BDA">
              <w:rPr>
                <w:rFonts w:ascii="Arial" w:hAnsi="Arial" w:cs="Arial"/>
                <w:sz w:val="16"/>
                <w:szCs w:val="16"/>
              </w:rPr>
              <w:t>g. Imprecision reflected in the wide CI.</w:t>
            </w:r>
          </w:p>
        </w:tc>
      </w:tr>
    </w:tbl>
    <w:p w:rsidR="00B51B8C" w:rsidRPr="00B51B8C" w:rsidRDefault="0059149C" w:rsidP="00B51B8C">
      <w:pPr>
        <w:spacing w:before="240"/>
        <w:rPr>
          <w:rFonts w:ascii="Arial" w:eastAsia="Calibri" w:hAnsi="Arial" w:cs="Arial"/>
          <w:sz w:val="18"/>
          <w:szCs w:val="18"/>
        </w:rPr>
      </w:pPr>
      <w:hyperlink r:id="rId4" w:anchor="/isof/isof_71f42941-8fb4-4ff6-8d09-09dceeea6a45-1682097257143" w:history="1">
        <w:r w:rsidR="00B51B8C" w:rsidRPr="00B51B8C">
          <w:rPr>
            <w:rStyle w:val="Hyperlink"/>
            <w:rFonts w:ascii="Arial" w:eastAsia="Calibri" w:hAnsi="Arial" w:cs="Arial"/>
            <w:sz w:val="18"/>
            <w:szCs w:val="18"/>
          </w:rPr>
          <w:t>https://gdt.gradepro.org/presentations/#/isof/isof_71f42941-8fb4-4ff6-8d09-09dceeea6a45-1682097257143</w:t>
        </w:r>
      </w:hyperlink>
    </w:p>
    <w:p w:rsidR="00B51B8C" w:rsidRPr="00B51B8C" w:rsidRDefault="0059149C" w:rsidP="00B51B8C">
      <w:pPr>
        <w:spacing w:before="240"/>
        <w:rPr>
          <w:rFonts w:ascii="Arial" w:hAnsi="Arial" w:cs="Arial"/>
        </w:rPr>
      </w:pPr>
      <w:hyperlink r:id="rId5" w:anchor="/isof/isof_58cf1c2c-499c-49b4-baf0-42071b605ee8-1681587229438" w:history="1">
        <w:r w:rsidR="00B51B8C" w:rsidRPr="00B51B8C">
          <w:rPr>
            <w:rStyle w:val="Hyperlink"/>
            <w:rFonts w:ascii="Arial" w:eastAsia="Calibri" w:hAnsi="Arial" w:cs="Arial"/>
            <w:sz w:val="18"/>
            <w:szCs w:val="18"/>
          </w:rPr>
          <w:t>https://gdt.gradepro.org/presentations/#/isof/isof_58cf1c2c-499c-49b4-baf0-42071b605ee8-1681587229438</w:t>
        </w:r>
      </w:hyperlink>
    </w:p>
    <w:sectPr w:rsidR="00B51B8C" w:rsidRPr="00B51B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F35"/>
    <w:rsid w:val="00001C7E"/>
    <w:rsid w:val="00072F35"/>
    <w:rsid w:val="0010448A"/>
    <w:rsid w:val="00487BDA"/>
    <w:rsid w:val="0059149C"/>
    <w:rsid w:val="00A57712"/>
    <w:rsid w:val="00B5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40DC"/>
  <w15:chartTrackingRefBased/>
  <w15:docId w15:val="{A2239376-DC39-442E-A503-A7D6E4D5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51B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dt.gradepro.org/presentations/" TargetMode="External"/><Relationship Id="rId4" Type="http://schemas.openxmlformats.org/officeDocument/2006/relationships/hyperlink" Target="https://gdt.gradepro.org/presentations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635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DEJIGOV MONTEIRO DA SILVA</dc:creator>
  <cp:keywords/>
  <dc:description/>
  <cp:lastModifiedBy>NATASHA DEJIGOV MONTEIRO DA SILVA</cp:lastModifiedBy>
  <cp:revision>6</cp:revision>
  <dcterms:created xsi:type="dcterms:W3CDTF">2023-10-08T18:22:00Z</dcterms:created>
  <dcterms:modified xsi:type="dcterms:W3CDTF">2023-12-26T18:01:00Z</dcterms:modified>
</cp:coreProperties>
</file>